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C7" w:rsidP="002D24C7" w:rsidRDefault="001D4BC5">
      <w:pPr>
        <w:spacing w:before="240" w:after="0" w:line="240" w:lineRule="auto"/>
        <w:rPr>
          <w:rFonts w:ascii="Times New Roman" w:hAnsi="Times New Roman" w:eastAsia="MS Mincho" w:cs="Times New Roman"/>
          <w:b/>
          <w:color w:val="000000"/>
          <w:sz w:val="24"/>
          <w:szCs w:val="24"/>
          <w:shd w:val="clear" w:color="auto" w:fill="FFFFFF"/>
          <w:lang w:eastAsia="nl-NL"/>
        </w:rPr>
      </w:pPr>
      <w:r>
        <w:rPr>
          <w:rFonts w:ascii="Times New Roman" w:hAnsi="Times New Roman" w:eastAsia="MS Mincho" w:cs="Times New Roman"/>
          <w:b/>
          <w:color w:val="000000"/>
          <w:sz w:val="24"/>
          <w:szCs w:val="24"/>
          <w:shd w:val="clear" w:color="auto" w:fill="FFFFFF"/>
          <w:lang w:eastAsia="nl-NL"/>
        </w:rPr>
        <w:t xml:space="preserve">Modernisering </w:t>
      </w:r>
      <w:r w:rsidRPr="007C5808" w:rsidR="002B105D">
        <w:rPr>
          <w:rFonts w:ascii="Times New Roman" w:hAnsi="Times New Roman" w:eastAsia="MS Mincho" w:cs="Times New Roman"/>
          <w:b/>
          <w:color w:val="000000"/>
          <w:sz w:val="24"/>
          <w:szCs w:val="24"/>
          <w:shd w:val="clear" w:color="auto" w:fill="FFFFFF"/>
          <w:lang w:eastAsia="nl-NL"/>
        </w:rPr>
        <w:t xml:space="preserve">van </w:t>
      </w:r>
      <w:r w:rsidRPr="007C5808" w:rsidR="007773D5">
        <w:rPr>
          <w:rFonts w:ascii="Times New Roman" w:hAnsi="Times New Roman" w:eastAsia="MS Mincho" w:cs="Times New Roman"/>
          <w:b/>
          <w:color w:val="000000"/>
          <w:sz w:val="24"/>
          <w:szCs w:val="24"/>
          <w:shd w:val="clear" w:color="auto" w:fill="FFFFFF"/>
          <w:lang w:eastAsia="nl-NL"/>
        </w:rPr>
        <w:t>het Wetboek van Strafvordering</w:t>
      </w:r>
    </w:p>
    <w:p w:rsidRPr="002D24C7" w:rsidR="00103640" w:rsidP="002D24C7" w:rsidRDefault="00103640">
      <w:pPr>
        <w:spacing w:before="240" w:after="0" w:line="240" w:lineRule="auto"/>
        <w:rPr>
          <w:rFonts w:ascii="Times New Roman" w:hAnsi="Times New Roman" w:eastAsia="MS Mincho" w:cs="Times New Roman"/>
          <w:color w:val="000000"/>
          <w:sz w:val="20"/>
          <w:szCs w:val="20"/>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Kansen zijn niet </w:t>
      </w:r>
      <w:r w:rsidR="00777A7A">
        <w:rPr>
          <w:rFonts w:ascii="Times New Roman" w:hAnsi="Times New Roman" w:eastAsia="MS Mincho" w:cs="Times New Roman"/>
          <w:color w:val="000000"/>
          <w:sz w:val="24"/>
          <w:szCs w:val="24"/>
          <w:shd w:val="clear" w:color="auto" w:fill="FFFFFF"/>
          <w:lang w:eastAsia="nl-NL"/>
        </w:rPr>
        <w:t xml:space="preserve">altijd </w:t>
      </w:r>
      <w:r>
        <w:rPr>
          <w:rFonts w:ascii="Times New Roman" w:hAnsi="Times New Roman" w:eastAsia="MS Mincho" w:cs="Times New Roman"/>
          <w:color w:val="000000"/>
          <w:sz w:val="24"/>
          <w:szCs w:val="24"/>
          <w:shd w:val="clear" w:color="auto" w:fill="FFFFFF"/>
          <w:lang w:eastAsia="nl-NL"/>
        </w:rPr>
        <w:t>vrijblijvend</w:t>
      </w:r>
      <w:r w:rsidR="002D24C7">
        <w:rPr>
          <w:rFonts w:ascii="Times New Roman" w:hAnsi="Times New Roman" w:eastAsia="MS Mincho" w:cs="Times New Roman"/>
          <w:color w:val="000000"/>
          <w:sz w:val="24"/>
          <w:szCs w:val="24"/>
          <w:shd w:val="clear" w:color="auto" w:fill="FFFFFF"/>
          <w:lang w:eastAsia="nl-NL"/>
        </w:rPr>
        <w:t xml:space="preserve"> </w:t>
      </w:r>
      <w:r w:rsidR="002D24C7">
        <w:rPr>
          <w:rFonts w:ascii="Times New Roman" w:hAnsi="Times New Roman" w:eastAsia="MS Mincho" w:cs="Times New Roman"/>
          <w:color w:val="000000"/>
          <w:sz w:val="24"/>
          <w:szCs w:val="24"/>
          <w:shd w:val="clear" w:color="auto" w:fill="FFFFFF"/>
          <w:lang w:eastAsia="nl-NL"/>
        </w:rPr>
        <w:br/>
      </w:r>
      <w:r w:rsidRPr="002D24C7" w:rsidR="002D24C7">
        <w:rPr>
          <w:rFonts w:ascii="Times New Roman" w:hAnsi="Times New Roman" w:eastAsia="MS Mincho" w:cs="Times New Roman"/>
          <w:color w:val="000000"/>
          <w:sz w:val="20"/>
          <w:szCs w:val="20"/>
          <w:shd w:val="clear" w:color="auto" w:fill="FFFFFF"/>
          <w:lang w:eastAsia="nl-NL"/>
        </w:rPr>
        <w:t xml:space="preserve">(een beknopte versie van de bijgevoegde tekst van mijn hand uit Strafblad, Modernisering Strafvordering, </w:t>
      </w:r>
      <w:r w:rsidR="0009626C">
        <w:rPr>
          <w:rFonts w:ascii="Times New Roman" w:hAnsi="Times New Roman" w:eastAsia="MS Mincho" w:cs="Times New Roman"/>
          <w:color w:val="000000"/>
          <w:sz w:val="20"/>
          <w:szCs w:val="20"/>
          <w:shd w:val="clear" w:color="auto" w:fill="FFFFFF"/>
          <w:lang w:eastAsia="nl-NL"/>
        </w:rPr>
        <w:t xml:space="preserve">Themanummer 3, </w:t>
      </w:r>
      <w:r w:rsidRPr="002D24C7" w:rsidR="002D24C7">
        <w:rPr>
          <w:rFonts w:ascii="Times New Roman" w:hAnsi="Times New Roman" w:eastAsia="MS Mincho" w:cs="Times New Roman"/>
          <w:color w:val="000000"/>
          <w:sz w:val="20"/>
          <w:szCs w:val="20"/>
          <w:shd w:val="clear" w:color="auto" w:fill="FFFFFF"/>
          <w:lang w:eastAsia="nl-NL"/>
        </w:rPr>
        <w:t>Blinde Vlekken, oktober 2015 aflevering 4</w:t>
      </w:r>
      <w:r w:rsidR="0009626C">
        <w:rPr>
          <w:rFonts w:ascii="Times New Roman" w:hAnsi="Times New Roman" w:eastAsia="MS Mincho" w:cs="Times New Roman"/>
          <w:color w:val="000000"/>
          <w:sz w:val="20"/>
          <w:szCs w:val="20"/>
          <w:shd w:val="clear" w:color="auto" w:fill="FFFFFF"/>
          <w:lang w:eastAsia="nl-NL"/>
        </w:rPr>
        <w:t>, pp. 267-276</w:t>
      </w:r>
      <w:bookmarkStart w:name="_GoBack" w:id="0"/>
      <w:bookmarkEnd w:id="0"/>
      <w:r w:rsidR="00090B10">
        <w:rPr>
          <w:rFonts w:ascii="Times New Roman" w:hAnsi="Times New Roman" w:eastAsia="MS Mincho" w:cs="Times New Roman"/>
          <w:color w:val="000000"/>
          <w:sz w:val="20"/>
          <w:szCs w:val="20"/>
          <w:shd w:val="clear" w:color="auto" w:fill="FFFFFF"/>
          <w:lang w:eastAsia="nl-NL"/>
        </w:rPr>
        <w:t>)</w:t>
      </w:r>
      <w:r w:rsidRPr="002D24C7" w:rsidR="002D24C7">
        <w:rPr>
          <w:rFonts w:ascii="Times New Roman" w:hAnsi="Times New Roman" w:eastAsia="MS Mincho" w:cs="Times New Roman"/>
          <w:color w:val="000000"/>
          <w:sz w:val="20"/>
          <w:szCs w:val="20"/>
          <w:shd w:val="clear" w:color="auto" w:fill="FFFFFF"/>
          <w:lang w:eastAsia="nl-NL"/>
        </w:rPr>
        <w:t xml:space="preserve">. </w:t>
      </w:r>
    </w:p>
    <w:p w:rsidRPr="007C5808" w:rsidR="00CC5CB6" w:rsidP="001D4BC5" w:rsidRDefault="00CC5CB6">
      <w:pPr>
        <w:spacing w:before="240" w:after="0" w:line="240" w:lineRule="auto"/>
        <w:rPr>
          <w:rFonts w:ascii="Times New Roman" w:hAnsi="Times New Roman" w:eastAsia="MS Mincho" w:cs="Times New Roman"/>
          <w:color w:val="000000"/>
          <w:sz w:val="24"/>
          <w:szCs w:val="24"/>
          <w:shd w:val="clear" w:color="auto" w:fill="FFFFFF"/>
          <w:lang w:eastAsia="nl-NL"/>
        </w:rPr>
      </w:pPr>
      <w:r w:rsidRPr="007C5808">
        <w:rPr>
          <w:rFonts w:ascii="Times New Roman" w:hAnsi="Times New Roman" w:eastAsia="MS Mincho" w:cs="Times New Roman"/>
          <w:color w:val="000000"/>
          <w:sz w:val="24"/>
          <w:szCs w:val="24"/>
          <w:shd w:val="clear" w:color="auto" w:fill="FFFFFF"/>
          <w:lang w:eastAsia="nl-NL"/>
        </w:rPr>
        <w:t xml:space="preserve">C.P.M. </w:t>
      </w:r>
      <w:proofErr w:type="spellStart"/>
      <w:r w:rsidRPr="007C5808">
        <w:rPr>
          <w:rFonts w:ascii="Times New Roman" w:hAnsi="Times New Roman" w:eastAsia="MS Mincho" w:cs="Times New Roman"/>
          <w:color w:val="000000"/>
          <w:sz w:val="24"/>
          <w:szCs w:val="24"/>
          <w:shd w:val="clear" w:color="auto" w:fill="FFFFFF"/>
          <w:lang w:eastAsia="nl-NL"/>
        </w:rPr>
        <w:t>Cleiren</w:t>
      </w:r>
      <w:proofErr w:type="spellEnd"/>
      <w:r w:rsidRPr="007C5808">
        <w:rPr>
          <w:rFonts w:ascii="Times New Roman" w:hAnsi="Times New Roman" w:eastAsia="MS Mincho" w:cs="Times New Roman"/>
          <w:color w:val="000000"/>
          <w:sz w:val="24"/>
          <w:szCs w:val="24"/>
          <w:shd w:val="clear" w:color="auto" w:fill="FFFFFF"/>
          <w:lang w:eastAsia="nl-NL"/>
        </w:rPr>
        <w:t xml:space="preserve"> </w:t>
      </w:r>
    </w:p>
    <w:p w:rsidR="00870CF8" w:rsidP="009C275A" w:rsidRDefault="008855B4">
      <w:pPr>
        <w:spacing w:before="240" w:after="0" w:line="240" w:lineRule="auto"/>
        <w:rPr>
          <w:rFonts w:ascii="Times New Roman" w:hAnsi="Times New Roman" w:eastAsia="MS Mincho" w:cs="Times New Roman"/>
          <w:color w:val="000000"/>
          <w:sz w:val="24"/>
          <w:szCs w:val="24"/>
          <w:shd w:val="clear" w:color="auto" w:fill="FFFFFF"/>
          <w:lang w:eastAsia="nl-NL"/>
        </w:rPr>
      </w:pPr>
      <w:r w:rsidRPr="00D9036A">
        <w:rPr>
          <w:rFonts w:ascii="Times New Roman" w:hAnsi="Times New Roman" w:eastAsia="MS Mincho" w:cs="Times New Roman"/>
          <w:i/>
          <w:iCs/>
          <w:color w:val="000000" w:themeColor="text1"/>
          <w:sz w:val="24"/>
          <w:szCs w:val="24"/>
          <w:shd w:val="clear" w:color="auto" w:fill="FFFFFF"/>
          <w:lang w:eastAsia="nl-NL"/>
        </w:rPr>
        <w:t xml:space="preserve"> </w:t>
      </w:r>
      <w:r w:rsidRPr="00D9036A" w:rsidR="009C3272">
        <w:rPr>
          <w:rFonts w:ascii="Times New Roman" w:hAnsi="Times New Roman" w:eastAsia="MS Mincho" w:cs="Times New Roman"/>
          <w:i/>
          <w:iCs/>
          <w:color w:val="000000" w:themeColor="text1"/>
          <w:sz w:val="24"/>
          <w:szCs w:val="24"/>
          <w:shd w:val="clear" w:color="auto" w:fill="FFFFFF"/>
          <w:lang w:eastAsia="nl-NL"/>
        </w:rPr>
        <w:t xml:space="preserve">‘‘de herziening ziet op het herstructureren en moderniseren van het </w:t>
      </w:r>
      <w:proofErr w:type="spellStart"/>
      <w:r w:rsidRPr="00D9036A" w:rsidR="009C3272">
        <w:rPr>
          <w:rFonts w:ascii="Times New Roman" w:hAnsi="Times New Roman" w:eastAsia="MS Mincho" w:cs="Times New Roman"/>
          <w:i/>
          <w:iCs/>
          <w:color w:val="000000" w:themeColor="text1"/>
          <w:sz w:val="24"/>
          <w:szCs w:val="24"/>
          <w:shd w:val="clear" w:color="auto" w:fill="FFFFFF"/>
          <w:lang w:eastAsia="nl-NL"/>
        </w:rPr>
        <w:t>WSv</w:t>
      </w:r>
      <w:proofErr w:type="spellEnd"/>
      <w:r w:rsidRPr="00D9036A" w:rsidR="009C3272">
        <w:rPr>
          <w:rFonts w:ascii="Times New Roman" w:hAnsi="Times New Roman" w:eastAsia="MS Mincho" w:cs="Times New Roman"/>
          <w:i/>
          <w:iCs/>
          <w:color w:val="000000" w:themeColor="text1"/>
          <w:sz w:val="24"/>
          <w:szCs w:val="24"/>
          <w:shd w:val="clear" w:color="auto" w:fill="FFFFFF"/>
          <w:lang w:eastAsia="nl-NL"/>
        </w:rPr>
        <w:t xml:space="preserve">, zodat een toekomstbestendig, voor professionals en burgers toegankelijk en in de praktijk werkbaar wetboek ontstaat. </w:t>
      </w:r>
      <w:r w:rsidRPr="00D9036A" w:rsidR="009C3272">
        <w:rPr>
          <w:rFonts w:ascii="Times New Roman" w:hAnsi="Times New Roman" w:eastAsia="MS Mincho" w:cs="Times New Roman"/>
          <w:i/>
          <w:iCs/>
          <w:color w:val="000000"/>
          <w:sz w:val="24"/>
          <w:szCs w:val="24"/>
          <w:shd w:val="clear" w:color="auto" w:fill="FFFFFF"/>
          <w:lang w:eastAsia="nl-NL"/>
        </w:rPr>
        <w:t xml:space="preserve">(…) </w:t>
      </w:r>
      <w:r w:rsidRPr="00D9036A" w:rsidR="00290F81">
        <w:rPr>
          <w:rFonts w:ascii="Times New Roman" w:hAnsi="Times New Roman" w:eastAsia="MS Mincho" w:cs="Times New Roman"/>
          <w:i/>
          <w:iCs/>
          <w:color w:val="000000"/>
          <w:sz w:val="24"/>
          <w:szCs w:val="24"/>
          <w:shd w:val="clear" w:color="auto" w:fill="FFFFFF"/>
          <w:lang w:eastAsia="nl-NL"/>
        </w:rPr>
        <w:t xml:space="preserve">Het is dus uitdrukkelijk niet de bedoeling te komen tot een algehele fundamentele herziening van strafvordering, </w:t>
      </w:r>
      <w:r w:rsidRPr="00D9036A" w:rsidR="009C3272">
        <w:rPr>
          <w:rFonts w:ascii="Times New Roman" w:hAnsi="Times New Roman" w:eastAsia="MS Mincho" w:cs="Times New Roman"/>
          <w:i/>
          <w:iCs/>
          <w:color w:val="000000"/>
          <w:sz w:val="24"/>
          <w:szCs w:val="24"/>
          <w:shd w:val="clear" w:color="auto" w:fill="FFFFFF"/>
          <w:lang w:eastAsia="nl-NL"/>
        </w:rPr>
        <w:t>(…)</w:t>
      </w:r>
      <w:r w:rsidRPr="00D9036A" w:rsidR="00290865">
        <w:rPr>
          <w:rFonts w:ascii="Times New Roman" w:hAnsi="Times New Roman" w:eastAsia="MS Mincho" w:cs="Times New Roman"/>
          <w:i/>
          <w:iCs/>
          <w:color w:val="000000"/>
          <w:sz w:val="24"/>
          <w:szCs w:val="24"/>
          <w:shd w:val="clear" w:color="auto" w:fill="FFFFFF"/>
          <w:lang w:eastAsia="nl-NL"/>
        </w:rPr>
        <w:t>”</w:t>
      </w:r>
      <w:r w:rsidRPr="00D9036A" w:rsidR="00290865">
        <w:rPr>
          <w:rStyle w:val="FootnoteReference"/>
          <w:rFonts w:ascii="Times New Roman" w:hAnsi="Times New Roman" w:eastAsia="MS Mincho"/>
          <w:i/>
          <w:iCs/>
          <w:color w:val="000000"/>
          <w:sz w:val="24"/>
          <w:szCs w:val="24"/>
          <w:shd w:val="clear" w:color="auto" w:fill="FFFFFF"/>
          <w:lang w:eastAsia="nl-NL"/>
        </w:rPr>
        <w:footnoteReference w:id="1"/>
      </w:r>
      <w:r w:rsidRPr="007C5808" w:rsidR="00290F81">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 xml:space="preserve">De inzet van het programma is </w:t>
      </w:r>
      <w:r w:rsidR="009C3272">
        <w:rPr>
          <w:rFonts w:ascii="Times New Roman" w:hAnsi="Times New Roman" w:eastAsia="MS Mincho" w:cs="Times New Roman"/>
          <w:color w:val="000000"/>
          <w:sz w:val="24"/>
          <w:szCs w:val="24"/>
          <w:shd w:val="clear" w:color="auto" w:fill="FFFFFF"/>
          <w:lang w:eastAsia="nl-NL"/>
        </w:rPr>
        <w:t xml:space="preserve">dus </w:t>
      </w:r>
      <w:r w:rsidRPr="007C5808" w:rsidR="00035245">
        <w:rPr>
          <w:rFonts w:ascii="Times New Roman" w:hAnsi="Times New Roman" w:eastAsia="MS Mincho" w:cs="Times New Roman"/>
          <w:color w:val="000000"/>
          <w:sz w:val="24"/>
          <w:szCs w:val="24"/>
          <w:shd w:val="clear" w:color="auto" w:fill="FFFFFF"/>
          <w:lang w:eastAsia="nl-NL"/>
        </w:rPr>
        <w:t>enerzijds groots,</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anderzijds beperkt door de doelstelling, een modernisering die uitdrukkelijk geen algemene fundamentele herziening</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 xml:space="preserve">beoogt te zijn. </w:t>
      </w:r>
      <w:r w:rsidR="006B380D">
        <w:rPr>
          <w:rFonts w:ascii="Times New Roman" w:hAnsi="Times New Roman" w:eastAsia="MS Mincho" w:cs="Times New Roman"/>
          <w:color w:val="000000"/>
          <w:sz w:val="24"/>
          <w:szCs w:val="24"/>
          <w:shd w:val="clear" w:color="auto" w:fill="FFFFFF"/>
          <w:lang w:eastAsia="nl-NL"/>
        </w:rPr>
        <w:br/>
        <w:t>H</w:t>
      </w:r>
      <w:r w:rsidRPr="007C5808" w:rsidR="00083039">
        <w:rPr>
          <w:rFonts w:ascii="Times New Roman" w:hAnsi="Times New Roman" w:eastAsia="MS Mincho" w:cs="Times New Roman"/>
          <w:color w:val="000000"/>
          <w:sz w:val="24"/>
          <w:szCs w:val="24"/>
          <w:shd w:val="clear" w:color="auto" w:fill="FFFFFF"/>
          <w:lang w:eastAsia="nl-NL"/>
        </w:rPr>
        <w:t xml:space="preserve">et belang van </w:t>
      </w:r>
      <w:r w:rsidR="006B380D">
        <w:rPr>
          <w:rFonts w:ascii="Times New Roman" w:hAnsi="Times New Roman" w:eastAsia="MS Mincho" w:cs="Times New Roman"/>
          <w:color w:val="000000"/>
          <w:sz w:val="24"/>
          <w:szCs w:val="24"/>
          <w:shd w:val="clear" w:color="auto" w:fill="FFFFFF"/>
          <w:lang w:eastAsia="nl-NL"/>
        </w:rPr>
        <w:t xml:space="preserve">het ‘bij de tijd’ brengen </w:t>
      </w:r>
      <w:r w:rsidR="009371FA">
        <w:rPr>
          <w:rFonts w:ascii="Times New Roman" w:hAnsi="Times New Roman" w:eastAsia="MS Mincho" w:cs="Times New Roman"/>
          <w:color w:val="000000"/>
          <w:sz w:val="24"/>
          <w:szCs w:val="24"/>
          <w:shd w:val="clear" w:color="auto" w:fill="FFFFFF"/>
          <w:lang w:eastAsia="nl-NL"/>
        </w:rPr>
        <w:t>van het Wetboek van Strafvordering staat wat mij betreft niet ter discussie.</w:t>
      </w:r>
      <w:r w:rsidRPr="007C5808" w:rsidR="009371FA">
        <w:rPr>
          <w:rFonts w:ascii="Times New Roman" w:hAnsi="Times New Roman" w:eastAsia="MS Mincho" w:cs="Times New Roman"/>
          <w:color w:val="000000"/>
          <w:sz w:val="24"/>
          <w:szCs w:val="24"/>
          <w:shd w:val="clear" w:color="auto" w:fill="FFFFFF"/>
          <w:lang w:eastAsia="nl-NL"/>
        </w:rPr>
        <w:t xml:space="preserve"> </w:t>
      </w:r>
      <w:r w:rsidR="006B380D">
        <w:rPr>
          <w:rFonts w:ascii="Times New Roman" w:hAnsi="Times New Roman" w:eastAsia="MS Mincho" w:cs="Times New Roman"/>
          <w:color w:val="000000"/>
          <w:sz w:val="24"/>
          <w:szCs w:val="24"/>
          <w:shd w:val="clear" w:color="auto" w:fill="FFFFFF"/>
          <w:lang w:eastAsia="nl-NL"/>
        </w:rPr>
        <w:t>Maar, d</w:t>
      </w:r>
      <w:r w:rsidR="003330D7">
        <w:rPr>
          <w:rFonts w:ascii="Times New Roman" w:hAnsi="Times New Roman" w:eastAsia="MS Mincho" w:cs="Times New Roman"/>
          <w:color w:val="000000"/>
          <w:sz w:val="24"/>
          <w:szCs w:val="24"/>
          <w:shd w:val="clear" w:color="auto" w:fill="FFFFFF"/>
          <w:lang w:eastAsia="nl-NL"/>
        </w:rPr>
        <w:t xml:space="preserve">e doelstelling brengt </w:t>
      </w:r>
      <w:r w:rsidR="009C3272">
        <w:rPr>
          <w:rFonts w:ascii="Times New Roman" w:hAnsi="Times New Roman" w:eastAsia="MS Mincho" w:cs="Times New Roman"/>
          <w:color w:val="000000"/>
          <w:sz w:val="24"/>
          <w:szCs w:val="24"/>
          <w:shd w:val="clear" w:color="auto" w:fill="FFFFFF"/>
          <w:lang w:eastAsia="nl-NL"/>
        </w:rPr>
        <w:t xml:space="preserve">onvermijdelijk </w:t>
      </w:r>
      <w:r w:rsidR="003330D7">
        <w:rPr>
          <w:rFonts w:ascii="Times New Roman" w:hAnsi="Times New Roman" w:eastAsia="MS Mincho" w:cs="Times New Roman"/>
          <w:color w:val="000000"/>
          <w:sz w:val="24"/>
          <w:szCs w:val="24"/>
          <w:shd w:val="clear" w:color="auto" w:fill="FFFFFF"/>
          <w:lang w:eastAsia="nl-NL"/>
        </w:rPr>
        <w:t xml:space="preserve">mee dat </w:t>
      </w:r>
      <w:r w:rsidR="00324076">
        <w:rPr>
          <w:rFonts w:ascii="Times New Roman" w:hAnsi="Times New Roman" w:eastAsia="MS Mincho" w:cs="Times New Roman"/>
          <w:color w:val="000000"/>
          <w:sz w:val="24"/>
          <w:szCs w:val="24"/>
          <w:shd w:val="clear" w:color="auto" w:fill="FFFFFF"/>
          <w:lang w:eastAsia="nl-NL"/>
        </w:rPr>
        <w:t>de wetgever k</w:t>
      </w:r>
      <w:r w:rsidR="003330D7">
        <w:rPr>
          <w:rFonts w:ascii="Times New Roman" w:hAnsi="Times New Roman" w:eastAsia="MS Mincho" w:cs="Times New Roman"/>
          <w:color w:val="000000"/>
          <w:sz w:val="24"/>
          <w:szCs w:val="24"/>
          <w:shd w:val="clear" w:color="auto" w:fill="FFFFFF"/>
          <w:lang w:eastAsia="nl-NL"/>
        </w:rPr>
        <w:t>euzes moet</w:t>
      </w:r>
      <w:r w:rsidR="00324076">
        <w:rPr>
          <w:rFonts w:ascii="Times New Roman" w:hAnsi="Times New Roman" w:eastAsia="MS Mincho" w:cs="Times New Roman"/>
          <w:color w:val="000000"/>
          <w:sz w:val="24"/>
          <w:szCs w:val="24"/>
          <w:shd w:val="clear" w:color="auto" w:fill="FFFFFF"/>
          <w:lang w:eastAsia="nl-NL"/>
        </w:rPr>
        <w:t xml:space="preserve"> maken en kiezen betekent ook bewust beperken en al dan niet bewust buiten beschouwing laten. </w:t>
      </w:r>
      <w:r>
        <w:rPr>
          <w:rFonts w:ascii="Times New Roman" w:hAnsi="Times New Roman" w:eastAsia="MS Mincho" w:cs="Times New Roman"/>
          <w:color w:val="000000"/>
          <w:sz w:val="24"/>
          <w:szCs w:val="24"/>
          <w:shd w:val="clear" w:color="auto" w:fill="FFFFFF"/>
          <w:lang w:eastAsia="nl-NL"/>
        </w:rPr>
        <w:t>Zo wordt i</w:t>
      </w:r>
      <w:r w:rsidRPr="007C5808">
        <w:rPr>
          <w:rFonts w:ascii="Times New Roman" w:hAnsi="Times New Roman" w:eastAsia="MS Mincho" w:cs="Times New Roman"/>
          <w:color w:val="000000"/>
          <w:sz w:val="24"/>
          <w:szCs w:val="24"/>
          <w:shd w:val="clear" w:color="auto" w:fill="FFFFFF"/>
          <w:lang w:eastAsia="nl-NL"/>
        </w:rPr>
        <w:t>n de begeleidende brief bij de Contourennota aangegeven dat belangrijke uitgangspunten zoals het hoofddoel van het strafproces, het opportuniteitsbeginsel, de gezagsverhouding tussen politie en OM en rechtspraak door beroepsrechters behouden blijven, maar blijft bijvoorbeeld in het midden hoe omvangrijk de verschuivingen in de procesposities van procespartijen en –deelnemers zullen worden bij de ui</w:t>
      </w:r>
      <w:r>
        <w:rPr>
          <w:rFonts w:ascii="Times New Roman" w:hAnsi="Times New Roman" w:eastAsia="MS Mincho" w:cs="Times New Roman"/>
          <w:color w:val="000000"/>
          <w:sz w:val="24"/>
          <w:szCs w:val="24"/>
          <w:shd w:val="clear" w:color="auto" w:fill="FFFFFF"/>
          <w:lang w:eastAsia="nl-NL"/>
        </w:rPr>
        <w:t>twerking van de deelonderwerpen.</w:t>
      </w:r>
      <w:r w:rsidRPr="007C5808">
        <w:rPr>
          <w:rFonts w:ascii="Times New Roman" w:hAnsi="Times New Roman" w:eastAsia="MS Mincho" w:cs="Times New Roman"/>
          <w:color w:val="000000"/>
          <w:sz w:val="24"/>
          <w:szCs w:val="24"/>
          <w:shd w:val="clear" w:color="auto" w:fill="FFFFFF"/>
          <w:lang w:eastAsia="nl-NL"/>
        </w:rPr>
        <w:t xml:space="preserve"> </w:t>
      </w:r>
      <w:r>
        <w:rPr>
          <w:rFonts w:ascii="Times New Roman" w:hAnsi="Times New Roman" w:eastAsia="MS Mincho" w:cs="Times New Roman"/>
          <w:color w:val="000000"/>
          <w:sz w:val="24"/>
          <w:szCs w:val="24"/>
          <w:shd w:val="clear" w:color="auto" w:fill="FFFFFF"/>
          <w:lang w:eastAsia="nl-NL"/>
        </w:rPr>
        <w:br/>
      </w:r>
      <w:r w:rsidR="009C3272">
        <w:rPr>
          <w:rFonts w:ascii="Times New Roman" w:hAnsi="Times New Roman" w:eastAsia="MS Mincho" w:cs="Times New Roman"/>
          <w:color w:val="000000"/>
          <w:sz w:val="24"/>
          <w:szCs w:val="24"/>
          <w:shd w:val="clear" w:color="auto" w:fill="FFFFFF"/>
          <w:lang w:eastAsia="nl-NL"/>
        </w:rPr>
        <w:t xml:space="preserve">Mijn zorgen liggen vooral bij </w:t>
      </w:r>
      <w:r w:rsidR="0063548C">
        <w:rPr>
          <w:rFonts w:ascii="Times New Roman" w:hAnsi="Times New Roman" w:eastAsia="MS Mincho" w:cs="Times New Roman"/>
          <w:color w:val="000000"/>
          <w:sz w:val="24"/>
          <w:szCs w:val="24"/>
          <w:shd w:val="clear" w:color="auto" w:fill="FFFFFF"/>
          <w:lang w:eastAsia="nl-NL"/>
        </w:rPr>
        <w:t xml:space="preserve">de kansen die </w:t>
      </w:r>
      <w:r>
        <w:rPr>
          <w:rFonts w:ascii="Times New Roman" w:hAnsi="Times New Roman" w:eastAsia="MS Mincho" w:cs="Times New Roman"/>
          <w:color w:val="000000"/>
          <w:sz w:val="24"/>
          <w:szCs w:val="24"/>
          <w:shd w:val="clear" w:color="auto" w:fill="FFFFFF"/>
          <w:lang w:eastAsia="nl-NL"/>
        </w:rPr>
        <w:t xml:space="preserve">in </w:t>
      </w:r>
      <w:r w:rsidR="0063548C">
        <w:rPr>
          <w:rFonts w:ascii="Times New Roman" w:hAnsi="Times New Roman" w:eastAsia="MS Mincho" w:cs="Times New Roman"/>
          <w:color w:val="000000"/>
          <w:sz w:val="24"/>
          <w:szCs w:val="24"/>
          <w:shd w:val="clear" w:color="auto" w:fill="FFFFFF"/>
          <w:lang w:eastAsia="nl-NL"/>
        </w:rPr>
        <w:t xml:space="preserve">het </w:t>
      </w:r>
      <w:r>
        <w:rPr>
          <w:rFonts w:ascii="Times New Roman" w:hAnsi="Times New Roman" w:eastAsia="MS Mincho" w:cs="Times New Roman"/>
          <w:color w:val="000000"/>
          <w:sz w:val="24"/>
          <w:szCs w:val="24"/>
          <w:shd w:val="clear" w:color="auto" w:fill="FFFFFF"/>
          <w:lang w:eastAsia="nl-NL"/>
        </w:rPr>
        <w:t xml:space="preserve">project blijven liggen terwijl de </w:t>
      </w:r>
      <w:r w:rsidR="0063548C">
        <w:rPr>
          <w:rFonts w:ascii="Times New Roman" w:hAnsi="Times New Roman" w:eastAsia="MS Mincho" w:cs="Times New Roman"/>
          <w:color w:val="000000"/>
          <w:sz w:val="24"/>
          <w:szCs w:val="24"/>
          <w:shd w:val="clear" w:color="auto" w:fill="FFFFFF"/>
          <w:lang w:eastAsia="nl-NL"/>
        </w:rPr>
        <w:t xml:space="preserve">wetgever </w:t>
      </w:r>
      <w:r>
        <w:rPr>
          <w:rFonts w:ascii="Times New Roman" w:hAnsi="Times New Roman" w:eastAsia="MS Mincho" w:cs="Times New Roman"/>
          <w:color w:val="000000"/>
          <w:sz w:val="24"/>
          <w:szCs w:val="24"/>
          <w:shd w:val="clear" w:color="auto" w:fill="FFFFFF"/>
          <w:lang w:eastAsia="nl-NL"/>
        </w:rPr>
        <w:t xml:space="preserve">die </w:t>
      </w:r>
      <w:r w:rsidR="009C3272">
        <w:rPr>
          <w:rFonts w:ascii="Times New Roman" w:hAnsi="Times New Roman" w:eastAsia="MS Mincho" w:cs="Times New Roman"/>
          <w:color w:val="000000"/>
          <w:sz w:val="24"/>
          <w:szCs w:val="24"/>
          <w:shd w:val="clear" w:color="auto" w:fill="FFFFFF"/>
          <w:lang w:eastAsia="nl-NL"/>
        </w:rPr>
        <w:t xml:space="preserve">m.i. </w:t>
      </w:r>
      <w:r w:rsidR="0063548C">
        <w:rPr>
          <w:rFonts w:ascii="Times New Roman" w:hAnsi="Times New Roman" w:eastAsia="MS Mincho" w:cs="Times New Roman"/>
          <w:color w:val="000000"/>
          <w:sz w:val="24"/>
          <w:szCs w:val="24"/>
          <w:shd w:val="clear" w:color="auto" w:fill="FFFFFF"/>
          <w:lang w:eastAsia="nl-NL"/>
        </w:rPr>
        <w:t>niet zonder meer kan of mag laten</w:t>
      </w:r>
      <w:r w:rsidR="00B27120">
        <w:rPr>
          <w:rFonts w:ascii="Times New Roman" w:hAnsi="Times New Roman" w:eastAsia="MS Mincho" w:cs="Times New Roman"/>
          <w:color w:val="000000"/>
          <w:sz w:val="24"/>
          <w:szCs w:val="24"/>
          <w:shd w:val="clear" w:color="auto" w:fill="FFFFFF"/>
          <w:lang w:eastAsia="nl-NL"/>
        </w:rPr>
        <w:t xml:space="preserve"> lopen. </w:t>
      </w:r>
      <w:r w:rsidR="009C275A">
        <w:rPr>
          <w:rFonts w:ascii="Times New Roman" w:hAnsi="Times New Roman" w:eastAsia="MS Mincho" w:cs="Times New Roman"/>
          <w:color w:val="000000"/>
          <w:sz w:val="24"/>
          <w:szCs w:val="24"/>
          <w:shd w:val="clear" w:color="auto" w:fill="FFFFFF"/>
          <w:lang w:eastAsia="nl-NL"/>
        </w:rPr>
        <w:br/>
        <w:t>Ik v</w:t>
      </w:r>
      <w:r w:rsidRPr="00870CF8" w:rsidR="00870CF8">
        <w:rPr>
          <w:rFonts w:ascii="Times New Roman" w:hAnsi="Times New Roman" w:eastAsia="MS Mincho" w:cs="Times New Roman"/>
          <w:color w:val="000000"/>
          <w:sz w:val="24"/>
          <w:szCs w:val="24"/>
          <w:shd w:val="clear" w:color="auto" w:fill="FFFFFF"/>
          <w:lang w:eastAsia="nl-NL"/>
        </w:rPr>
        <w:t>raag hier aandacht voor</w:t>
      </w:r>
      <w:r w:rsidR="009C275A">
        <w:rPr>
          <w:rFonts w:ascii="Times New Roman" w:hAnsi="Times New Roman" w:eastAsia="MS Mincho" w:cs="Times New Roman"/>
          <w:color w:val="000000"/>
          <w:sz w:val="24"/>
          <w:szCs w:val="24"/>
          <w:shd w:val="clear" w:color="auto" w:fill="FFFFFF"/>
          <w:lang w:eastAsia="nl-NL"/>
        </w:rPr>
        <w:t xml:space="preserve"> drie </w:t>
      </w:r>
      <w:r w:rsidRPr="00870CF8" w:rsidR="009C275A">
        <w:rPr>
          <w:rFonts w:ascii="Times New Roman" w:hAnsi="Times New Roman" w:eastAsia="MS Mincho" w:cs="Times New Roman"/>
          <w:color w:val="000000"/>
          <w:sz w:val="24"/>
          <w:szCs w:val="24"/>
          <w:shd w:val="clear" w:color="auto" w:fill="FFFFFF"/>
          <w:lang w:eastAsia="nl-NL"/>
        </w:rPr>
        <w:t>ijkpunten</w:t>
      </w:r>
      <w:r w:rsidR="009C275A">
        <w:rPr>
          <w:rFonts w:ascii="Times New Roman" w:hAnsi="Times New Roman" w:eastAsia="MS Mincho" w:cs="Times New Roman"/>
          <w:color w:val="000000"/>
          <w:sz w:val="24"/>
          <w:szCs w:val="24"/>
          <w:shd w:val="clear" w:color="auto" w:fill="FFFFFF"/>
          <w:lang w:eastAsia="nl-NL"/>
        </w:rPr>
        <w:t xml:space="preserve">, vanwege de </w:t>
      </w:r>
      <w:r w:rsidRPr="00870CF8" w:rsidR="009C275A">
        <w:rPr>
          <w:rFonts w:ascii="Times New Roman" w:hAnsi="Times New Roman" w:eastAsia="MS Mincho" w:cs="Times New Roman"/>
          <w:color w:val="000000"/>
          <w:sz w:val="24"/>
          <w:szCs w:val="24"/>
          <w:shd w:val="clear" w:color="auto" w:fill="FFFFFF"/>
          <w:lang w:eastAsia="nl-NL"/>
        </w:rPr>
        <w:t>nauw</w:t>
      </w:r>
      <w:r w:rsidR="009C275A">
        <w:rPr>
          <w:rFonts w:ascii="Times New Roman" w:hAnsi="Times New Roman" w:eastAsia="MS Mincho" w:cs="Times New Roman"/>
          <w:color w:val="000000"/>
          <w:sz w:val="24"/>
          <w:szCs w:val="24"/>
          <w:shd w:val="clear" w:color="auto" w:fill="FFFFFF"/>
          <w:lang w:eastAsia="nl-NL"/>
        </w:rPr>
        <w:t>e</w:t>
      </w:r>
      <w:r w:rsidRPr="00870CF8" w:rsidR="009C275A">
        <w:rPr>
          <w:rFonts w:ascii="Times New Roman" w:hAnsi="Times New Roman" w:eastAsia="MS Mincho" w:cs="Times New Roman"/>
          <w:color w:val="000000"/>
          <w:sz w:val="24"/>
          <w:szCs w:val="24"/>
          <w:shd w:val="clear" w:color="auto" w:fill="FFFFFF"/>
          <w:lang w:eastAsia="nl-NL"/>
        </w:rPr>
        <w:t xml:space="preserve"> samenhang met </w:t>
      </w:r>
      <w:r w:rsidR="009C275A">
        <w:rPr>
          <w:rFonts w:ascii="Times New Roman" w:hAnsi="Times New Roman" w:eastAsia="MS Mincho" w:cs="Times New Roman"/>
          <w:color w:val="000000"/>
          <w:sz w:val="24"/>
          <w:szCs w:val="24"/>
          <w:shd w:val="clear" w:color="auto" w:fill="FFFFFF"/>
          <w:lang w:eastAsia="nl-NL"/>
        </w:rPr>
        <w:t xml:space="preserve">de </w:t>
      </w:r>
      <w:r w:rsidRPr="00870CF8" w:rsidR="009C275A">
        <w:rPr>
          <w:rFonts w:ascii="Times New Roman" w:hAnsi="Times New Roman" w:eastAsia="MS Mincho" w:cs="Times New Roman"/>
          <w:color w:val="000000"/>
          <w:sz w:val="24"/>
          <w:szCs w:val="24"/>
          <w:shd w:val="clear" w:color="auto" w:fill="FFFFFF"/>
          <w:lang w:eastAsia="nl-NL"/>
        </w:rPr>
        <w:t>betekenis van codificatie in een democratische rechtsstaat</w:t>
      </w:r>
      <w:r w:rsidR="009C275A">
        <w:rPr>
          <w:rFonts w:ascii="Times New Roman" w:hAnsi="Times New Roman" w:eastAsia="MS Mincho" w:cs="Times New Roman"/>
          <w:color w:val="000000"/>
          <w:sz w:val="24"/>
          <w:szCs w:val="24"/>
          <w:shd w:val="clear" w:color="auto" w:fill="FFFFFF"/>
          <w:lang w:eastAsia="nl-NL"/>
        </w:rPr>
        <w:t xml:space="preserve">: </w:t>
      </w:r>
    </w:p>
    <w:p w:rsidR="00870CF8" w:rsidP="009C275A" w:rsidRDefault="009C275A">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i/>
          <w:iCs/>
          <w:color w:val="000000"/>
          <w:sz w:val="24"/>
          <w:szCs w:val="24"/>
          <w:shd w:val="clear" w:color="auto" w:fill="FFFFFF"/>
          <w:lang w:eastAsia="nl-NL"/>
        </w:rPr>
        <w:t xml:space="preserve">1. </w:t>
      </w:r>
      <w:r w:rsidRPr="004F4A0F" w:rsidR="00870CF8">
        <w:rPr>
          <w:rFonts w:ascii="Times New Roman" w:hAnsi="Times New Roman" w:eastAsia="MS Mincho" w:cs="Times New Roman"/>
          <w:i/>
          <w:iCs/>
          <w:color w:val="000000"/>
          <w:sz w:val="24"/>
          <w:szCs w:val="24"/>
          <w:shd w:val="clear" w:color="auto" w:fill="FFFFFF"/>
          <w:lang w:eastAsia="nl-NL"/>
        </w:rPr>
        <w:t>Functie van het wetboek</w:t>
      </w:r>
      <w:r w:rsidRPr="00870CF8" w:rsidR="00870CF8">
        <w:rPr>
          <w:rFonts w:ascii="Times New Roman" w:hAnsi="Times New Roman" w:eastAsia="MS Mincho" w:cs="Times New Roman"/>
          <w:color w:val="000000"/>
          <w:sz w:val="24"/>
          <w:szCs w:val="24"/>
          <w:shd w:val="clear" w:color="auto" w:fill="FFFFFF"/>
          <w:lang w:eastAsia="nl-NL"/>
        </w:rPr>
        <w:t xml:space="preserve"> </w:t>
      </w:r>
      <w:r w:rsidRPr="00870CF8" w:rsidR="00870CF8">
        <w:rPr>
          <w:rFonts w:ascii="Times New Roman" w:hAnsi="Times New Roman" w:eastAsia="MS Mincho" w:cs="Times New Roman"/>
          <w:color w:val="000000"/>
          <w:sz w:val="24"/>
          <w:szCs w:val="24"/>
          <w:shd w:val="clear" w:color="auto" w:fill="FFFFFF"/>
          <w:lang w:eastAsia="nl-NL"/>
        </w:rPr>
        <w:br/>
        <w:t xml:space="preserve">Het </w:t>
      </w:r>
      <w:proofErr w:type="spellStart"/>
      <w:r w:rsidRPr="00870CF8" w:rsidR="00870CF8">
        <w:rPr>
          <w:rFonts w:ascii="Times New Roman" w:hAnsi="Times New Roman" w:eastAsia="MS Mincho" w:cs="Times New Roman"/>
          <w:color w:val="000000"/>
          <w:sz w:val="24"/>
          <w:szCs w:val="24"/>
          <w:shd w:val="clear" w:color="auto" w:fill="FFFFFF"/>
          <w:lang w:eastAsia="nl-NL"/>
        </w:rPr>
        <w:t>W</w:t>
      </w:r>
      <w:r>
        <w:rPr>
          <w:rFonts w:ascii="Times New Roman" w:hAnsi="Times New Roman" w:eastAsia="MS Mincho" w:cs="Times New Roman"/>
          <w:color w:val="000000"/>
          <w:sz w:val="24"/>
          <w:szCs w:val="24"/>
          <w:shd w:val="clear" w:color="auto" w:fill="FFFFFF"/>
          <w:lang w:eastAsia="nl-NL"/>
        </w:rPr>
        <w:t>vSV</w:t>
      </w:r>
      <w:proofErr w:type="spellEnd"/>
      <w:r>
        <w:rPr>
          <w:rFonts w:ascii="Times New Roman" w:hAnsi="Times New Roman" w:eastAsia="MS Mincho" w:cs="Times New Roman"/>
          <w:color w:val="000000"/>
          <w:sz w:val="24"/>
          <w:szCs w:val="24"/>
          <w:shd w:val="clear" w:color="auto" w:fill="FFFFFF"/>
          <w:lang w:eastAsia="nl-NL"/>
        </w:rPr>
        <w:t xml:space="preserve"> </w:t>
      </w:r>
      <w:r w:rsidRPr="00870CF8" w:rsidR="00870CF8">
        <w:rPr>
          <w:rFonts w:ascii="Times New Roman" w:hAnsi="Times New Roman" w:eastAsia="MS Mincho" w:cs="Times New Roman"/>
          <w:color w:val="000000"/>
          <w:sz w:val="24"/>
          <w:szCs w:val="24"/>
          <w:shd w:val="clear" w:color="auto" w:fill="FFFFFF"/>
          <w:lang w:eastAsia="nl-NL"/>
        </w:rPr>
        <w:t>is een algemeen wetboek is in de zin van art. 107 G</w:t>
      </w:r>
      <w:r>
        <w:rPr>
          <w:rFonts w:ascii="Times New Roman" w:hAnsi="Times New Roman" w:eastAsia="MS Mincho" w:cs="Times New Roman"/>
          <w:color w:val="000000"/>
          <w:sz w:val="24"/>
          <w:szCs w:val="24"/>
          <w:shd w:val="clear" w:color="auto" w:fill="FFFFFF"/>
          <w:lang w:eastAsia="nl-NL"/>
        </w:rPr>
        <w:t>W</w:t>
      </w:r>
      <w:r w:rsidRPr="00870CF8" w:rsidR="00870CF8">
        <w:rPr>
          <w:rFonts w:ascii="Times New Roman" w:hAnsi="Times New Roman" w:eastAsia="MS Mincho" w:cs="Times New Roman"/>
          <w:color w:val="000000"/>
          <w:sz w:val="24"/>
          <w:szCs w:val="24"/>
          <w:shd w:val="clear" w:color="auto" w:fill="FFFFFF"/>
          <w:lang w:eastAsia="nl-NL"/>
        </w:rPr>
        <w:t xml:space="preserve"> </w:t>
      </w:r>
      <w:r w:rsidR="00870CF8">
        <w:rPr>
          <w:rStyle w:val="FootnoteReference"/>
          <w:rFonts w:ascii="Times New Roman" w:hAnsi="Times New Roman" w:eastAsia="MS Mincho"/>
          <w:color w:val="000000"/>
          <w:sz w:val="24"/>
          <w:szCs w:val="24"/>
          <w:shd w:val="clear" w:color="auto" w:fill="FFFFFF"/>
          <w:lang w:eastAsia="nl-NL"/>
        </w:rPr>
        <w:footnoteReference w:id="2"/>
      </w:r>
      <w:r w:rsidRPr="00870CF8" w:rsidR="00870CF8">
        <w:rPr>
          <w:rFonts w:ascii="Times New Roman" w:hAnsi="Times New Roman" w:eastAsia="MS Mincho" w:cs="Times New Roman"/>
          <w:color w:val="000000"/>
          <w:sz w:val="24"/>
          <w:szCs w:val="24"/>
          <w:shd w:val="clear" w:color="auto" w:fill="FFFFFF"/>
          <w:lang w:eastAsia="nl-NL"/>
        </w:rPr>
        <w:t>en daarmee een belangrijke pijler van en binnen onze (dynamische) democratische rechtsstaat</w:t>
      </w:r>
      <w:r w:rsidRPr="00870CF8" w:rsidR="00870CF8">
        <w:rPr>
          <w:rFonts w:ascii="Times New Roman" w:hAnsi="Times New Roman" w:eastAsia="MS Mincho" w:cs="Times New Roman"/>
          <w:i/>
          <w:color w:val="000000"/>
          <w:sz w:val="24"/>
          <w:szCs w:val="24"/>
          <w:shd w:val="clear" w:color="auto" w:fill="FFFFFF"/>
          <w:lang w:eastAsia="nl-NL"/>
        </w:rPr>
        <w:t>.</w:t>
      </w:r>
      <w:r w:rsidRPr="00870CF8" w:rsidR="00870CF8">
        <w:rPr>
          <w:rFonts w:ascii="Times New Roman" w:hAnsi="Times New Roman" w:eastAsia="MS Mincho" w:cs="Times New Roman"/>
          <w:color w:val="000000"/>
          <w:sz w:val="24"/>
          <w:szCs w:val="24"/>
          <w:shd w:val="clear" w:color="auto" w:fill="FFFFFF"/>
          <w:lang w:eastAsia="nl-NL"/>
        </w:rPr>
        <w:t xml:space="preserve"> Karakteristieke belangen die zo’n codificatie beoogt te dienen zijn onder meer duurzaamheid, continuïteit, coherentie, consistentie, samenhang, rechtszekerheid/voorspelbaarheid en herkenbaarheid.</w:t>
      </w:r>
      <w:r w:rsidR="00870CF8">
        <w:rPr>
          <w:rStyle w:val="FootnoteReference"/>
          <w:rFonts w:ascii="Times New Roman" w:hAnsi="Times New Roman" w:eastAsia="MS Mincho"/>
          <w:color w:val="000000"/>
          <w:sz w:val="24"/>
          <w:szCs w:val="24"/>
          <w:shd w:val="clear" w:color="auto" w:fill="FFFFFF"/>
          <w:lang w:eastAsia="nl-NL"/>
        </w:rPr>
        <w:footnoteReference w:id="3"/>
      </w:r>
      <w:r w:rsidRPr="00870CF8" w:rsidR="00870CF8">
        <w:rPr>
          <w:rFonts w:ascii="Times New Roman" w:hAnsi="Times New Roman" w:eastAsia="MS Mincho" w:cs="Times New Roman"/>
          <w:color w:val="000000"/>
          <w:sz w:val="24"/>
          <w:szCs w:val="24"/>
          <w:shd w:val="clear" w:color="auto" w:fill="FFFFFF"/>
          <w:lang w:eastAsia="nl-NL"/>
        </w:rPr>
        <w:t xml:space="preserve"> </w:t>
      </w:r>
      <w:r w:rsidR="00870CF8">
        <w:rPr>
          <w:rFonts w:ascii="Times New Roman" w:hAnsi="Times New Roman" w:eastAsia="MS Mincho" w:cs="Times New Roman"/>
          <w:color w:val="000000"/>
          <w:sz w:val="24"/>
          <w:szCs w:val="24"/>
          <w:shd w:val="clear" w:color="auto" w:fill="FFFFFF"/>
          <w:lang w:eastAsia="nl-NL"/>
        </w:rPr>
        <w:t>De</w:t>
      </w:r>
      <w:r w:rsidRPr="00870CF8" w:rsidR="00870CF8">
        <w:rPr>
          <w:rFonts w:ascii="Times New Roman" w:hAnsi="Times New Roman" w:eastAsia="MS Mincho" w:cs="Times New Roman"/>
          <w:color w:val="000000"/>
          <w:sz w:val="24"/>
          <w:szCs w:val="24"/>
          <w:shd w:val="clear" w:color="auto" w:fill="FFFFFF"/>
          <w:lang w:eastAsia="nl-NL"/>
        </w:rPr>
        <w:t xml:space="preserve"> grondwettelijk status bepaalt in samenhang met het strafvorderlijk legaliteitsbeginsel (art. 1 Sv) de kaders waarbinnen het strafprocesrecht mag worden geregeld. Deze kaders brengen in het huidige tijdsgewricht mee dat het </w:t>
      </w:r>
      <w:proofErr w:type="spellStart"/>
      <w:r w:rsidRPr="00870CF8" w:rsidR="00870CF8">
        <w:rPr>
          <w:rFonts w:ascii="Times New Roman" w:hAnsi="Times New Roman" w:eastAsia="MS Mincho" w:cs="Times New Roman"/>
          <w:color w:val="000000"/>
          <w:sz w:val="24"/>
          <w:szCs w:val="24"/>
          <w:shd w:val="clear" w:color="auto" w:fill="FFFFFF"/>
          <w:lang w:eastAsia="nl-NL"/>
        </w:rPr>
        <w:t>W</w:t>
      </w:r>
      <w:r>
        <w:rPr>
          <w:rFonts w:ascii="Times New Roman" w:hAnsi="Times New Roman" w:eastAsia="MS Mincho" w:cs="Times New Roman"/>
          <w:color w:val="000000"/>
          <w:sz w:val="24"/>
          <w:szCs w:val="24"/>
          <w:shd w:val="clear" w:color="auto" w:fill="FFFFFF"/>
          <w:lang w:eastAsia="nl-NL"/>
        </w:rPr>
        <w:t>vSv</w:t>
      </w:r>
      <w:proofErr w:type="spellEnd"/>
      <w:r>
        <w:rPr>
          <w:rFonts w:ascii="Times New Roman" w:hAnsi="Times New Roman" w:eastAsia="MS Mincho" w:cs="Times New Roman"/>
          <w:color w:val="000000"/>
          <w:sz w:val="24"/>
          <w:szCs w:val="24"/>
          <w:shd w:val="clear" w:color="auto" w:fill="FFFFFF"/>
          <w:lang w:eastAsia="nl-NL"/>
        </w:rPr>
        <w:t xml:space="preserve"> </w:t>
      </w:r>
      <w:r w:rsidRPr="00870CF8" w:rsidR="00870CF8">
        <w:rPr>
          <w:rFonts w:ascii="Times New Roman" w:hAnsi="Times New Roman" w:eastAsia="MS Mincho" w:cs="Times New Roman"/>
          <w:color w:val="000000"/>
          <w:sz w:val="24"/>
          <w:szCs w:val="24"/>
          <w:shd w:val="clear" w:color="auto" w:fill="FFFFFF"/>
          <w:lang w:eastAsia="nl-NL"/>
        </w:rPr>
        <w:t xml:space="preserve">zich, als wet in formele zin, zal moeten (blijven) positioneren ten opzichte van het </w:t>
      </w:r>
      <w:proofErr w:type="spellStart"/>
      <w:r w:rsidRPr="00870CF8" w:rsidR="00870CF8">
        <w:rPr>
          <w:rFonts w:ascii="Times New Roman" w:hAnsi="Times New Roman" w:eastAsia="MS Mincho" w:cs="Times New Roman"/>
          <w:color w:val="000000"/>
          <w:sz w:val="24"/>
          <w:szCs w:val="24"/>
          <w:shd w:val="clear" w:color="auto" w:fill="FFFFFF"/>
          <w:lang w:eastAsia="nl-NL"/>
        </w:rPr>
        <w:t>W</w:t>
      </w:r>
      <w:r>
        <w:rPr>
          <w:rFonts w:ascii="Times New Roman" w:hAnsi="Times New Roman" w:eastAsia="MS Mincho" w:cs="Times New Roman"/>
          <w:color w:val="000000"/>
          <w:sz w:val="24"/>
          <w:szCs w:val="24"/>
          <w:shd w:val="clear" w:color="auto" w:fill="FFFFFF"/>
          <w:lang w:eastAsia="nl-NL"/>
        </w:rPr>
        <w:t>vSr</w:t>
      </w:r>
      <w:proofErr w:type="spellEnd"/>
      <w:r>
        <w:rPr>
          <w:rFonts w:ascii="Times New Roman" w:hAnsi="Times New Roman" w:eastAsia="MS Mincho" w:cs="Times New Roman"/>
          <w:color w:val="000000"/>
          <w:sz w:val="24"/>
          <w:szCs w:val="24"/>
          <w:shd w:val="clear" w:color="auto" w:fill="FFFFFF"/>
          <w:lang w:eastAsia="nl-NL"/>
        </w:rPr>
        <w:t>, b</w:t>
      </w:r>
      <w:r w:rsidRPr="00870CF8" w:rsidR="00870CF8">
        <w:rPr>
          <w:rFonts w:ascii="Times New Roman" w:hAnsi="Times New Roman" w:eastAsia="MS Mincho" w:cs="Times New Roman"/>
          <w:color w:val="000000"/>
          <w:sz w:val="24"/>
          <w:szCs w:val="24"/>
          <w:shd w:val="clear" w:color="auto" w:fill="FFFFFF"/>
          <w:lang w:eastAsia="nl-NL"/>
        </w:rPr>
        <w:t xml:space="preserve">ijzondere strafwetgeving, verdragsrecht, ongeschreven beginselen van procesrecht, Europese wet- en regelgeving en delegatie.  </w:t>
      </w:r>
    </w:p>
    <w:p w:rsidR="00870CF8" w:rsidP="002D24C7" w:rsidRDefault="009C275A">
      <w:pPr>
        <w:spacing w:before="240" w:after="0" w:line="240" w:lineRule="auto"/>
        <w:rPr>
          <w:rFonts w:ascii="Times New Roman" w:hAnsi="Times New Roman" w:eastAsia="MS Mincho" w:cs="Times New Roman"/>
          <w:color w:val="FF0000"/>
          <w:sz w:val="24"/>
          <w:szCs w:val="24"/>
          <w:shd w:val="clear" w:color="auto" w:fill="FFFFFF"/>
          <w:lang w:eastAsia="nl-NL"/>
        </w:rPr>
      </w:pPr>
      <w:r>
        <w:rPr>
          <w:rFonts w:ascii="Times New Roman" w:hAnsi="Times New Roman" w:eastAsia="MS Mincho" w:cs="Times New Roman"/>
          <w:i/>
          <w:iCs/>
          <w:color w:val="000000"/>
          <w:sz w:val="24"/>
          <w:szCs w:val="24"/>
          <w:shd w:val="clear" w:color="auto" w:fill="FFFFFF"/>
          <w:lang w:eastAsia="nl-NL"/>
        </w:rPr>
        <w:t xml:space="preserve">2. </w:t>
      </w:r>
      <w:r w:rsidRPr="004F4A0F" w:rsidR="00870CF8">
        <w:rPr>
          <w:rFonts w:ascii="Times New Roman" w:hAnsi="Times New Roman" w:eastAsia="MS Mincho" w:cs="Times New Roman"/>
          <w:i/>
          <w:iCs/>
          <w:color w:val="000000"/>
          <w:sz w:val="24"/>
          <w:szCs w:val="24"/>
          <w:shd w:val="clear" w:color="auto" w:fill="FFFFFF"/>
          <w:lang w:eastAsia="nl-NL"/>
        </w:rPr>
        <w:t>De rechtstraditie</w:t>
      </w:r>
      <w:r w:rsidR="00870CF8">
        <w:rPr>
          <w:rFonts w:ascii="Times New Roman" w:hAnsi="Times New Roman" w:eastAsia="MS Mincho" w:cs="Times New Roman"/>
          <w:color w:val="000000"/>
          <w:sz w:val="24"/>
          <w:szCs w:val="24"/>
          <w:shd w:val="clear" w:color="auto" w:fill="FFFFFF"/>
          <w:lang w:eastAsia="nl-NL"/>
        </w:rPr>
        <w:t xml:space="preserve"> </w:t>
      </w:r>
      <w:r w:rsidR="00870CF8">
        <w:rPr>
          <w:rFonts w:ascii="Times New Roman" w:hAnsi="Times New Roman" w:eastAsia="MS Mincho" w:cs="Times New Roman"/>
          <w:color w:val="000000"/>
          <w:sz w:val="24"/>
          <w:szCs w:val="24"/>
          <w:shd w:val="clear" w:color="auto" w:fill="FFFFFF"/>
          <w:lang w:eastAsia="nl-NL"/>
        </w:rPr>
        <w:br/>
        <w:t>D</w:t>
      </w:r>
      <w:r w:rsidRPr="007C5808" w:rsidR="00870CF8">
        <w:rPr>
          <w:rFonts w:ascii="Times New Roman" w:hAnsi="Times New Roman" w:eastAsia="MS Mincho" w:cs="Times New Roman"/>
          <w:color w:val="000000"/>
          <w:sz w:val="24"/>
          <w:szCs w:val="24"/>
          <w:shd w:val="clear" w:color="auto" w:fill="FFFFFF"/>
          <w:lang w:eastAsia="nl-NL"/>
        </w:rPr>
        <w:t xml:space="preserve">e kern van </w:t>
      </w:r>
      <w:r w:rsidR="00870CF8">
        <w:rPr>
          <w:rFonts w:ascii="Times New Roman" w:hAnsi="Times New Roman" w:eastAsia="MS Mincho" w:cs="Times New Roman"/>
          <w:color w:val="000000"/>
          <w:sz w:val="24"/>
          <w:szCs w:val="24"/>
          <w:shd w:val="clear" w:color="auto" w:fill="FFFFFF"/>
          <w:lang w:eastAsia="nl-NL"/>
        </w:rPr>
        <w:t xml:space="preserve">de in ons wetboek neergelegde </w:t>
      </w:r>
      <w:r w:rsidRPr="007C5808" w:rsidR="00870CF8">
        <w:rPr>
          <w:rFonts w:ascii="Times New Roman" w:hAnsi="Times New Roman" w:eastAsia="MS Mincho" w:cs="Times New Roman"/>
          <w:color w:val="000000"/>
          <w:sz w:val="24"/>
          <w:szCs w:val="24"/>
          <w:shd w:val="clear" w:color="auto" w:fill="FFFFFF"/>
          <w:lang w:eastAsia="nl-NL"/>
        </w:rPr>
        <w:t xml:space="preserve">procestraditie is sterk verweven met de verhoudingen </w:t>
      </w:r>
      <w:r w:rsidRPr="007C5808" w:rsidR="00870CF8">
        <w:rPr>
          <w:rFonts w:ascii="Times New Roman" w:hAnsi="Times New Roman" w:eastAsia="MS Mincho" w:cs="Times New Roman"/>
          <w:color w:val="000000"/>
          <w:sz w:val="24"/>
          <w:szCs w:val="24"/>
          <w:shd w:val="clear" w:color="auto" w:fill="FFFFFF"/>
          <w:lang w:eastAsia="nl-NL"/>
        </w:rPr>
        <w:lastRenderedPageBreak/>
        <w:t xml:space="preserve">tussen de drie staatsmachten en de in onze Grondwet gewaarborgde klassieke grondrechten (persoonlijke levenssfeer: art. 10 GW, onaantastbaarheid van het lichaam: art. 11 GW, de beperkingen aan het binnentreden van een woning: art. 12 GW, het brief-, telefoon- en telgraafgeheim: art. 13 GW. Deze kern is in oorsprong systematisch en consistent uitgewerkt in het wetboek en zien we (nog steeds) terug in bijvoorbeeld het (gematigd) inquisitoire karakter </w:t>
      </w:r>
      <w:r w:rsidR="00870CF8">
        <w:rPr>
          <w:rFonts w:ascii="Times New Roman" w:hAnsi="Times New Roman" w:eastAsia="MS Mincho" w:cs="Times New Roman"/>
          <w:color w:val="000000"/>
          <w:sz w:val="24"/>
          <w:szCs w:val="24"/>
          <w:shd w:val="clear" w:color="auto" w:fill="FFFFFF"/>
          <w:lang w:eastAsia="nl-NL"/>
        </w:rPr>
        <w:t xml:space="preserve">van het vooronderzoek en het gematigd accusatoir karakter van het eindonderzoek. Ook </w:t>
      </w:r>
      <w:r w:rsidRPr="007C5808" w:rsidR="00870CF8">
        <w:rPr>
          <w:rFonts w:ascii="Times New Roman" w:hAnsi="Times New Roman" w:eastAsia="MS Mincho" w:cs="Times New Roman"/>
          <w:color w:val="000000"/>
          <w:sz w:val="24"/>
          <w:szCs w:val="24"/>
          <w:shd w:val="clear" w:color="auto" w:fill="FFFFFF"/>
          <w:lang w:eastAsia="nl-NL"/>
        </w:rPr>
        <w:t xml:space="preserve">de verhouding </w:t>
      </w:r>
      <w:r w:rsidR="00870CF8">
        <w:rPr>
          <w:rFonts w:ascii="Times New Roman" w:hAnsi="Times New Roman" w:eastAsia="MS Mincho" w:cs="Times New Roman"/>
          <w:color w:val="000000"/>
          <w:sz w:val="24"/>
          <w:szCs w:val="24"/>
          <w:shd w:val="clear" w:color="auto" w:fill="FFFFFF"/>
          <w:lang w:eastAsia="nl-NL"/>
        </w:rPr>
        <w:t>tussen v</w:t>
      </w:r>
      <w:r w:rsidRPr="007C5808" w:rsidR="00870CF8">
        <w:rPr>
          <w:rFonts w:ascii="Times New Roman" w:hAnsi="Times New Roman" w:eastAsia="MS Mincho" w:cs="Times New Roman"/>
          <w:color w:val="000000"/>
          <w:sz w:val="24"/>
          <w:szCs w:val="24"/>
          <w:shd w:val="clear" w:color="auto" w:fill="FFFFFF"/>
          <w:lang w:eastAsia="nl-NL"/>
        </w:rPr>
        <w:t>oor- en eindonderzoek,  de (proces)verhoudingen tussen de procespartijen – en deelnemers en de processuele chronologie waarlangs het wetboek is opgebouwd</w:t>
      </w:r>
      <w:r w:rsidR="00870CF8">
        <w:rPr>
          <w:rFonts w:ascii="Times New Roman" w:hAnsi="Times New Roman" w:eastAsia="MS Mincho" w:cs="Times New Roman"/>
          <w:color w:val="000000"/>
          <w:sz w:val="24"/>
          <w:szCs w:val="24"/>
          <w:shd w:val="clear" w:color="auto" w:fill="FFFFFF"/>
          <w:lang w:eastAsia="nl-NL"/>
        </w:rPr>
        <w:t xml:space="preserve"> zijn mede gebaseerd op die procestraditie. </w:t>
      </w:r>
      <w:r w:rsidRPr="007C5808" w:rsidR="00870CF8">
        <w:rPr>
          <w:rFonts w:ascii="Times New Roman" w:hAnsi="Times New Roman" w:eastAsia="MS Mincho" w:cs="Times New Roman"/>
          <w:color w:val="000000"/>
          <w:sz w:val="24"/>
          <w:szCs w:val="24"/>
          <w:shd w:val="clear" w:color="auto" w:fill="FFFFFF"/>
          <w:lang w:eastAsia="nl-NL"/>
        </w:rPr>
        <w:t xml:space="preserve">Een belangrijke karakteristiek van het bestaande wetboek is ook nog steeds dat het zowel wat betreft opbouw als wat betreft de positie van actoren sterk </w:t>
      </w:r>
      <w:r>
        <w:rPr>
          <w:rFonts w:ascii="Times New Roman" w:hAnsi="Times New Roman" w:eastAsia="MS Mincho" w:cs="Times New Roman"/>
          <w:color w:val="000000"/>
          <w:sz w:val="24"/>
          <w:szCs w:val="24"/>
          <w:shd w:val="clear" w:color="auto" w:fill="FFFFFF"/>
          <w:lang w:eastAsia="nl-NL"/>
        </w:rPr>
        <w:t xml:space="preserve">publiekrechtelijk </w:t>
      </w:r>
      <w:r w:rsidRPr="007C5808" w:rsidR="00870CF8">
        <w:rPr>
          <w:rFonts w:ascii="Times New Roman" w:hAnsi="Times New Roman" w:eastAsia="MS Mincho" w:cs="Times New Roman"/>
          <w:color w:val="000000"/>
          <w:sz w:val="24"/>
          <w:szCs w:val="24"/>
          <w:shd w:val="clear" w:color="auto" w:fill="FFFFFF"/>
          <w:lang w:eastAsia="nl-NL"/>
        </w:rPr>
        <w:t xml:space="preserve">is </w:t>
      </w:r>
      <w:r>
        <w:rPr>
          <w:rFonts w:ascii="Times New Roman" w:hAnsi="Times New Roman" w:eastAsia="MS Mincho" w:cs="Times New Roman"/>
          <w:color w:val="000000"/>
          <w:sz w:val="24"/>
          <w:szCs w:val="24"/>
          <w:shd w:val="clear" w:color="auto" w:fill="FFFFFF"/>
          <w:lang w:eastAsia="nl-NL"/>
        </w:rPr>
        <w:t xml:space="preserve">en </w:t>
      </w:r>
      <w:r w:rsidRPr="007C5808" w:rsidR="00870CF8">
        <w:rPr>
          <w:rFonts w:ascii="Times New Roman" w:hAnsi="Times New Roman" w:eastAsia="MS Mincho" w:cs="Times New Roman"/>
          <w:color w:val="000000"/>
          <w:sz w:val="24"/>
          <w:szCs w:val="24"/>
          <w:shd w:val="clear" w:color="auto" w:fill="FFFFFF"/>
          <w:lang w:eastAsia="nl-NL"/>
        </w:rPr>
        <w:t>opgebouwd vanuit de rol in de waarheidsvinding en derhalve – volstrekt anders dan bijvoorbeeld het EVRM – sterk verticaal is georiënteerd.</w:t>
      </w:r>
      <w:r w:rsidR="00870CF8">
        <w:rPr>
          <w:rStyle w:val="FootnoteReference"/>
          <w:rFonts w:ascii="Times New Roman" w:hAnsi="Times New Roman" w:eastAsia="MS Mincho"/>
          <w:color w:val="000000"/>
          <w:sz w:val="24"/>
          <w:szCs w:val="24"/>
          <w:shd w:val="clear" w:color="auto" w:fill="FFFFFF"/>
          <w:lang w:eastAsia="nl-NL"/>
        </w:rPr>
        <w:footnoteReference w:id="4"/>
      </w:r>
      <w:r w:rsidRPr="007C5808" w:rsidR="00870CF8">
        <w:rPr>
          <w:rFonts w:ascii="Times New Roman" w:hAnsi="Times New Roman" w:eastAsia="MS Mincho" w:cs="Times New Roman"/>
          <w:color w:val="000000"/>
          <w:sz w:val="24"/>
          <w:szCs w:val="24"/>
          <w:shd w:val="clear" w:color="auto" w:fill="FFFFFF"/>
          <w:lang w:eastAsia="nl-NL"/>
        </w:rPr>
        <w:t xml:space="preserve"> </w:t>
      </w:r>
    </w:p>
    <w:p w:rsidRPr="007C5808" w:rsidR="008855B4" w:rsidP="009C275A" w:rsidRDefault="009C275A">
      <w:pPr>
        <w:spacing w:before="240" w:after="0" w:line="240" w:lineRule="auto"/>
        <w:rPr>
          <w:rFonts w:ascii="Times New Roman" w:hAnsi="Times New Roman" w:eastAsia="MS Mincho" w:cs="Times New Roman"/>
          <w:i/>
          <w:color w:val="000000"/>
          <w:sz w:val="24"/>
          <w:szCs w:val="24"/>
          <w:shd w:val="clear" w:color="auto" w:fill="FFFFFF"/>
          <w:lang w:eastAsia="nl-NL"/>
        </w:rPr>
      </w:pPr>
      <w:r>
        <w:rPr>
          <w:rFonts w:ascii="Times New Roman" w:hAnsi="Times New Roman" w:eastAsia="MS Mincho" w:cs="Times New Roman"/>
          <w:i/>
          <w:color w:val="000000" w:themeColor="text1"/>
          <w:sz w:val="24"/>
          <w:szCs w:val="24"/>
          <w:shd w:val="clear" w:color="auto" w:fill="FFFFFF"/>
          <w:lang w:eastAsia="nl-NL"/>
        </w:rPr>
        <w:t xml:space="preserve">3. </w:t>
      </w:r>
      <w:r w:rsidRPr="004F4A0F" w:rsidR="008855B4">
        <w:rPr>
          <w:rFonts w:ascii="Times New Roman" w:hAnsi="Times New Roman" w:eastAsia="MS Mincho" w:cs="Times New Roman"/>
          <w:i/>
          <w:color w:val="000000" w:themeColor="text1"/>
          <w:sz w:val="24"/>
          <w:szCs w:val="24"/>
          <w:shd w:val="clear" w:color="auto" w:fill="FFFFFF"/>
          <w:lang w:eastAsia="nl-NL"/>
        </w:rPr>
        <w:t>De context</w:t>
      </w:r>
      <w:r w:rsidRPr="004F4A0F" w:rsidR="004F4A0F">
        <w:rPr>
          <w:rFonts w:ascii="Times New Roman" w:hAnsi="Times New Roman" w:eastAsia="MS Mincho" w:cs="Times New Roman"/>
          <w:i/>
          <w:color w:val="000000" w:themeColor="text1"/>
          <w:sz w:val="24"/>
          <w:szCs w:val="24"/>
          <w:shd w:val="clear" w:color="auto" w:fill="FFFFFF"/>
          <w:lang w:eastAsia="nl-NL"/>
        </w:rPr>
        <w:br/>
      </w:r>
      <w:r w:rsidRPr="004F4A0F" w:rsidR="008855B4">
        <w:rPr>
          <w:rFonts w:ascii="Times New Roman" w:hAnsi="Times New Roman" w:eastAsia="MS Mincho" w:cs="Times New Roman"/>
          <w:color w:val="000000" w:themeColor="text1"/>
          <w:sz w:val="24"/>
          <w:szCs w:val="24"/>
          <w:shd w:val="clear" w:color="auto" w:fill="FFFFFF"/>
          <w:lang w:eastAsia="nl-NL"/>
        </w:rPr>
        <w:t xml:space="preserve">Het </w:t>
      </w:r>
      <w:proofErr w:type="spellStart"/>
      <w:r w:rsidRPr="004F4A0F" w:rsidR="008855B4">
        <w:rPr>
          <w:rFonts w:ascii="Times New Roman" w:hAnsi="Times New Roman" w:eastAsia="MS Mincho" w:cs="Times New Roman"/>
          <w:color w:val="000000" w:themeColor="text1"/>
          <w:sz w:val="24"/>
          <w:szCs w:val="24"/>
          <w:shd w:val="clear" w:color="auto" w:fill="FFFFFF"/>
          <w:lang w:eastAsia="nl-NL"/>
        </w:rPr>
        <w:t>W</w:t>
      </w:r>
      <w:r>
        <w:rPr>
          <w:rFonts w:ascii="Times New Roman" w:hAnsi="Times New Roman" w:eastAsia="MS Mincho" w:cs="Times New Roman"/>
          <w:color w:val="000000" w:themeColor="text1"/>
          <w:sz w:val="24"/>
          <w:szCs w:val="24"/>
          <w:shd w:val="clear" w:color="auto" w:fill="FFFFFF"/>
          <w:lang w:eastAsia="nl-NL"/>
        </w:rPr>
        <w:t>vSv</w:t>
      </w:r>
      <w:proofErr w:type="spellEnd"/>
      <w:r>
        <w:rPr>
          <w:rFonts w:ascii="Times New Roman" w:hAnsi="Times New Roman" w:eastAsia="MS Mincho" w:cs="Times New Roman"/>
          <w:color w:val="000000" w:themeColor="text1"/>
          <w:sz w:val="24"/>
          <w:szCs w:val="24"/>
          <w:shd w:val="clear" w:color="auto" w:fill="FFFFFF"/>
          <w:lang w:eastAsia="nl-NL"/>
        </w:rPr>
        <w:t xml:space="preserve"> </w:t>
      </w:r>
      <w:r w:rsidRPr="004F4A0F" w:rsidR="008855B4">
        <w:rPr>
          <w:rFonts w:ascii="Times New Roman" w:hAnsi="Times New Roman" w:eastAsia="MS Mincho" w:cs="Times New Roman"/>
          <w:color w:val="000000" w:themeColor="text1"/>
          <w:sz w:val="24"/>
          <w:szCs w:val="24"/>
          <w:shd w:val="clear" w:color="auto" w:fill="FFFFFF"/>
          <w:lang w:eastAsia="nl-NL"/>
        </w:rPr>
        <w:t xml:space="preserve">bevat bevoegdheden en voorwaarden voor de toepassing daarvan voor diverse justitiële actoren (opsporingsambtenaren, rechter-commissaris , leden van het OM, rechters, raadsheren) en rechten voor verdediging, slachtoffers, etc. Daarnaast bestaan zowel materieel als processueel verbanden tussen thema’s die worden geregeld in het strafprocesrecht en de </w:t>
      </w:r>
      <w:proofErr w:type="spellStart"/>
      <w:r w:rsidRPr="004F4A0F" w:rsidR="008855B4">
        <w:rPr>
          <w:rFonts w:ascii="Times New Roman" w:hAnsi="Times New Roman" w:eastAsia="MS Mincho" w:cs="Times New Roman"/>
          <w:color w:val="000000" w:themeColor="text1"/>
          <w:sz w:val="24"/>
          <w:szCs w:val="24"/>
          <w:shd w:val="clear" w:color="auto" w:fill="FFFFFF"/>
          <w:lang w:eastAsia="nl-NL"/>
        </w:rPr>
        <w:t>Awb</w:t>
      </w:r>
      <w:proofErr w:type="spellEnd"/>
      <w:r w:rsidRPr="004F4A0F" w:rsidR="008855B4">
        <w:rPr>
          <w:rFonts w:ascii="Times New Roman" w:hAnsi="Times New Roman" w:eastAsia="MS Mincho" w:cs="Times New Roman"/>
          <w:color w:val="000000" w:themeColor="text1"/>
          <w:sz w:val="24"/>
          <w:szCs w:val="24"/>
          <w:shd w:val="clear" w:color="auto" w:fill="FFFFFF"/>
          <w:lang w:eastAsia="nl-NL"/>
        </w:rPr>
        <w:t xml:space="preserve">, respectievelijk in het strafprocesrecht en het civiele recht. Men kan daarbij denken aan de regeling voor de benadeelde partij (bv art. 51f </w:t>
      </w:r>
      <w:proofErr w:type="spellStart"/>
      <w:r w:rsidRPr="004F4A0F" w:rsidR="008855B4">
        <w:rPr>
          <w:rFonts w:ascii="Times New Roman" w:hAnsi="Times New Roman" w:eastAsia="MS Mincho" w:cs="Times New Roman"/>
          <w:color w:val="000000" w:themeColor="text1"/>
          <w:sz w:val="24"/>
          <w:szCs w:val="24"/>
          <w:shd w:val="clear" w:color="auto" w:fill="FFFFFF"/>
          <w:lang w:eastAsia="nl-NL"/>
        </w:rPr>
        <w:t>WvSv</w:t>
      </w:r>
      <w:proofErr w:type="spellEnd"/>
      <w:r w:rsidRPr="004F4A0F" w:rsidR="008855B4">
        <w:rPr>
          <w:rFonts w:ascii="Times New Roman" w:hAnsi="Times New Roman" w:eastAsia="MS Mincho" w:cs="Times New Roman"/>
          <w:color w:val="000000" w:themeColor="text1"/>
          <w:sz w:val="24"/>
          <w:szCs w:val="24"/>
          <w:shd w:val="clear" w:color="auto" w:fill="FFFFFF"/>
          <w:lang w:eastAsia="nl-NL"/>
        </w:rPr>
        <w:t xml:space="preserve">) en aan de afdoening via de bestuurlijke boete (bv. art. 243 </w:t>
      </w:r>
      <w:proofErr w:type="spellStart"/>
      <w:r w:rsidRPr="004F4A0F" w:rsidR="008855B4">
        <w:rPr>
          <w:rFonts w:ascii="Times New Roman" w:hAnsi="Times New Roman" w:eastAsia="MS Mincho" w:cs="Times New Roman"/>
          <w:color w:val="000000" w:themeColor="text1"/>
          <w:sz w:val="24"/>
          <w:szCs w:val="24"/>
          <w:shd w:val="clear" w:color="auto" w:fill="FFFFFF"/>
          <w:lang w:eastAsia="nl-NL"/>
        </w:rPr>
        <w:t>WvSv</w:t>
      </w:r>
      <w:proofErr w:type="spellEnd"/>
      <w:r w:rsidRPr="004F4A0F" w:rsidR="008855B4">
        <w:rPr>
          <w:rFonts w:ascii="Times New Roman" w:hAnsi="Times New Roman" w:eastAsia="MS Mincho" w:cs="Times New Roman"/>
          <w:color w:val="000000" w:themeColor="text1"/>
          <w:sz w:val="24"/>
          <w:szCs w:val="24"/>
          <w:shd w:val="clear" w:color="auto" w:fill="FFFFFF"/>
          <w:lang w:eastAsia="nl-NL"/>
        </w:rPr>
        <w:t xml:space="preserve">). Het </w:t>
      </w:r>
      <w:proofErr w:type="spellStart"/>
      <w:r w:rsidRPr="004F4A0F" w:rsidR="008855B4">
        <w:rPr>
          <w:rFonts w:ascii="Times New Roman" w:hAnsi="Times New Roman" w:eastAsia="MS Mincho" w:cs="Times New Roman"/>
          <w:color w:val="000000" w:themeColor="text1"/>
          <w:sz w:val="24"/>
          <w:szCs w:val="24"/>
          <w:shd w:val="clear" w:color="auto" w:fill="FFFFFF"/>
          <w:lang w:eastAsia="nl-NL"/>
        </w:rPr>
        <w:t>W</w:t>
      </w:r>
      <w:r>
        <w:rPr>
          <w:rFonts w:ascii="Times New Roman" w:hAnsi="Times New Roman" w:eastAsia="MS Mincho" w:cs="Times New Roman"/>
          <w:color w:val="000000" w:themeColor="text1"/>
          <w:sz w:val="24"/>
          <w:szCs w:val="24"/>
          <w:shd w:val="clear" w:color="auto" w:fill="FFFFFF"/>
          <w:lang w:eastAsia="nl-NL"/>
        </w:rPr>
        <w:t>vSv</w:t>
      </w:r>
      <w:proofErr w:type="spellEnd"/>
      <w:r>
        <w:rPr>
          <w:rFonts w:ascii="Times New Roman" w:hAnsi="Times New Roman" w:eastAsia="MS Mincho" w:cs="Times New Roman"/>
          <w:color w:val="000000" w:themeColor="text1"/>
          <w:sz w:val="24"/>
          <w:szCs w:val="24"/>
          <w:shd w:val="clear" w:color="auto" w:fill="FFFFFF"/>
          <w:lang w:eastAsia="nl-NL"/>
        </w:rPr>
        <w:t xml:space="preserve"> </w:t>
      </w:r>
      <w:r w:rsidRPr="004F4A0F" w:rsidR="008855B4">
        <w:rPr>
          <w:rFonts w:ascii="Times New Roman" w:hAnsi="Times New Roman" w:eastAsia="MS Mincho" w:cs="Times New Roman"/>
          <w:color w:val="000000" w:themeColor="text1"/>
          <w:sz w:val="24"/>
          <w:szCs w:val="24"/>
          <w:shd w:val="clear" w:color="auto" w:fill="FFFFFF"/>
          <w:lang w:eastAsia="nl-NL"/>
        </w:rPr>
        <w:t xml:space="preserve">verhoudt zich </w:t>
      </w:r>
      <w:r>
        <w:rPr>
          <w:rFonts w:ascii="Times New Roman" w:hAnsi="Times New Roman" w:eastAsia="MS Mincho" w:cs="Times New Roman"/>
          <w:color w:val="000000" w:themeColor="text1"/>
          <w:sz w:val="24"/>
          <w:szCs w:val="24"/>
          <w:shd w:val="clear" w:color="auto" w:fill="FFFFFF"/>
          <w:lang w:eastAsia="nl-NL"/>
        </w:rPr>
        <w:t xml:space="preserve">dan ook </w:t>
      </w:r>
      <w:r w:rsidRPr="007C5808" w:rsidR="008855B4">
        <w:rPr>
          <w:rFonts w:ascii="Times New Roman" w:hAnsi="Times New Roman" w:eastAsia="MS Mincho" w:cs="Times New Roman"/>
          <w:color w:val="000000"/>
          <w:sz w:val="24"/>
          <w:szCs w:val="24"/>
          <w:shd w:val="clear" w:color="auto" w:fill="FFFFFF"/>
          <w:lang w:eastAsia="nl-NL"/>
        </w:rPr>
        <w:t xml:space="preserve">zowel dogmatisch als systematisch tot wetgeving die qua inhoud en/of vorm aan de inhoud en/of vorm aan dat wetboek zijn gelieerd, zoals de Grondwet, </w:t>
      </w:r>
      <w:r w:rsidR="008855B4">
        <w:rPr>
          <w:rFonts w:ascii="Times New Roman" w:hAnsi="Times New Roman" w:eastAsia="MS Mincho" w:cs="Times New Roman"/>
          <w:color w:val="000000"/>
          <w:sz w:val="24"/>
          <w:szCs w:val="24"/>
          <w:shd w:val="clear" w:color="auto" w:fill="FFFFFF"/>
          <w:lang w:eastAsia="nl-NL"/>
        </w:rPr>
        <w:t xml:space="preserve">de </w:t>
      </w:r>
      <w:r w:rsidRPr="007C5808" w:rsidR="008855B4">
        <w:rPr>
          <w:rFonts w:ascii="Times New Roman" w:hAnsi="Times New Roman" w:eastAsia="MS Mincho" w:cs="Times New Roman"/>
          <w:color w:val="000000"/>
          <w:sz w:val="24"/>
          <w:szCs w:val="24"/>
          <w:shd w:val="clear" w:color="auto" w:fill="FFFFFF"/>
          <w:lang w:eastAsia="nl-NL"/>
        </w:rPr>
        <w:t xml:space="preserve">Wet RO, </w:t>
      </w:r>
      <w:r w:rsidR="008855B4">
        <w:rPr>
          <w:rFonts w:ascii="Times New Roman" w:hAnsi="Times New Roman" w:eastAsia="MS Mincho" w:cs="Times New Roman"/>
          <w:color w:val="000000"/>
          <w:sz w:val="24"/>
          <w:szCs w:val="24"/>
          <w:shd w:val="clear" w:color="auto" w:fill="FFFFFF"/>
          <w:lang w:eastAsia="nl-NL"/>
        </w:rPr>
        <w:t>h</w:t>
      </w:r>
      <w:r w:rsidRPr="007C5808" w:rsidR="008855B4">
        <w:rPr>
          <w:rFonts w:ascii="Times New Roman" w:hAnsi="Times New Roman" w:eastAsia="MS Mincho" w:cs="Times New Roman"/>
          <w:color w:val="000000"/>
          <w:sz w:val="24"/>
          <w:szCs w:val="24"/>
          <w:shd w:val="clear" w:color="auto" w:fill="FFFFFF"/>
          <w:lang w:eastAsia="nl-NL"/>
        </w:rPr>
        <w:t xml:space="preserve">et Wetboek van Strafrecht, bijzondere wetten, de politiewet, Verdragen, Europese wet- en regelgeving, bijzondere wetten, de </w:t>
      </w:r>
      <w:proofErr w:type="spellStart"/>
      <w:r w:rsidRPr="007C5808" w:rsidR="008855B4">
        <w:rPr>
          <w:rFonts w:ascii="Times New Roman" w:hAnsi="Times New Roman" w:eastAsia="MS Mincho" w:cs="Times New Roman"/>
          <w:color w:val="000000"/>
          <w:sz w:val="24"/>
          <w:szCs w:val="24"/>
          <w:shd w:val="clear" w:color="auto" w:fill="FFFFFF"/>
          <w:lang w:eastAsia="nl-NL"/>
        </w:rPr>
        <w:t>Awb</w:t>
      </w:r>
      <w:proofErr w:type="spellEnd"/>
      <w:r w:rsidRPr="007C5808" w:rsidR="008855B4">
        <w:rPr>
          <w:rFonts w:ascii="Times New Roman" w:hAnsi="Times New Roman" w:eastAsia="MS Mincho" w:cs="Times New Roman"/>
          <w:color w:val="000000"/>
          <w:sz w:val="24"/>
          <w:szCs w:val="24"/>
          <w:shd w:val="clear" w:color="auto" w:fill="FFFFFF"/>
          <w:lang w:eastAsia="nl-NL"/>
        </w:rPr>
        <w:t xml:space="preserve"> en het civiel (proces)recht.</w:t>
      </w:r>
    </w:p>
    <w:p w:rsidR="004F4A0F" w:rsidP="009C275A" w:rsidRDefault="009C275A">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Twee </w:t>
      </w:r>
      <w:r w:rsidR="004F4A0F">
        <w:rPr>
          <w:rFonts w:ascii="Times New Roman" w:hAnsi="Times New Roman" w:eastAsia="MS Mincho" w:cs="Times New Roman"/>
          <w:color w:val="000000"/>
          <w:sz w:val="24"/>
          <w:szCs w:val="24"/>
          <w:shd w:val="clear" w:color="auto" w:fill="FFFFFF"/>
          <w:lang w:eastAsia="nl-NL"/>
        </w:rPr>
        <w:t xml:space="preserve">voorbeelden kunnen </w:t>
      </w:r>
      <w:r w:rsidRPr="00507617" w:rsidR="004F4A0F">
        <w:rPr>
          <w:rFonts w:ascii="Times New Roman" w:hAnsi="Times New Roman" w:eastAsia="MS Mincho" w:cs="Times New Roman"/>
          <w:color w:val="000000"/>
          <w:sz w:val="24"/>
          <w:szCs w:val="24"/>
          <w:shd w:val="clear" w:color="auto" w:fill="FFFFFF"/>
          <w:lang w:eastAsia="nl-NL"/>
        </w:rPr>
        <w:t>i</w:t>
      </w:r>
      <w:r w:rsidR="004F4A0F">
        <w:rPr>
          <w:rFonts w:ascii="Times New Roman" w:hAnsi="Times New Roman" w:eastAsia="MS Mincho" w:cs="Times New Roman"/>
          <w:color w:val="000000"/>
          <w:sz w:val="24"/>
          <w:szCs w:val="24"/>
          <w:shd w:val="clear" w:color="auto" w:fill="FFFFFF"/>
          <w:lang w:eastAsia="nl-NL"/>
        </w:rPr>
        <w:t xml:space="preserve">llustreren dat er kansen worden gemist die </w:t>
      </w:r>
      <w:r w:rsidRPr="00507617" w:rsidR="004F4A0F">
        <w:rPr>
          <w:rFonts w:ascii="Times New Roman" w:hAnsi="Times New Roman" w:eastAsia="MS Mincho" w:cs="Times New Roman"/>
          <w:color w:val="000000"/>
          <w:sz w:val="24"/>
          <w:szCs w:val="24"/>
          <w:shd w:val="clear" w:color="auto" w:fill="FFFFFF"/>
          <w:lang w:eastAsia="nl-NL"/>
        </w:rPr>
        <w:t>niet vrijblijvend</w:t>
      </w:r>
      <w:r w:rsidR="004F4A0F">
        <w:rPr>
          <w:rFonts w:ascii="Times New Roman" w:hAnsi="Times New Roman" w:eastAsia="MS Mincho" w:cs="Times New Roman"/>
          <w:color w:val="000000"/>
          <w:sz w:val="24"/>
          <w:szCs w:val="24"/>
          <w:shd w:val="clear" w:color="auto" w:fill="FFFFFF"/>
          <w:lang w:eastAsia="nl-NL"/>
        </w:rPr>
        <w:t xml:space="preserve"> zijn omdat ze de toets aan </w:t>
      </w:r>
      <w:r w:rsidRPr="00507617" w:rsidR="004F4A0F">
        <w:rPr>
          <w:rFonts w:ascii="Times New Roman" w:hAnsi="Times New Roman" w:eastAsia="MS Mincho" w:cs="Times New Roman"/>
          <w:color w:val="000000"/>
          <w:sz w:val="24"/>
          <w:szCs w:val="24"/>
          <w:shd w:val="clear" w:color="auto" w:fill="FFFFFF"/>
          <w:lang w:eastAsia="nl-NL"/>
        </w:rPr>
        <w:t xml:space="preserve">geformuleerde ijkpunten </w:t>
      </w:r>
      <w:r w:rsidR="004F4A0F">
        <w:rPr>
          <w:rFonts w:ascii="Times New Roman" w:hAnsi="Times New Roman" w:eastAsia="MS Mincho" w:cs="Times New Roman"/>
          <w:color w:val="000000"/>
          <w:sz w:val="24"/>
          <w:szCs w:val="24"/>
          <w:shd w:val="clear" w:color="auto" w:fill="FFFFFF"/>
          <w:lang w:eastAsia="nl-NL"/>
        </w:rPr>
        <w:t xml:space="preserve">niet  </w:t>
      </w:r>
      <w:r w:rsidRPr="00507617" w:rsidR="004F4A0F">
        <w:rPr>
          <w:rFonts w:ascii="Times New Roman" w:hAnsi="Times New Roman" w:eastAsia="MS Mincho" w:cs="Times New Roman"/>
          <w:color w:val="000000"/>
          <w:sz w:val="24"/>
          <w:szCs w:val="24"/>
          <w:shd w:val="clear" w:color="auto" w:fill="FFFFFF"/>
          <w:lang w:eastAsia="nl-NL"/>
        </w:rPr>
        <w:t xml:space="preserve">kan doorstaan. </w:t>
      </w:r>
    </w:p>
    <w:p w:rsidRPr="00D9036A" w:rsidR="004F4A0F" w:rsidP="002D24C7" w:rsidRDefault="004F4A0F">
      <w:pPr>
        <w:spacing w:before="240" w:after="0" w:line="240" w:lineRule="auto"/>
        <w:rPr>
          <w:rFonts w:ascii="Times New Roman" w:hAnsi="Times New Roman" w:eastAsia="MS Mincho" w:cs="Times New Roman"/>
          <w:color w:val="000000" w:themeColor="text1"/>
          <w:sz w:val="24"/>
          <w:szCs w:val="24"/>
          <w:shd w:val="clear" w:color="auto" w:fill="FFFFFF"/>
          <w:lang w:eastAsia="nl-NL"/>
        </w:rPr>
      </w:pPr>
      <w:r w:rsidRPr="00F77B37">
        <w:rPr>
          <w:rFonts w:ascii="Times New Roman" w:hAnsi="Times New Roman" w:eastAsia="MS Mincho" w:cs="Times New Roman"/>
          <w:i/>
          <w:color w:val="000000"/>
          <w:sz w:val="24"/>
          <w:szCs w:val="24"/>
          <w:shd w:val="clear" w:color="auto" w:fill="FFFFFF"/>
          <w:lang w:eastAsia="nl-NL"/>
        </w:rPr>
        <w:t xml:space="preserve">De verhouding tussen strafrecht en strafvordering </w:t>
      </w:r>
      <w:r w:rsidRPr="00F77B37">
        <w:rPr>
          <w:rFonts w:ascii="Times New Roman" w:hAnsi="Times New Roman" w:eastAsia="MS Mincho" w:cs="Times New Roman"/>
          <w:i/>
          <w:color w:val="000000"/>
          <w:sz w:val="24"/>
          <w:szCs w:val="24"/>
          <w:shd w:val="clear" w:color="auto" w:fill="FFFFFF"/>
          <w:lang w:eastAsia="nl-NL"/>
        </w:rPr>
        <w:br/>
      </w:r>
      <w:r w:rsidRPr="00F77B37">
        <w:rPr>
          <w:rFonts w:ascii="Times New Roman" w:hAnsi="Times New Roman" w:eastAsia="MS Mincho" w:cs="Times New Roman"/>
          <w:sz w:val="24"/>
          <w:szCs w:val="24"/>
          <w:shd w:val="clear" w:color="auto" w:fill="FFFFFF"/>
          <w:lang w:eastAsia="nl-NL"/>
        </w:rPr>
        <w:t xml:space="preserve">Van oudsher werd aan het strafprocesrecht een dienende functie toegekend te behoeve van de verwerkelijking van de materiële normen uit het strafrecht. Het </w:t>
      </w:r>
      <w:r>
        <w:rPr>
          <w:rFonts w:ascii="Times New Roman" w:hAnsi="Times New Roman" w:eastAsia="MS Mincho" w:cs="Times New Roman"/>
          <w:sz w:val="24"/>
          <w:szCs w:val="24"/>
          <w:shd w:val="clear" w:color="auto" w:fill="FFFFFF"/>
          <w:lang w:eastAsia="nl-NL"/>
        </w:rPr>
        <w:t>materiële</w:t>
      </w:r>
      <w:r w:rsidRPr="00F77B37">
        <w:rPr>
          <w:rFonts w:ascii="Times New Roman" w:hAnsi="Times New Roman" w:eastAsia="MS Mincho" w:cs="Times New Roman"/>
          <w:sz w:val="24"/>
          <w:szCs w:val="24"/>
          <w:shd w:val="clear" w:color="auto" w:fill="FFFFFF"/>
          <w:lang w:eastAsia="nl-NL"/>
        </w:rPr>
        <w:t xml:space="preserve"> strafrecht had </w:t>
      </w:r>
      <w:r>
        <w:rPr>
          <w:rFonts w:ascii="Times New Roman" w:hAnsi="Times New Roman" w:eastAsia="MS Mincho" w:cs="Times New Roman"/>
          <w:sz w:val="24"/>
          <w:szCs w:val="24"/>
          <w:shd w:val="clear" w:color="auto" w:fill="FFFFFF"/>
          <w:lang w:eastAsia="nl-NL"/>
        </w:rPr>
        <w:t xml:space="preserve">zo bezien </w:t>
      </w:r>
      <w:r w:rsidRPr="00F77B37">
        <w:rPr>
          <w:rFonts w:ascii="Times New Roman" w:hAnsi="Times New Roman" w:eastAsia="MS Mincho" w:cs="Times New Roman"/>
          <w:sz w:val="24"/>
          <w:szCs w:val="24"/>
          <w:shd w:val="clear" w:color="auto" w:fill="FFFFFF"/>
          <w:lang w:eastAsia="nl-NL"/>
        </w:rPr>
        <w:t>het primaat. Dit uitgangspunt moet en is inmiddels behoorlijk genuanceerd. Er is op vele manieren sprake van een vervlechting tussen de beide stelsels.</w:t>
      </w:r>
      <w:r>
        <w:rPr>
          <w:rFonts w:ascii="Times New Roman" w:hAnsi="Times New Roman" w:eastAsia="MS Mincho" w:cs="Times New Roman"/>
          <w:sz w:val="24"/>
          <w:szCs w:val="24"/>
          <w:shd w:val="clear" w:color="auto" w:fill="FFFFFF"/>
          <w:lang w:eastAsia="nl-NL"/>
        </w:rPr>
        <w:t xml:space="preserve"> </w:t>
      </w:r>
      <w:r w:rsidRPr="00F77B37">
        <w:rPr>
          <w:rFonts w:ascii="Times New Roman" w:hAnsi="Times New Roman" w:eastAsia="MS Mincho" w:cs="Times New Roman"/>
          <w:color w:val="000000"/>
          <w:sz w:val="24"/>
          <w:szCs w:val="24"/>
          <w:shd w:val="clear" w:color="auto" w:fill="FFFFFF"/>
          <w:lang w:eastAsia="nl-NL"/>
        </w:rPr>
        <w:t>Desalniettemin is en blijft de positie van de materieelrechtelijke wetgever ‘onmisbaar en voorwaardenscheppend’. Neemt men deze positie serieus, dan ligt het in de rede die betekenis van het materi</w:t>
      </w:r>
      <w:r>
        <w:rPr>
          <w:rFonts w:ascii="Times New Roman" w:hAnsi="Times New Roman" w:eastAsia="MS Mincho" w:cs="Times New Roman"/>
          <w:color w:val="000000"/>
          <w:sz w:val="24"/>
          <w:szCs w:val="24"/>
          <w:shd w:val="clear" w:color="auto" w:fill="FFFFFF"/>
          <w:lang w:eastAsia="nl-NL"/>
        </w:rPr>
        <w:t>ë</w:t>
      </w:r>
      <w:r w:rsidRPr="00F77B37">
        <w:rPr>
          <w:rFonts w:ascii="Times New Roman" w:hAnsi="Times New Roman" w:eastAsia="MS Mincho" w:cs="Times New Roman"/>
          <w:color w:val="000000"/>
          <w:sz w:val="24"/>
          <w:szCs w:val="24"/>
          <w:shd w:val="clear" w:color="auto" w:fill="FFFFFF"/>
          <w:lang w:eastAsia="nl-NL"/>
        </w:rPr>
        <w:t xml:space="preserve">le strafrecht in het moderniseringsproces systematisch mee te nemen. </w:t>
      </w:r>
    </w:p>
    <w:p w:rsidR="004F4A0F" w:rsidP="002D24C7" w:rsidRDefault="004F4A0F">
      <w:pPr>
        <w:pStyle w:val="Default"/>
        <w:rPr>
          <w:rFonts w:ascii="Times New Roman" w:hAnsi="Times New Roman" w:eastAsia="MS Mincho" w:cs="Times New Roman"/>
          <w:shd w:val="clear" w:color="auto" w:fill="FFFFFF"/>
          <w:lang w:eastAsia="nl-NL"/>
        </w:rPr>
      </w:pPr>
      <w:r>
        <w:rPr>
          <w:rFonts w:ascii="Times New Roman" w:hAnsi="Times New Roman" w:eastAsia="MS Mincho" w:cs="Times New Roman"/>
          <w:shd w:val="clear" w:color="auto" w:fill="FFFFFF"/>
          <w:lang w:eastAsia="nl-NL"/>
        </w:rPr>
        <w:t xml:space="preserve">Ter illustratie van de verwevenheid tussen het strafprocesrecht en het materiële strafrecht kan hier worden </w:t>
      </w:r>
      <w:r w:rsidRPr="007C5808">
        <w:rPr>
          <w:rFonts w:ascii="Times New Roman" w:hAnsi="Times New Roman" w:eastAsia="MS Mincho" w:cs="Times New Roman"/>
          <w:shd w:val="clear" w:color="auto" w:fill="FFFFFF"/>
          <w:lang w:eastAsia="nl-NL"/>
        </w:rPr>
        <w:t xml:space="preserve">gewezen op de wijze waarop het OM met </w:t>
      </w:r>
      <w:r>
        <w:rPr>
          <w:rFonts w:ascii="Times New Roman" w:hAnsi="Times New Roman" w:eastAsia="MS Mincho" w:cs="Times New Roman"/>
          <w:shd w:val="clear" w:color="auto" w:fill="FFFFFF"/>
          <w:lang w:eastAsia="nl-NL"/>
        </w:rPr>
        <w:t>zijn beleid inzake o</w:t>
      </w:r>
      <w:r w:rsidRPr="007C5808">
        <w:rPr>
          <w:rFonts w:ascii="Times New Roman" w:hAnsi="Times New Roman" w:eastAsia="MS Mincho" w:cs="Times New Roman"/>
          <w:shd w:val="clear" w:color="auto" w:fill="FFFFFF"/>
          <w:lang w:eastAsia="nl-NL"/>
        </w:rPr>
        <w:t xml:space="preserve">psporing en vervolging </w:t>
      </w:r>
      <w:r>
        <w:rPr>
          <w:rFonts w:ascii="Times New Roman" w:hAnsi="Times New Roman" w:eastAsia="MS Mincho" w:cs="Times New Roman"/>
          <w:shd w:val="clear" w:color="auto" w:fill="FFFFFF"/>
          <w:lang w:eastAsia="nl-NL"/>
        </w:rPr>
        <w:t>het materiële recht mede vorm geeft. Deze vervlechting via het opportuniteitsbeginsel kan een mitigerende werking hebben op de reikwijdte van het strafrecht, maar biedt evengoed ruimte voor aanscherping van het bereik van strafrechtelijke aansprakelijkheid.</w:t>
      </w:r>
      <w:r w:rsidRPr="007C5808">
        <w:rPr>
          <w:rFonts w:ascii="Times New Roman" w:hAnsi="Times New Roman" w:eastAsia="MS Mincho" w:cs="Times New Roman"/>
          <w:shd w:val="clear" w:color="auto" w:fill="FFFFFF"/>
          <w:lang w:eastAsia="nl-NL"/>
        </w:rPr>
        <w:t xml:space="preserve"> </w:t>
      </w:r>
      <w:r>
        <w:rPr>
          <w:rFonts w:ascii="Times New Roman" w:hAnsi="Times New Roman" w:eastAsia="MS Mincho" w:cs="Times New Roman"/>
          <w:shd w:val="clear" w:color="auto" w:fill="FFFFFF"/>
          <w:lang w:eastAsia="nl-NL"/>
        </w:rPr>
        <w:t xml:space="preserve">Daarnaast zien we ook een aanscherping van het vervolgingsbeleid als gevolg van de doelstelling om de belangen van het slachtoffer bij vervolging zwaarder te laten wegen dan voorheen. De ontwikkelingen in de richting van een Europees OM zullen in de toekomst wellicht aanleiding geven tot nog meer aanscherping. Bij dergelijke ontwikkelingen is en blijft alertheid vereist. Aanscherping van het vervolgingsbeleid kan immers, ingeval niet gelijktijdig aandacht wordt besteed aan een scherpe </w:t>
      </w:r>
      <w:r>
        <w:rPr>
          <w:rFonts w:ascii="Times New Roman" w:hAnsi="Times New Roman" w:eastAsia="MS Mincho" w:cs="Times New Roman"/>
          <w:shd w:val="clear" w:color="auto" w:fill="FFFFFF"/>
          <w:lang w:eastAsia="nl-NL"/>
        </w:rPr>
        <w:lastRenderedPageBreak/>
        <w:t xml:space="preserve">begrenzing van het materieel strafrecht, meebrengen dat de wisselwerking tussen het materiële en formele strafrecht </w:t>
      </w:r>
      <w:r w:rsidR="00D9036A">
        <w:rPr>
          <w:rFonts w:ascii="Times New Roman" w:hAnsi="Times New Roman" w:eastAsia="MS Mincho" w:cs="Times New Roman"/>
          <w:shd w:val="clear" w:color="auto" w:fill="FFFFFF"/>
          <w:lang w:eastAsia="nl-NL"/>
        </w:rPr>
        <w:t xml:space="preserve">gevolgen heeft voor de omvang </w:t>
      </w:r>
      <w:r>
        <w:rPr>
          <w:rFonts w:ascii="Times New Roman" w:hAnsi="Times New Roman" w:eastAsia="MS Mincho" w:cs="Times New Roman"/>
          <w:shd w:val="clear" w:color="auto" w:fill="FFFFFF"/>
          <w:lang w:eastAsia="nl-NL"/>
        </w:rPr>
        <w:t xml:space="preserve">van strafrechtelijk aansprakelijkheid. </w:t>
      </w:r>
    </w:p>
    <w:p w:rsidR="00D9036A" w:rsidP="004F4A0F" w:rsidRDefault="004F4A0F">
      <w:pPr>
        <w:pStyle w:val="Default"/>
        <w:rPr>
          <w:rFonts w:ascii="Times New Roman" w:hAnsi="Times New Roman" w:eastAsia="MS Mincho" w:cs="Times New Roman"/>
          <w:shd w:val="clear" w:color="auto" w:fill="FFFFFF"/>
          <w:lang w:eastAsia="nl-NL"/>
        </w:rPr>
      </w:pPr>
      <w:r>
        <w:rPr>
          <w:rFonts w:ascii="Times New Roman" w:hAnsi="Times New Roman" w:eastAsia="MS Mincho" w:cs="Times New Roman"/>
          <w:shd w:val="clear" w:color="auto" w:fill="FFFFFF"/>
          <w:lang w:eastAsia="nl-NL"/>
        </w:rPr>
        <w:t xml:space="preserve">De begeleidende brief, noch de Contourennota geven er blijk van dat bovenbedoelde consequenties van de vervlechting van het opportuniteitsbeginsel met het materiële strafrecht serieus worden genomen. </w:t>
      </w:r>
    </w:p>
    <w:p w:rsidR="004F4A0F" w:rsidP="002D24C7" w:rsidRDefault="004F4A0F">
      <w:pPr>
        <w:pStyle w:val="Default"/>
        <w:rPr>
          <w:rFonts w:ascii="Times New Roman" w:hAnsi="Times New Roman" w:eastAsia="MS Mincho" w:cs="Times New Roman"/>
          <w:color w:val="000000" w:themeColor="text1"/>
          <w:shd w:val="clear" w:color="auto" w:fill="FFFFFF"/>
          <w:lang w:eastAsia="nl-NL"/>
        </w:rPr>
      </w:pPr>
      <w:r>
        <w:rPr>
          <w:rFonts w:ascii="Times New Roman" w:hAnsi="Times New Roman" w:eastAsia="MS Mincho" w:cs="Times New Roman"/>
          <w:shd w:val="clear" w:color="auto" w:fill="FFFFFF"/>
          <w:lang w:eastAsia="nl-NL"/>
        </w:rPr>
        <w:t xml:space="preserve">Nu het opportuniteitsbeginsel maximale ruimte biedt om in te spelen op actuele maatschappelijke behoeften lijken er vooralsnog weinig bezwaren te bestaan tegen dit in onze rechtstraditie verankerde beginsel in wisselwerking met de materieelrechtelijke wetgeving. Desalniettemin liggen er ook gevaren op de loer. Allereerst kan de verhouding tussen staand vervolgingsbeleid en de materieelrechtelijke wetgeving altijd onder invloed van politieke verhoudingen sterk onder druk komen te staan. De </w:t>
      </w:r>
      <w:r w:rsidRPr="007B043B">
        <w:rPr>
          <w:rFonts w:ascii="Times New Roman" w:hAnsi="Times New Roman" w:eastAsia="MS Mincho" w:cs="Times New Roman"/>
          <w:color w:val="000000" w:themeColor="text1"/>
          <w:shd w:val="clear" w:color="auto" w:fill="FFFFFF"/>
          <w:lang w:eastAsia="nl-NL"/>
        </w:rPr>
        <w:t xml:space="preserve">duurzaamheid </w:t>
      </w:r>
      <w:r>
        <w:rPr>
          <w:rFonts w:ascii="Times New Roman" w:hAnsi="Times New Roman" w:eastAsia="MS Mincho" w:cs="Times New Roman"/>
          <w:color w:val="000000" w:themeColor="text1"/>
          <w:shd w:val="clear" w:color="auto" w:fill="FFFFFF"/>
          <w:lang w:eastAsia="nl-NL"/>
        </w:rPr>
        <w:t xml:space="preserve">van strafrechtelijk beleid </w:t>
      </w:r>
      <w:r w:rsidRPr="007B043B">
        <w:rPr>
          <w:rFonts w:ascii="Times New Roman" w:hAnsi="Times New Roman" w:eastAsia="MS Mincho" w:cs="Times New Roman"/>
          <w:color w:val="000000" w:themeColor="text1"/>
          <w:shd w:val="clear" w:color="auto" w:fill="FFFFFF"/>
          <w:lang w:eastAsia="nl-NL"/>
        </w:rPr>
        <w:t xml:space="preserve">en de </w:t>
      </w:r>
      <w:r>
        <w:rPr>
          <w:rFonts w:ascii="Times New Roman" w:hAnsi="Times New Roman" w:eastAsia="MS Mincho" w:cs="Times New Roman"/>
          <w:color w:val="000000" w:themeColor="text1"/>
          <w:shd w:val="clear" w:color="auto" w:fill="FFFFFF"/>
          <w:lang w:eastAsia="nl-NL"/>
        </w:rPr>
        <w:t xml:space="preserve">daarmee samenhangende </w:t>
      </w:r>
      <w:r w:rsidRPr="007B043B">
        <w:rPr>
          <w:rFonts w:ascii="Times New Roman" w:hAnsi="Times New Roman" w:eastAsia="MS Mincho" w:cs="Times New Roman"/>
          <w:color w:val="000000" w:themeColor="text1"/>
          <w:shd w:val="clear" w:color="auto" w:fill="FFFFFF"/>
          <w:lang w:eastAsia="nl-NL"/>
        </w:rPr>
        <w:t>rechtszekerheid van de burger</w:t>
      </w:r>
      <w:r>
        <w:rPr>
          <w:rFonts w:ascii="Times New Roman" w:hAnsi="Times New Roman" w:eastAsia="MS Mincho" w:cs="Times New Roman"/>
          <w:color w:val="000000" w:themeColor="text1"/>
          <w:shd w:val="clear" w:color="auto" w:fill="FFFFFF"/>
          <w:lang w:eastAsia="nl-NL"/>
        </w:rPr>
        <w:t xml:space="preserve"> blijven door de </w:t>
      </w:r>
      <w:r>
        <w:rPr>
          <w:rFonts w:ascii="Times New Roman" w:hAnsi="Times New Roman" w:eastAsia="MS Mincho" w:cs="Times New Roman"/>
          <w:shd w:val="clear" w:color="auto" w:fill="FFFFFF"/>
          <w:lang w:eastAsia="nl-NL"/>
        </w:rPr>
        <w:t xml:space="preserve">onderlinge afhankelijkheid tussen strafwetgeving, OM-beleid en politieke stellingnames een kwetsbaar bezit. Ook bij de inmiddels breed uitgerolde modaliteit van de strafbeschikking is de relatie tot het materiële strafrecht verzwakt nu de aard en/of de ernst van het strafbare feit voor het gros van de zaken er nauwelijks meer toe doet bij de keuze tussen afdoeningsmodaliteiten. Maar ook de externe systematiek en de context nopen tot aandacht voor het opportuniteitsbeginsel. De doorwerking van Europees materieel strafrecht in ons nationaal materieel strafrecht roept zowel vragen op over de verhouding tussen Europese regelgever en de nationale wetgever als – in aansluiting daarop – tussen nationale wetgever en het OM. En als een </w:t>
      </w:r>
      <w:r w:rsidRPr="007B043B">
        <w:rPr>
          <w:rFonts w:ascii="Times New Roman" w:hAnsi="Times New Roman" w:eastAsia="MS Mincho" w:cs="Times New Roman"/>
          <w:color w:val="000000" w:themeColor="text1"/>
          <w:shd w:val="clear" w:color="auto" w:fill="FFFFFF"/>
          <w:lang w:eastAsia="nl-NL"/>
        </w:rPr>
        <w:t>toekomstig Europees OM daadwerkelijk invloed kan en zal gaan uitoefenen op het nationale vervolgingsbeleid komt de verhouding tussen materieel en formeel strafrecht  wellicht nog verder onder druk te staan</w:t>
      </w:r>
      <w:r>
        <w:rPr>
          <w:rFonts w:ascii="Times New Roman" w:hAnsi="Times New Roman" w:eastAsia="MS Mincho" w:cs="Times New Roman"/>
          <w:color w:val="000000" w:themeColor="text1"/>
          <w:shd w:val="clear" w:color="auto" w:fill="FFFFFF"/>
          <w:lang w:eastAsia="nl-NL"/>
        </w:rPr>
        <w:t xml:space="preserve">. </w:t>
      </w:r>
    </w:p>
    <w:p w:rsidRPr="007B043B" w:rsidR="004F4A0F" w:rsidP="00493246" w:rsidRDefault="004F4A0F">
      <w:pPr>
        <w:pStyle w:val="Default"/>
        <w:rPr>
          <w:rFonts w:ascii="Times New Roman" w:hAnsi="Times New Roman" w:eastAsia="MS Mincho" w:cs="Times New Roman"/>
          <w:color w:val="000000" w:themeColor="text1"/>
          <w:shd w:val="clear" w:color="auto" w:fill="FFFFFF"/>
          <w:lang w:eastAsia="nl-NL"/>
        </w:rPr>
      </w:pPr>
      <w:r>
        <w:rPr>
          <w:rFonts w:ascii="Times New Roman" w:hAnsi="Times New Roman" w:eastAsia="MS Mincho" w:cs="Times New Roman"/>
          <w:color w:val="000000" w:themeColor="text1"/>
          <w:shd w:val="clear" w:color="auto" w:fill="FFFFFF"/>
          <w:lang w:eastAsia="nl-NL"/>
        </w:rPr>
        <w:t xml:space="preserve">Betrekt men bij dit alles dat het opportuniteitsbeginsel in onze rechtstraditie een sterke plaats heeft en zijn stempel heeft gedrukt op het wetboek als geheel, dan kan een ‘overdenking’ ook doorwerken op diverse andere bepalingen in het </w:t>
      </w:r>
      <w:proofErr w:type="spellStart"/>
      <w:r>
        <w:rPr>
          <w:rFonts w:ascii="Times New Roman" w:hAnsi="Times New Roman" w:eastAsia="MS Mincho" w:cs="Times New Roman"/>
          <w:color w:val="000000" w:themeColor="text1"/>
          <w:shd w:val="clear" w:color="auto" w:fill="FFFFFF"/>
          <w:lang w:eastAsia="nl-NL"/>
        </w:rPr>
        <w:t>W</w:t>
      </w:r>
      <w:r w:rsidR="00493246">
        <w:rPr>
          <w:rFonts w:ascii="Times New Roman" w:hAnsi="Times New Roman" w:eastAsia="MS Mincho" w:cs="Times New Roman"/>
          <w:color w:val="000000" w:themeColor="text1"/>
          <w:shd w:val="clear" w:color="auto" w:fill="FFFFFF"/>
          <w:lang w:eastAsia="nl-NL"/>
        </w:rPr>
        <w:t>vSv</w:t>
      </w:r>
      <w:proofErr w:type="spellEnd"/>
      <w:r w:rsidR="00493246">
        <w:rPr>
          <w:rFonts w:ascii="Times New Roman" w:hAnsi="Times New Roman" w:eastAsia="MS Mincho" w:cs="Times New Roman"/>
          <w:color w:val="000000" w:themeColor="text1"/>
          <w:shd w:val="clear" w:color="auto" w:fill="FFFFFF"/>
          <w:lang w:eastAsia="nl-NL"/>
        </w:rPr>
        <w:t xml:space="preserve"> </w:t>
      </w:r>
      <w:r>
        <w:rPr>
          <w:rFonts w:ascii="Times New Roman" w:hAnsi="Times New Roman" w:eastAsia="MS Mincho" w:cs="Times New Roman"/>
          <w:color w:val="000000" w:themeColor="text1"/>
          <w:shd w:val="clear" w:color="auto" w:fill="FFFFFF"/>
          <w:lang w:eastAsia="nl-NL"/>
        </w:rPr>
        <w:t xml:space="preserve">(denk onder meer aan de art. 12 Sv-procedure en de grond voor niet-ontvankelijkheid in art. 359a Sv). Kortom, in het licht van de drie ijkpunten laat men met het niet ‘overdenken’ van het opportuniteitsbeginsel in het moderniseringsproces een, niet vrijblijvende, kans lopen. </w:t>
      </w:r>
    </w:p>
    <w:p w:rsidRPr="006A2AED" w:rsidR="004F4A0F" w:rsidP="004F4A0F" w:rsidRDefault="004F4A0F">
      <w:pPr>
        <w:pStyle w:val="Default"/>
        <w:rPr>
          <w:rFonts w:ascii="Times New Roman" w:hAnsi="Times New Roman" w:cs="Times New Roman"/>
          <w:color w:val="FF0000"/>
        </w:rPr>
      </w:pPr>
    </w:p>
    <w:p w:rsidR="00D9036A" w:rsidP="00D9036A" w:rsidRDefault="00D9036A">
      <w:pPr>
        <w:spacing w:before="240" w:after="0" w:line="240" w:lineRule="auto"/>
        <w:rPr>
          <w:rFonts w:ascii="Times New Roman" w:hAnsi="Times New Roman" w:eastAsia="MS Mincho" w:cs="Times New Roman"/>
          <w:i/>
          <w:color w:val="000000"/>
          <w:sz w:val="24"/>
          <w:szCs w:val="24"/>
          <w:shd w:val="clear" w:color="auto" w:fill="FFFFFF"/>
          <w:lang w:eastAsia="nl-NL"/>
        </w:rPr>
      </w:pPr>
      <w:r w:rsidRPr="007C5808">
        <w:rPr>
          <w:rFonts w:ascii="Times New Roman" w:hAnsi="Times New Roman" w:eastAsia="MS Mincho" w:cs="Times New Roman"/>
          <w:i/>
          <w:color w:val="000000"/>
          <w:sz w:val="24"/>
          <w:szCs w:val="24"/>
          <w:shd w:val="clear" w:color="auto" w:fill="FFFFFF"/>
          <w:lang w:eastAsia="nl-NL"/>
        </w:rPr>
        <w:t>Verhouding voor- en eindonderzoek</w:t>
      </w:r>
    </w:p>
    <w:p w:rsidR="00D9036A" w:rsidP="00D9036A" w:rsidRDefault="00D9036A">
      <w:pPr>
        <w:spacing w:before="240" w:after="0" w:line="240" w:lineRule="auto"/>
        <w:rPr>
          <w:rFonts w:ascii="Times New Roman" w:hAnsi="Times New Roman" w:cs="Times New Roman"/>
          <w:sz w:val="24"/>
          <w:szCs w:val="24"/>
        </w:rPr>
      </w:pPr>
      <w:r w:rsidRPr="007C5808">
        <w:rPr>
          <w:rFonts w:ascii="Times New Roman" w:hAnsi="Times New Roman" w:eastAsia="MS Mincho" w:cs="Times New Roman"/>
          <w:color w:val="000000"/>
          <w:sz w:val="24"/>
          <w:szCs w:val="24"/>
          <w:shd w:val="clear" w:color="auto" w:fill="FFFFFF"/>
          <w:lang w:eastAsia="nl-NL"/>
        </w:rPr>
        <w:t xml:space="preserve">Het </w:t>
      </w:r>
      <w:r>
        <w:rPr>
          <w:rFonts w:ascii="Times New Roman" w:hAnsi="Times New Roman" w:eastAsia="MS Mincho" w:cs="Times New Roman"/>
          <w:color w:val="000000"/>
          <w:sz w:val="24"/>
          <w:szCs w:val="24"/>
          <w:shd w:val="clear" w:color="auto" w:fill="FFFFFF"/>
          <w:lang w:eastAsia="nl-NL"/>
        </w:rPr>
        <w:t>W</w:t>
      </w:r>
      <w:r w:rsidRPr="007C5808">
        <w:rPr>
          <w:rFonts w:ascii="Times New Roman" w:hAnsi="Times New Roman" w:eastAsia="MS Mincho" w:cs="Times New Roman"/>
          <w:color w:val="000000"/>
          <w:sz w:val="24"/>
          <w:szCs w:val="24"/>
          <w:shd w:val="clear" w:color="auto" w:fill="FFFFFF"/>
          <w:lang w:eastAsia="nl-NL"/>
        </w:rPr>
        <w:t xml:space="preserve">etboek </w:t>
      </w:r>
      <w:r>
        <w:rPr>
          <w:rFonts w:ascii="Times New Roman" w:hAnsi="Times New Roman" w:eastAsia="MS Mincho" w:cs="Times New Roman"/>
          <w:color w:val="000000"/>
          <w:sz w:val="24"/>
          <w:szCs w:val="24"/>
          <w:shd w:val="clear" w:color="auto" w:fill="FFFFFF"/>
          <w:lang w:eastAsia="nl-NL"/>
        </w:rPr>
        <w:t xml:space="preserve">van Strafvordering  van 1926 was </w:t>
      </w:r>
      <w:r w:rsidRPr="007C5808">
        <w:rPr>
          <w:rFonts w:ascii="Times New Roman" w:hAnsi="Times New Roman" w:eastAsia="MS Mincho" w:cs="Times New Roman"/>
          <w:color w:val="000000"/>
          <w:sz w:val="24"/>
          <w:szCs w:val="24"/>
          <w:shd w:val="clear" w:color="auto" w:fill="FFFFFF"/>
          <w:lang w:eastAsia="nl-NL"/>
        </w:rPr>
        <w:t xml:space="preserve">opgebouwd </w:t>
      </w:r>
      <w:r>
        <w:rPr>
          <w:rFonts w:ascii="Times New Roman" w:hAnsi="Times New Roman" w:eastAsia="MS Mincho" w:cs="Times New Roman"/>
          <w:color w:val="000000"/>
          <w:sz w:val="24"/>
          <w:szCs w:val="24"/>
          <w:shd w:val="clear" w:color="auto" w:fill="FFFFFF"/>
          <w:lang w:eastAsia="nl-NL"/>
        </w:rPr>
        <w:t xml:space="preserve">rondom een </w:t>
      </w:r>
      <w:r w:rsidRPr="007C5808">
        <w:rPr>
          <w:rFonts w:ascii="Times New Roman" w:hAnsi="Times New Roman" w:eastAsia="MS Mincho" w:cs="Times New Roman"/>
          <w:color w:val="000000"/>
          <w:sz w:val="24"/>
          <w:szCs w:val="24"/>
          <w:shd w:val="clear" w:color="auto" w:fill="FFFFFF"/>
          <w:lang w:eastAsia="nl-NL"/>
        </w:rPr>
        <w:t xml:space="preserve">helder concept </w:t>
      </w:r>
      <w:r>
        <w:rPr>
          <w:rFonts w:ascii="Times New Roman" w:hAnsi="Times New Roman" w:eastAsia="MS Mincho" w:cs="Times New Roman"/>
          <w:color w:val="000000"/>
          <w:sz w:val="24"/>
          <w:szCs w:val="24"/>
          <w:shd w:val="clear" w:color="auto" w:fill="FFFFFF"/>
          <w:lang w:eastAsia="nl-NL"/>
        </w:rPr>
        <w:t xml:space="preserve">van </w:t>
      </w:r>
      <w:r w:rsidRPr="007C5808">
        <w:rPr>
          <w:rFonts w:ascii="Times New Roman" w:hAnsi="Times New Roman" w:eastAsia="MS Mincho" w:cs="Times New Roman"/>
          <w:color w:val="000000"/>
          <w:sz w:val="24"/>
          <w:szCs w:val="24"/>
          <w:shd w:val="clear" w:color="auto" w:fill="FFFFFF"/>
          <w:lang w:eastAsia="nl-NL"/>
        </w:rPr>
        <w:t>voor- en eindonderzoek</w:t>
      </w:r>
      <w:r>
        <w:rPr>
          <w:rFonts w:ascii="Times New Roman" w:hAnsi="Times New Roman" w:eastAsia="MS Mincho" w:cs="Times New Roman"/>
          <w:color w:val="000000"/>
          <w:sz w:val="24"/>
          <w:szCs w:val="24"/>
          <w:shd w:val="clear" w:color="auto" w:fill="FFFFFF"/>
          <w:lang w:eastAsia="nl-NL"/>
        </w:rPr>
        <w:t>. Het Wetboek was in zijn opbouw gebaseerd en geconcentreerd op de behandeling van een zaak ter terechtzitting. Sinds de invoering van het wetboek is de verhouding tussen voor- en eindonderzoek evenwel voorwerp van schuivende panelen, deels door veranderingen in de rol van de rechter-commissaris en het gerechtelijk vooronderzoek (waaronder de recente afschaffing daarvan), deels</w:t>
      </w:r>
      <w:r w:rsidRPr="007C5808">
        <w:rPr>
          <w:rFonts w:ascii="Times New Roman" w:hAnsi="Times New Roman" w:eastAsia="MS Mincho" w:cs="Times New Roman"/>
          <w:color w:val="000000"/>
          <w:sz w:val="24"/>
          <w:szCs w:val="24"/>
          <w:shd w:val="clear" w:color="auto" w:fill="FFFFFF"/>
          <w:lang w:eastAsia="nl-NL"/>
        </w:rPr>
        <w:t xml:space="preserve"> door </w:t>
      </w:r>
      <w:r>
        <w:rPr>
          <w:rFonts w:ascii="Times New Roman" w:hAnsi="Times New Roman" w:eastAsia="MS Mincho" w:cs="Times New Roman"/>
          <w:color w:val="000000"/>
          <w:sz w:val="24"/>
          <w:szCs w:val="24"/>
          <w:shd w:val="clear" w:color="auto" w:fill="FFFFFF"/>
          <w:lang w:eastAsia="nl-NL"/>
        </w:rPr>
        <w:t xml:space="preserve">de gevolgen van het </w:t>
      </w:r>
      <w:r w:rsidRPr="007C5808">
        <w:rPr>
          <w:rFonts w:ascii="Times New Roman" w:hAnsi="Times New Roman" w:eastAsia="MS Mincho" w:cs="Times New Roman"/>
          <w:color w:val="000000"/>
          <w:sz w:val="24"/>
          <w:szCs w:val="24"/>
          <w:shd w:val="clear" w:color="auto" w:fill="FFFFFF"/>
          <w:lang w:eastAsia="nl-NL"/>
        </w:rPr>
        <w:t xml:space="preserve">de </w:t>
      </w:r>
      <w:proofErr w:type="spellStart"/>
      <w:r w:rsidRPr="007C5808">
        <w:rPr>
          <w:rFonts w:ascii="Times New Roman" w:hAnsi="Times New Roman" w:eastAsia="MS Mincho" w:cs="Times New Roman"/>
          <w:color w:val="000000"/>
          <w:sz w:val="24"/>
          <w:szCs w:val="24"/>
          <w:shd w:val="clear" w:color="auto" w:fill="FFFFFF"/>
          <w:lang w:eastAsia="nl-NL"/>
        </w:rPr>
        <w:t>auditu</w:t>
      </w:r>
      <w:proofErr w:type="spellEnd"/>
      <w:r w:rsidRPr="007C5808">
        <w:rPr>
          <w:rFonts w:ascii="Times New Roman" w:hAnsi="Times New Roman" w:eastAsia="MS Mincho" w:cs="Times New Roman"/>
          <w:color w:val="000000"/>
          <w:sz w:val="24"/>
          <w:szCs w:val="24"/>
          <w:shd w:val="clear" w:color="auto" w:fill="FFFFFF"/>
          <w:lang w:eastAsia="nl-NL"/>
        </w:rPr>
        <w:t xml:space="preserve">-arrest </w:t>
      </w:r>
      <w:r>
        <w:rPr>
          <w:rFonts w:ascii="Times New Roman" w:hAnsi="Times New Roman" w:eastAsia="MS Mincho" w:cs="Times New Roman"/>
          <w:color w:val="000000"/>
          <w:sz w:val="24"/>
          <w:szCs w:val="24"/>
          <w:shd w:val="clear" w:color="auto" w:fill="FFFFFF"/>
          <w:lang w:eastAsia="nl-NL"/>
        </w:rPr>
        <w:t xml:space="preserve">dat het </w:t>
      </w:r>
      <w:r w:rsidRPr="007C5808">
        <w:rPr>
          <w:rFonts w:ascii="Times New Roman" w:hAnsi="Times New Roman" w:eastAsia="MS Mincho" w:cs="Times New Roman"/>
          <w:color w:val="000000"/>
          <w:sz w:val="24"/>
          <w:szCs w:val="24"/>
          <w:shd w:val="clear" w:color="auto" w:fill="FFFFFF"/>
          <w:lang w:eastAsia="nl-NL"/>
        </w:rPr>
        <w:t xml:space="preserve">onmiddellijkheidsbeginsel </w:t>
      </w:r>
      <w:r>
        <w:rPr>
          <w:rFonts w:ascii="Times New Roman" w:hAnsi="Times New Roman" w:eastAsia="MS Mincho" w:cs="Times New Roman"/>
          <w:color w:val="000000"/>
          <w:sz w:val="24"/>
          <w:szCs w:val="24"/>
          <w:shd w:val="clear" w:color="auto" w:fill="FFFFFF"/>
          <w:lang w:eastAsia="nl-NL"/>
        </w:rPr>
        <w:t xml:space="preserve">modificeerde, maar bijvoorbeeld ook als gevolg van de verruiming van </w:t>
      </w:r>
      <w:r w:rsidRPr="004D58FC">
        <w:rPr>
          <w:rFonts w:ascii="Times New Roman" w:hAnsi="Times New Roman" w:eastAsia="MS Mincho" w:cs="Times New Roman"/>
          <w:color w:val="000000"/>
          <w:sz w:val="24"/>
          <w:szCs w:val="24"/>
          <w:shd w:val="clear" w:color="auto" w:fill="FFFFFF"/>
          <w:lang w:eastAsia="nl-NL"/>
        </w:rPr>
        <w:t xml:space="preserve">vormen van afdoening buiten geding en de sinds </w:t>
      </w:r>
      <w:r>
        <w:rPr>
          <w:rFonts w:ascii="Times New Roman" w:hAnsi="Times New Roman" w:eastAsia="MS Mincho" w:cs="Times New Roman"/>
          <w:color w:val="000000"/>
          <w:sz w:val="24"/>
          <w:szCs w:val="24"/>
          <w:shd w:val="clear" w:color="auto" w:fill="FFFFFF"/>
          <w:lang w:eastAsia="nl-NL"/>
        </w:rPr>
        <w:t xml:space="preserve">1926 </w:t>
      </w:r>
      <w:r w:rsidRPr="004D58FC">
        <w:rPr>
          <w:rFonts w:ascii="Times New Roman" w:hAnsi="Times New Roman" w:eastAsia="MS Mincho" w:cs="Times New Roman"/>
          <w:color w:val="000000"/>
          <w:sz w:val="24"/>
          <w:szCs w:val="24"/>
          <w:shd w:val="clear" w:color="auto" w:fill="FFFFFF"/>
          <w:lang w:eastAsia="nl-NL"/>
        </w:rPr>
        <w:t>toegenomen weerbaardere positie van de verdediging.</w:t>
      </w:r>
      <w:r w:rsidRPr="004D58FC">
        <w:rPr>
          <w:rStyle w:val="FootnoteReference"/>
          <w:rFonts w:ascii="Times New Roman" w:hAnsi="Times New Roman" w:eastAsia="MS Mincho"/>
          <w:color w:val="000000"/>
          <w:sz w:val="24"/>
          <w:szCs w:val="24"/>
          <w:shd w:val="clear" w:color="auto" w:fill="FFFFFF"/>
          <w:lang w:eastAsia="nl-NL"/>
        </w:rPr>
        <w:footnoteReference w:id="5"/>
      </w:r>
      <w:r w:rsidRPr="004D58FC">
        <w:rPr>
          <w:rFonts w:ascii="Times New Roman" w:hAnsi="Times New Roman" w:eastAsia="MS Mincho" w:cs="Times New Roman"/>
          <w:color w:val="000000"/>
          <w:sz w:val="24"/>
          <w:szCs w:val="24"/>
          <w:shd w:val="clear" w:color="auto" w:fill="FFFFFF"/>
          <w:lang w:eastAsia="nl-NL"/>
        </w:rPr>
        <w:t xml:space="preserve"> </w:t>
      </w:r>
      <w:r>
        <w:rPr>
          <w:rFonts w:ascii="Times New Roman" w:hAnsi="Times New Roman" w:eastAsia="MS Mincho" w:cs="Times New Roman"/>
          <w:color w:val="000000"/>
          <w:sz w:val="24"/>
          <w:szCs w:val="24"/>
          <w:shd w:val="clear" w:color="auto" w:fill="FFFFFF"/>
          <w:lang w:eastAsia="nl-NL"/>
        </w:rPr>
        <w:t xml:space="preserve">De verhouding tussen voor- en eindonderzoek is daarenboven ook nauw verweven met onze procestraditie waarin het vooronderzoek als gematigd inquisitoir kan worden aangeduid en het eindonderzoek als gematigd accusatoir. Ook deze verhouding is in de loop der tijd geleidelijk lichtjes verschoven naar een meer </w:t>
      </w:r>
      <w:proofErr w:type="spellStart"/>
      <w:r>
        <w:rPr>
          <w:rFonts w:ascii="Times New Roman" w:hAnsi="Times New Roman" w:eastAsia="MS Mincho" w:cs="Times New Roman"/>
          <w:color w:val="000000"/>
          <w:sz w:val="24"/>
          <w:szCs w:val="24"/>
          <w:shd w:val="clear" w:color="auto" w:fill="FFFFFF"/>
          <w:lang w:eastAsia="nl-NL"/>
        </w:rPr>
        <w:t>accusatoire</w:t>
      </w:r>
      <w:proofErr w:type="spellEnd"/>
      <w:r>
        <w:rPr>
          <w:rFonts w:ascii="Times New Roman" w:hAnsi="Times New Roman" w:eastAsia="MS Mincho" w:cs="Times New Roman"/>
          <w:color w:val="000000"/>
          <w:sz w:val="24"/>
          <w:szCs w:val="24"/>
          <w:shd w:val="clear" w:color="auto" w:fill="FFFFFF"/>
          <w:lang w:eastAsia="nl-NL"/>
        </w:rPr>
        <w:t xml:space="preserve"> procesvorm</w:t>
      </w:r>
      <w:r>
        <w:rPr>
          <w:rStyle w:val="FootnoteReference"/>
          <w:rFonts w:ascii="Times New Roman" w:hAnsi="Times New Roman" w:eastAsia="MS Mincho"/>
          <w:color w:val="000000"/>
          <w:sz w:val="24"/>
          <w:szCs w:val="24"/>
          <w:shd w:val="clear" w:color="auto" w:fill="FFFFFF"/>
          <w:lang w:eastAsia="nl-NL"/>
        </w:rPr>
        <w:footnoteReference w:id="6"/>
      </w:r>
      <w:r>
        <w:rPr>
          <w:rFonts w:ascii="Times New Roman" w:hAnsi="Times New Roman" w:eastAsia="MS Mincho" w:cs="Times New Roman"/>
          <w:color w:val="000000"/>
          <w:sz w:val="24"/>
          <w:szCs w:val="24"/>
          <w:shd w:val="clear" w:color="auto" w:fill="FFFFFF"/>
          <w:lang w:eastAsia="nl-NL"/>
        </w:rPr>
        <w:t xml:space="preserve">, maar door de wetgever nimmer fundamenteel aan de orde gesteld. Datzelfde geldt voor het met dit thema </w:t>
      </w:r>
      <w:r>
        <w:rPr>
          <w:rFonts w:ascii="Times New Roman" w:hAnsi="Times New Roman" w:eastAsia="MS Mincho" w:cs="Times New Roman"/>
          <w:color w:val="000000"/>
          <w:sz w:val="24"/>
          <w:szCs w:val="24"/>
          <w:shd w:val="clear" w:color="auto" w:fill="FFFFFF"/>
          <w:lang w:eastAsia="nl-NL"/>
        </w:rPr>
        <w:lastRenderedPageBreak/>
        <w:t xml:space="preserve">verweven aspect van de mate waarin het strafproces of de strafprocedure als geheel contradictoir van karakter moet zijn.  </w:t>
      </w:r>
      <w:r>
        <w:rPr>
          <w:rFonts w:ascii="Times New Roman" w:hAnsi="Times New Roman" w:eastAsia="MS Mincho" w:cs="Times New Roman"/>
          <w:color w:val="000000"/>
          <w:sz w:val="24"/>
          <w:szCs w:val="24"/>
          <w:shd w:val="clear" w:color="auto" w:fill="FFFFFF"/>
          <w:lang w:eastAsia="nl-NL"/>
        </w:rPr>
        <w:br/>
      </w:r>
      <w:r w:rsidRPr="004D58FC">
        <w:rPr>
          <w:rFonts w:ascii="Times New Roman" w:hAnsi="Times New Roman" w:eastAsia="MS Mincho" w:cs="Times New Roman"/>
          <w:color w:val="000000"/>
          <w:sz w:val="24"/>
          <w:szCs w:val="24"/>
          <w:shd w:val="clear" w:color="auto" w:fill="FFFFFF"/>
          <w:lang w:eastAsia="nl-NL"/>
        </w:rPr>
        <w:t>De Contourennota komt wederom met een voorstel tot een verschuiving in de verhouding</w:t>
      </w:r>
      <w:r>
        <w:rPr>
          <w:rFonts w:ascii="Times New Roman" w:hAnsi="Times New Roman" w:eastAsia="MS Mincho" w:cs="Times New Roman"/>
          <w:color w:val="000000"/>
          <w:sz w:val="24"/>
          <w:szCs w:val="24"/>
          <w:shd w:val="clear" w:color="auto" w:fill="FFFFFF"/>
          <w:lang w:eastAsia="nl-NL"/>
        </w:rPr>
        <w:t xml:space="preserve"> tussen voor- en eindonderzoek   </w:t>
      </w:r>
      <w:r w:rsidRPr="004D58FC">
        <w:rPr>
          <w:rFonts w:ascii="Times New Roman" w:hAnsi="Times New Roman" w:eastAsia="MS Mincho" w:cs="Times New Roman"/>
          <w:color w:val="000000"/>
          <w:sz w:val="24"/>
          <w:szCs w:val="24"/>
          <w:shd w:val="clear" w:color="auto" w:fill="FFFFFF"/>
          <w:lang w:eastAsia="nl-NL"/>
        </w:rPr>
        <w:t xml:space="preserve">: “(…) </w:t>
      </w:r>
      <w:r w:rsidRPr="004D58FC">
        <w:rPr>
          <w:rFonts w:ascii="Times New Roman" w:hAnsi="Times New Roman" w:cs="Times New Roman"/>
          <w:sz w:val="24"/>
          <w:szCs w:val="24"/>
        </w:rPr>
        <w:t>Een aantal voorstellen vertoont daarnaast een bijzondere samenhang. Het betreft in het bijzonder de voorstellen die specifiek zien op het verloop van het strafproces in geval zaken worden afgedaan door de strafrechter. Die voorstellen kenmerken zich kort gezegd door een “beweging naar voren”: het voorbereidend onderzoek neemt in verhouding tot het onderzoek ter terechtzitting in gewicht toe. Hetzelfde geldt voor het onderzoek ter terechtzitting in eerste aanleg in relatie tot het onderzoek in hoger beroep. (…)”</w:t>
      </w:r>
      <w:r w:rsidRPr="004D58FC">
        <w:rPr>
          <w:rStyle w:val="FootnoteReference"/>
          <w:rFonts w:ascii="Times New Roman" w:hAnsi="Times New Roman"/>
          <w:sz w:val="24"/>
          <w:szCs w:val="24"/>
        </w:rPr>
        <w:footnoteReference w:id="7"/>
      </w:r>
      <w:r w:rsidRPr="004D58FC">
        <w:rPr>
          <w:rFonts w:ascii="Times New Roman" w:hAnsi="Times New Roman" w:cs="Times New Roman"/>
          <w:sz w:val="24"/>
          <w:szCs w:val="24"/>
        </w:rPr>
        <w:t xml:space="preserve"> </w:t>
      </w:r>
      <w:r>
        <w:rPr>
          <w:rFonts w:ascii="Times New Roman" w:hAnsi="Times New Roman" w:cs="Times New Roman"/>
          <w:sz w:val="24"/>
          <w:szCs w:val="24"/>
        </w:rPr>
        <w:t xml:space="preserve">Tegelijkertijd geeft de Contourennota met betrekking tot Boek 4: Berechting aan: </w:t>
      </w:r>
      <w:r w:rsidRPr="005F02EF">
        <w:rPr>
          <w:rFonts w:ascii="Times New Roman" w:hAnsi="Times New Roman" w:cs="Times New Roman"/>
          <w:sz w:val="24"/>
          <w:szCs w:val="24"/>
        </w:rPr>
        <w:t>“Een groot deel van de bestaande bepalingen zal inhoudelijk ongewijzigd blijven, waarbij mogelijk wel enige stroomlijning of herordening plaatsvindt. Vooralsnog meen ik dat met één wetsvoorstel kan worden volstaan. Hierna komen de belangrijkste wijzigingen in de desbetreffende hoofdstukken aan de orde.</w:t>
      </w:r>
      <w:r>
        <w:rPr>
          <w:rFonts w:ascii="Times New Roman" w:hAnsi="Times New Roman" w:cs="Times New Roman"/>
          <w:sz w:val="24"/>
          <w:szCs w:val="24"/>
        </w:rPr>
        <w:t>”</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De wijzigingen die vervolgens worden genoemd hebben geen relatie tot de gevolgen van de genoemde ‘beweging naar voren’. Wél wordt aangegeven dat de reeds lang bestaand de </w:t>
      </w:r>
      <w:proofErr w:type="spellStart"/>
      <w:r>
        <w:rPr>
          <w:rFonts w:ascii="Times New Roman" w:hAnsi="Times New Roman" w:cs="Times New Roman"/>
          <w:sz w:val="24"/>
          <w:szCs w:val="24"/>
        </w:rPr>
        <w:t>auditu</w:t>
      </w:r>
      <w:proofErr w:type="spellEnd"/>
      <w:r>
        <w:rPr>
          <w:rFonts w:ascii="Times New Roman" w:hAnsi="Times New Roman" w:cs="Times New Roman"/>
          <w:sz w:val="24"/>
          <w:szCs w:val="24"/>
        </w:rPr>
        <w:t xml:space="preserve"> jurisprudentie van de Hoge Raad zal worden gecodificeerd.</w:t>
      </w:r>
      <w:r>
        <w:rPr>
          <w:rStyle w:val="FootnoteReference"/>
          <w:rFonts w:ascii="Times New Roman" w:hAnsi="Times New Roman"/>
          <w:sz w:val="24"/>
          <w:szCs w:val="24"/>
        </w:rPr>
        <w:footnoteReference w:id="9"/>
      </w:r>
      <w:r>
        <w:rPr>
          <w:rFonts w:ascii="Times New Roman" w:hAnsi="Times New Roman" w:cs="Times New Roman"/>
          <w:sz w:val="24"/>
          <w:szCs w:val="24"/>
        </w:rPr>
        <w:t xml:space="preserve"> In aansluiting daarop vermeldt de Contouren nota in verband met gevallen waarin een cruciale getuige een voor de verdachte belastende verklaring heeft afgelegd en daar later op terugkomt of weigert te verklaren: “Afhankelijk van de omstandigheden van het geval kan het noodzakelijk zijn de getuige ter terechtzitting te horen, opdat de zittingsrechter zelf in staat is de betrouwbaarheid van de verklaring van de getuige te toetsen. (…).</w:t>
      </w:r>
      <w:r>
        <w:rPr>
          <w:rStyle w:val="FootnoteReference"/>
          <w:rFonts w:ascii="Times New Roman" w:hAnsi="Times New Roman"/>
          <w:sz w:val="24"/>
          <w:szCs w:val="24"/>
        </w:rPr>
        <w:footnoteReference w:id="10"/>
      </w:r>
      <w:r>
        <w:rPr>
          <w:rFonts w:ascii="Times New Roman" w:hAnsi="Times New Roman" w:cs="Times New Roman"/>
          <w:sz w:val="24"/>
          <w:szCs w:val="24"/>
        </w:rPr>
        <w:t xml:space="preserve"> Hoewel deze beide onderwerpen niet kunnen worden los gedacht van de verhouding voor- en eindonderzoek en een verschuiving daarbinnen wordt de relatie met de ‘beweging naar voren’ niet gelegd.  Volledig terzijde van deze teksten wordt in de begeleidende  brief bij de Contourennota een korte paragraaf gewijd aan het contradictoire karakter van het strafproces</w:t>
      </w:r>
      <w:r w:rsidRPr="00EA56CF">
        <w:rPr>
          <w:rFonts w:ascii="Times New Roman" w:hAnsi="Times New Roman" w:cs="Times New Roman"/>
          <w:sz w:val="24"/>
          <w:szCs w:val="24"/>
        </w:rPr>
        <w:t>. “Ik onderschrijf op hoofdlijnen de uitgangspunten die de projectgroep Strafvordering 2001 op het punt van een grotere nadruk op het contradictoir proces heeft geformuleerd. Voorop staat dat de overheid een procedure en procesvoering waarborgt, die voldoet aan normen die voortvloeien uit (grond)rechten; de justitiële autoriteiten hebben daarvoor een eigen in de wet verankerde verantwoordelijkheid. In het contradictoire proces bepaalt de interactie tussen de verschillende procesdeelnemers in zekere mate de agenda van het strafproces, met een nadruk op de mogelijkheid van de verdachte zelf zijn proceshouding te bepalen. Dat begint al tijdens het voorbereidend onderzoek. De keerzijde van de vrijheid van de verdachte om een eigen processuele koers te kiezen is wel dat aan de gemaakte keuzen rechtsgevolgen kunnen worden verbonden.”</w:t>
      </w:r>
      <w:r>
        <w:rPr>
          <w:rFonts w:ascii="Times New Roman" w:hAnsi="Times New Roman" w:cs="Times New Roman"/>
          <w:sz w:val="24"/>
          <w:szCs w:val="24"/>
        </w:rPr>
        <w:t xml:space="preserve"> </w:t>
      </w:r>
      <w:r w:rsidRPr="00EA56CF">
        <w:rPr>
          <w:rStyle w:val="FootnoteReference"/>
          <w:rFonts w:ascii="Times New Roman" w:hAnsi="Times New Roman"/>
          <w:sz w:val="24"/>
          <w:szCs w:val="24"/>
        </w:rPr>
        <w:footnoteReference w:id="11"/>
      </w:r>
      <w:r>
        <w:rPr>
          <w:rFonts w:ascii="Times New Roman" w:hAnsi="Times New Roman" w:cs="Times New Roman"/>
          <w:sz w:val="24"/>
          <w:szCs w:val="24"/>
        </w:rPr>
        <w:t xml:space="preserve"> Ook de keuze dat de beslissing over het horen van getuigen ter terechtzitting voortaan door de rechter moet worden genomen en de officier van justitie als voorportaal vervalt past wel in dat contradictoire geding, maar wordt in de beschikbare documenten daarmee niet in verband gebracht.  De weergegeven citaten worden op geen enkele wijze met elkaar in verband gebracht, noch met de ‘beweging naar voren’. De kansen om verbindingen tussen dergelijke aspecten te maken zijn zowel systematisch als op het niveau van procestraditie te fundamenteel om vrijblijvend te laten liggen.  </w:t>
      </w:r>
    </w:p>
    <w:p w:rsidRPr="00D404C3" w:rsidR="00D9036A" w:rsidP="00D9036A" w:rsidRDefault="00D9036A">
      <w:pPr>
        <w:spacing w:before="240" w:after="0" w:line="240" w:lineRule="auto"/>
        <w:rPr>
          <w:rFonts w:ascii="Times New Roman" w:hAnsi="Times New Roman" w:eastAsia="MS Mincho" w:cs="Times New Roman"/>
          <w:color w:val="000000" w:themeColor="text1"/>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Het onderscheid tussen voor- en eindonderzoek  kan niet worden los gedacht van de doelstelling van waarheidsvinding, noch van de eisen van een eerlijk proces. Daarmee raakt de keuze voor een ‘beweging naar voren’  aan de rol van alle actoren, aan het onmiddellijkheidsbeginsel, aan </w:t>
      </w:r>
      <w:r>
        <w:rPr>
          <w:rFonts w:ascii="Times New Roman" w:hAnsi="Times New Roman" w:eastAsia="MS Mincho" w:cs="Times New Roman"/>
          <w:color w:val="000000"/>
          <w:sz w:val="24"/>
          <w:szCs w:val="24"/>
          <w:shd w:val="clear" w:color="auto" w:fill="FFFFFF"/>
          <w:lang w:eastAsia="nl-NL"/>
        </w:rPr>
        <w:lastRenderedPageBreak/>
        <w:t xml:space="preserve">het contradictoire karakter, aan de verhouding inquisitoir-accusatoir, aan de gevolgen van vormverzuimen, aan het bewijsrecht én aan nog veel meer. </w:t>
      </w:r>
      <w:r w:rsidRPr="00D404C3">
        <w:rPr>
          <w:rFonts w:ascii="Times New Roman" w:hAnsi="Times New Roman" w:eastAsia="MS Mincho" w:cs="Times New Roman"/>
          <w:color w:val="000000" w:themeColor="text1"/>
          <w:sz w:val="24"/>
          <w:szCs w:val="24"/>
          <w:shd w:val="clear" w:color="auto" w:fill="FFFFFF"/>
          <w:lang w:eastAsia="nl-NL"/>
        </w:rPr>
        <w:t>Nemen we daarbij de toenemende internationalisering (en volgens sommigen ook Amerikanisering) in ogenschouw die de afgelopen decennia ons strafprocesrecht en de waardering daarvan behoorlijk heeft beïnvloed en nog steeds beïnvloed</w:t>
      </w:r>
      <w:r>
        <w:rPr>
          <w:rFonts w:ascii="Times New Roman" w:hAnsi="Times New Roman" w:eastAsia="MS Mincho" w:cs="Times New Roman"/>
          <w:color w:val="000000" w:themeColor="text1"/>
          <w:sz w:val="24"/>
          <w:szCs w:val="24"/>
          <w:shd w:val="clear" w:color="auto" w:fill="FFFFFF"/>
          <w:lang w:eastAsia="nl-NL"/>
        </w:rPr>
        <w:t>t</w:t>
      </w:r>
      <w:r w:rsidRPr="00D404C3">
        <w:rPr>
          <w:rFonts w:ascii="Times New Roman" w:hAnsi="Times New Roman" w:eastAsia="MS Mincho" w:cs="Times New Roman"/>
          <w:color w:val="000000" w:themeColor="text1"/>
          <w:sz w:val="24"/>
          <w:szCs w:val="24"/>
          <w:shd w:val="clear" w:color="auto" w:fill="FFFFFF"/>
          <w:lang w:eastAsia="nl-NL"/>
        </w:rPr>
        <w:t xml:space="preserve">, dan kunnen we ook het verschil tussen de tradities van het common </w:t>
      </w:r>
      <w:proofErr w:type="spellStart"/>
      <w:r w:rsidRPr="00D404C3">
        <w:rPr>
          <w:rFonts w:ascii="Times New Roman" w:hAnsi="Times New Roman" w:eastAsia="MS Mincho" w:cs="Times New Roman"/>
          <w:color w:val="000000" w:themeColor="text1"/>
          <w:sz w:val="24"/>
          <w:szCs w:val="24"/>
          <w:shd w:val="clear" w:color="auto" w:fill="FFFFFF"/>
          <w:lang w:eastAsia="nl-NL"/>
        </w:rPr>
        <w:t>law</w:t>
      </w:r>
      <w:proofErr w:type="spellEnd"/>
      <w:r w:rsidRPr="00D404C3">
        <w:rPr>
          <w:rFonts w:ascii="Times New Roman" w:hAnsi="Times New Roman" w:eastAsia="MS Mincho" w:cs="Times New Roman"/>
          <w:color w:val="000000" w:themeColor="text1"/>
          <w:sz w:val="24"/>
          <w:szCs w:val="24"/>
          <w:shd w:val="clear" w:color="auto" w:fill="FFFFFF"/>
          <w:lang w:eastAsia="nl-NL"/>
        </w:rPr>
        <w:t xml:space="preserve"> en het </w:t>
      </w:r>
      <w:proofErr w:type="spellStart"/>
      <w:r w:rsidRPr="00D404C3">
        <w:rPr>
          <w:rFonts w:ascii="Times New Roman" w:hAnsi="Times New Roman" w:eastAsia="MS Mincho" w:cs="Times New Roman"/>
          <w:color w:val="000000" w:themeColor="text1"/>
          <w:sz w:val="24"/>
          <w:szCs w:val="24"/>
          <w:shd w:val="clear" w:color="auto" w:fill="FFFFFF"/>
          <w:lang w:eastAsia="nl-NL"/>
        </w:rPr>
        <w:t>civil</w:t>
      </w:r>
      <w:proofErr w:type="spellEnd"/>
      <w:r w:rsidRPr="00D404C3">
        <w:rPr>
          <w:rFonts w:ascii="Times New Roman" w:hAnsi="Times New Roman" w:eastAsia="MS Mincho" w:cs="Times New Roman"/>
          <w:color w:val="000000" w:themeColor="text1"/>
          <w:sz w:val="24"/>
          <w:szCs w:val="24"/>
          <w:shd w:val="clear" w:color="auto" w:fill="FFFFFF"/>
          <w:lang w:eastAsia="nl-NL"/>
        </w:rPr>
        <w:t xml:space="preserve"> </w:t>
      </w:r>
      <w:proofErr w:type="spellStart"/>
      <w:r w:rsidRPr="00D404C3">
        <w:rPr>
          <w:rFonts w:ascii="Times New Roman" w:hAnsi="Times New Roman" w:eastAsia="MS Mincho" w:cs="Times New Roman"/>
          <w:color w:val="000000" w:themeColor="text1"/>
          <w:sz w:val="24"/>
          <w:szCs w:val="24"/>
          <w:shd w:val="clear" w:color="auto" w:fill="FFFFFF"/>
          <w:lang w:eastAsia="nl-NL"/>
        </w:rPr>
        <w:t>law</w:t>
      </w:r>
      <w:proofErr w:type="spellEnd"/>
      <w:r w:rsidRPr="00D404C3">
        <w:rPr>
          <w:rFonts w:ascii="Times New Roman" w:hAnsi="Times New Roman" w:eastAsia="MS Mincho" w:cs="Times New Roman"/>
          <w:color w:val="000000" w:themeColor="text1"/>
          <w:sz w:val="24"/>
          <w:szCs w:val="24"/>
          <w:shd w:val="clear" w:color="auto" w:fill="FFFFFF"/>
          <w:lang w:eastAsia="nl-NL"/>
        </w:rPr>
        <w:t xml:space="preserve"> niet buiten beschouwing laten. De sluipenderwijs ingevoegde deelaspecten uit de </w:t>
      </w:r>
      <w:proofErr w:type="spellStart"/>
      <w:r w:rsidRPr="00D404C3">
        <w:rPr>
          <w:rFonts w:ascii="Times New Roman" w:hAnsi="Times New Roman" w:eastAsia="MS Mincho" w:cs="Times New Roman"/>
          <w:color w:val="000000" w:themeColor="text1"/>
          <w:sz w:val="24"/>
          <w:szCs w:val="24"/>
          <w:shd w:val="clear" w:color="auto" w:fill="FFFFFF"/>
          <w:lang w:eastAsia="nl-NL"/>
        </w:rPr>
        <w:t>civil</w:t>
      </w:r>
      <w:proofErr w:type="spellEnd"/>
      <w:r w:rsidRPr="00D404C3">
        <w:rPr>
          <w:rFonts w:ascii="Times New Roman" w:hAnsi="Times New Roman" w:eastAsia="MS Mincho" w:cs="Times New Roman"/>
          <w:color w:val="000000" w:themeColor="text1"/>
          <w:sz w:val="24"/>
          <w:szCs w:val="24"/>
          <w:shd w:val="clear" w:color="auto" w:fill="FFFFFF"/>
          <w:lang w:eastAsia="nl-NL"/>
        </w:rPr>
        <w:t xml:space="preserve"> </w:t>
      </w:r>
      <w:proofErr w:type="spellStart"/>
      <w:r w:rsidRPr="00D404C3">
        <w:rPr>
          <w:rFonts w:ascii="Times New Roman" w:hAnsi="Times New Roman" w:eastAsia="MS Mincho" w:cs="Times New Roman"/>
          <w:color w:val="000000" w:themeColor="text1"/>
          <w:sz w:val="24"/>
          <w:szCs w:val="24"/>
          <w:shd w:val="clear" w:color="auto" w:fill="FFFFFF"/>
          <w:lang w:eastAsia="nl-NL"/>
        </w:rPr>
        <w:t>law</w:t>
      </w:r>
      <w:proofErr w:type="spellEnd"/>
      <w:r w:rsidRPr="00D404C3">
        <w:rPr>
          <w:rFonts w:ascii="Times New Roman" w:hAnsi="Times New Roman" w:eastAsia="MS Mincho" w:cs="Times New Roman"/>
          <w:color w:val="000000" w:themeColor="text1"/>
          <w:sz w:val="24"/>
          <w:szCs w:val="24"/>
          <w:shd w:val="clear" w:color="auto" w:fill="FFFFFF"/>
          <w:lang w:eastAsia="nl-NL"/>
        </w:rPr>
        <w:t xml:space="preserve"> traditie in ons strafprocesrecht – zoals de betrokken positie van het slachtoffer en de op het terrein van het bewijs actieve verdediging – kunnen eveneens het </w:t>
      </w:r>
      <w:r>
        <w:rPr>
          <w:rFonts w:ascii="Times New Roman" w:hAnsi="Times New Roman" w:eastAsia="MS Mincho" w:cs="Times New Roman"/>
          <w:color w:val="000000" w:themeColor="text1"/>
          <w:sz w:val="24"/>
          <w:szCs w:val="24"/>
          <w:shd w:val="clear" w:color="auto" w:fill="FFFFFF"/>
          <w:lang w:eastAsia="nl-NL"/>
        </w:rPr>
        <w:t xml:space="preserve">aloude en in de moderniseringsvoorstellen niet ter discussie gestelde </w:t>
      </w:r>
      <w:r w:rsidRPr="00D404C3">
        <w:rPr>
          <w:rFonts w:ascii="Times New Roman" w:hAnsi="Times New Roman" w:eastAsia="MS Mincho" w:cs="Times New Roman"/>
          <w:color w:val="000000" w:themeColor="text1"/>
          <w:sz w:val="24"/>
          <w:szCs w:val="24"/>
          <w:shd w:val="clear" w:color="auto" w:fill="FFFFFF"/>
          <w:lang w:eastAsia="nl-NL"/>
        </w:rPr>
        <w:t xml:space="preserve">fundament van ons strafprocesrecht uit evenwicht brengen. </w:t>
      </w:r>
      <w:r>
        <w:rPr>
          <w:rStyle w:val="FootnoteReference"/>
          <w:rFonts w:ascii="Times New Roman" w:hAnsi="Times New Roman" w:eastAsia="MS Mincho"/>
          <w:color w:val="000000" w:themeColor="text1"/>
          <w:sz w:val="24"/>
          <w:szCs w:val="24"/>
          <w:shd w:val="clear" w:color="auto" w:fill="FFFFFF"/>
          <w:lang w:eastAsia="nl-NL"/>
        </w:rPr>
        <w:footnoteReference w:id="12"/>
      </w:r>
      <w:r w:rsidRPr="005023A8">
        <w:rPr>
          <w:rFonts w:ascii="Times New Roman" w:hAnsi="Times New Roman" w:eastAsia="MS Mincho" w:cs="Times New Roman"/>
          <w:color w:val="000000"/>
          <w:sz w:val="24"/>
          <w:szCs w:val="24"/>
          <w:shd w:val="clear" w:color="auto" w:fill="FFFFFF"/>
          <w:lang w:eastAsia="nl-NL"/>
        </w:rPr>
        <w:t xml:space="preserve"> </w:t>
      </w:r>
      <w:r>
        <w:rPr>
          <w:rFonts w:ascii="Times New Roman" w:hAnsi="Times New Roman" w:eastAsia="MS Mincho" w:cs="Times New Roman"/>
          <w:color w:val="000000"/>
          <w:sz w:val="24"/>
          <w:szCs w:val="24"/>
          <w:shd w:val="clear" w:color="auto" w:fill="FFFFFF"/>
          <w:lang w:eastAsia="nl-NL"/>
        </w:rPr>
        <w:t>Zoals het restaureren, renoveren, moderniseren, verbouwen en uitbouwen van een oude villa geen kwaad kan en zelfs noodzakelijk kan zijn voor het behoud, kan het daarbij verwaarlozen of beschadigen van de fundering vanuit het perspectief van duurzaamheid (in brede betekenis) funest zijn voor de toekomst.  Kortom,  ook op het hier besproken thema zijn voor het moderniseringsproces kansen aanwezig die niet vrijblijvend zijn.</w:t>
      </w:r>
    </w:p>
    <w:p w:rsidRPr="00D404C3" w:rsidR="00D9036A" w:rsidP="00D9036A" w:rsidRDefault="00D9036A">
      <w:pPr>
        <w:spacing w:before="240" w:after="0" w:line="240" w:lineRule="auto"/>
        <w:rPr>
          <w:rFonts w:ascii="Times New Roman" w:hAnsi="Times New Roman" w:eastAsia="MS Mincho" w:cs="Times New Roman"/>
          <w:color w:val="000000" w:themeColor="text1"/>
          <w:sz w:val="24"/>
          <w:szCs w:val="24"/>
          <w:shd w:val="clear" w:color="auto" w:fill="FFFFFF"/>
          <w:lang w:eastAsia="nl-NL"/>
        </w:rPr>
      </w:pPr>
    </w:p>
    <w:p w:rsidRPr="00870CF8" w:rsidR="004F4A0F" w:rsidP="00870CF8" w:rsidRDefault="00493246">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Tot slot: </w:t>
      </w:r>
    </w:p>
    <w:p w:rsidR="004F4A0F" w:rsidP="00B66DA1" w:rsidRDefault="00617922">
      <w:pPr>
        <w:spacing w:before="240" w:after="0" w:line="240" w:lineRule="auto"/>
        <w:rPr>
          <w:rFonts w:ascii="Times New Roman" w:hAnsi="Times New Roman" w:cs="Times New Roman"/>
          <w:i/>
          <w:sz w:val="24"/>
          <w:szCs w:val="24"/>
        </w:rPr>
      </w:pPr>
      <w:r>
        <w:rPr>
          <w:rFonts w:ascii="Times New Roman" w:hAnsi="Times New Roman" w:eastAsia="MS Mincho" w:cs="Times New Roman"/>
          <w:color w:val="000000"/>
          <w:sz w:val="24"/>
          <w:szCs w:val="24"/>
          <w:shd w:val="clear" w:color="auto" w:fill="FFFFFF"/>
          <w:lang w:eastAsia="nl-NL"/>
        </w:rPr>
        <w:t xml:space="preserve">De operatie laat </w:t>
      </w:r>
      <w:r w:rsidR="00B66DA1">
        <w:rPr>
          <w:rFonts w:ascii="Times New Roman" w:hAnsi="Times New Roman" w:eastAsia="MS Mincho" w:cs="Times New Roman"/>
          <w:color w:val="000000"/>
          <w:sz w:val="24"/>
          <w:szCs w:val="24"/>
          <w:shd w:val="clear" w:color="auto" w:fill="FFFFFF"/>
          <w:lang w:eastAsia="nl-NL"/>
        </w:rPr>
        <w:t xml:space="preserve">leemten zien op </w:t>
      </w:r>
      <w:r>
        <w:rPr>
          <w:rFonts w:ascii="Times New Roman" w:hAnsi="Times New Roman" w:eastAsia="MS Mincho" w:cs="Times New Roman"/>
          <w:color w:val="000000"/>
          <w:sz w:val="24"/>
          <w:szCs w:val="24"/>
          <w:shd w:val="clear" w:color="auto" w:fill="FFFFFF"/>
          <w:lang w:eastAsia="nl-NL"/>
        </w:rPr>
        <w:t>f</w:t>
      </w:r>
      <w:r w:rsidR="004D6300">
        <w:rPr>
          <w:rFonts w:ascii="Times New Roman" w:hAnsi="Times New Roman" w:eastAsia="MS Mincho" w:cs="Times New Roman"/>
          <w:color w:val="000000"/>
          <w:sz w:val="24"/>
          <w:szCs w:val="24"/>
          <w:shd w:val="clear" w:color="auto" w:fill="FFFFFF"/>
          <w:lang w:eastAsia="nl-NL"/>
        </w:rPr>
        <w:t>undamentele vraagstukken waarop bezi</w:t>
      </w:r>
      <w:r>
        <w:rPr>
          <w:rFonts w:ascii="Times New Roman" w:hAnsi="Times New Roman" w:eastAsia="MS Mincho" w:cs="Times New Roman"/>
          <w:color w:val="000000"/>
          <w:sz w:val="24"/>
          <w:szCs w:val="24"/>
          <w:shd w:val="clear" w:color="auto" w:fill="FFFFFF"/>
          <w:lang w:eastAsia="nl-NL"/>
        </w:rPr>
        <w:t>n</w:t>
      </w:r>
      <w:r w:rsidR="004D6300">
        <w:rPr>
          <w:rFonts w:ascii="Times New Roman" w:hAnsi="Times New Roman" w:eastAsia="MS Mincho" w:cs="Times New Roman"/>
          <w:color w:val="000000"/>
          <w:sz w:val="24"/>
          <w:szCs w:val="24"/>
          <w:shd w:val="clear" w:color="auto" w:fill="FFFFFF"/>
          <w:lang w:eastAsia="nl-NL"/>
        </w:rPr>
        <w:t>n</w:t>
      </w:r>
      <w:r>
        <w:rPr>
          <w:rFonts w:ascii="Times New Roman" w:hAnsi="Times New Roman" w:eastAsia="MS Mincho" w:cs="Times New Roman"/>
          <w:color w:val="000000"/>
          <w:sz w:val="24"/>
          <w:szCs w:val="24"/>
          <w:shd w:val="clear" w:color="auto" w:fill="FFFFFF"/>
          <w:lang w:eastAsia="nl-NL"/>
        </w:rPr>
        <w:t>i</w:t>
      </w:r>
      <w:r w:rsidR="004D6300">
        <w:rPr>
          <w:rFonts w:ascii="Times New Roman" w:hAnsi="Times New Roman" w:eastAsia="MS Mincho" w:cs="Times New Roman"/>
          <w:color w:val="000000"/>
          <w:sz w:val="24"/>
          <w:szCs w:val="24"/>
          <w:shd w:val="clear" w:color="auto" w:fill="FFFFFF"/>
          <w:lang w:eastAsia="nl-NL"/>
        </w:rPr>
        <w:t xml:space="preserve">ng </w:t>
      </w:r>
      <w:r w:rsidRPr="004D6300" w:rsidR="004D6300">
        <w:rPr>
          <w:rFonts w:ascii="Times New Roman" w:hAnsi="Times New Roman" w:cs="Times New Roman"/>
          <w:sz w:val="24"/>
          <w:szCs w:val="24"/>
        </w:rPr>
        <w:t>noodzakelijk</w:t>
      </w:r>
      <w:r>
        <w:rPr>
          <w:rFonts w:ascii="Times New Roman" w:hAnsi="Times New Roman" w:cs="Times New Roman"/>
          <w:sz w:val="24"/>
          <w:szCs w:val="24"/>
        </w:rPr>
        <w:t xml:space="preserve"> is</w:t>
      </w:r>
      <w:r w:rsidR="00B66DA1">
        <w:rPr>
          <w:rFonts w:ascii="Times New Roman" w:hAnsi="Times New Roman" w:cs="Times New Roman"/>
          <w:sz w:val="24"/>
          <w:szCs w:val="24"/>
        </w:rPr>
        <w:t>,</w:t>
      </w:r>
      <w:r>
        <w:rPr>
          <w:rFonts w:ascii="Times New Roman" w:hAnsi="Times New Roman" w:cs="Times New Roman"/>
          <w:sz w:val="24"/>
          <w:szCs w:val="24"/>
        </w:rPr>
        <w:t xml:space="preserve"> </w:t>
      </w:r>
      <w:r w:rsidR="00B66DA1">
        <w:rPr>
          <w:rFonts w:ascii="Times New Roman" w:hAnsi="Times New Roman" w:cs="Times New Roman"/>
          <w:sz w:val="24"/>
          <w:szCs w:val="24"/>
        </w:rPr>
        <w:t>met het risico dat het w</w:t>
      </w:r>
      <w:r>
        <w:rPr>
          <w:rFonts w:ascii="Times New Roman" w:hAnsi="Times New Roman" w:cs="Times New Roman"/>
          <w:sz w:val="24"/>
          <w:szCs w:val="24"/>
        </w:rPr>
        <w:t xml:space="preserve">etboek niet meer kan voldoen aan de functies, </w:t>
      </w:r>
      <w:r w:rsidR="00B66DA1">
        <w:rPr>
          <w:rFonts w:ascii="Times New Roman" w:hAnsi="Times New Roman" w:cs="Times New Roman"/>
          <w:sz w:val="24"/>
          <w:szCs w:val="24"/>
        </w:rPr>
        <w:t xml:space="preserve">zich niet helder verhoudt tot de eigen of andere </w:t>
      </w:r>
      <w:r>
        <w:rPr>
          <w:rFonts w:ascii="Times New Roman" w:hAnsi="Times New Roman" w:cs="Times New Roman"/>
          <w:sz w:val="24"/>
          <w:szCs w:val="24"/>
        </w:rPr>
        <w:t>rechtstraditie</w:t>
      </w:r>
      <w:r w:rsidR="00B66DA1">
        <w:rPr>
          <w:rFonts w:ascii="Times New Roman" w:hAnsi="Times New Roman" w:cs="Times New Roman"/>
          <w:sz w:val="24"/>
          <w:szCs w:val="24"/>
        </w:rPr>
        <w:t>s</w:t>
      </w:r>
      <w:r>
        <w:rPr>
          <w:rFonts w:ascii="Times New Roman" w:hAnsi="Times New Roman" w:cs="Times New Roman"/>
          <w:sz w:val="24"/>
          <w:szCs w:val="24"/>
        </w:rPr>
        <w:t xml:space="preserve"> </w:t>
      </w:r>
      <w:r w:rsidR="00B66DA1">
        <w:rPr>
          <w:rFonts w:ascii="Times New Roman" w:hAnsi="Times New Roman" w:cs="Times New Roman"/>
          <w:sz w:val="24"/>
          <w:szCs w:val="24"/>
        </w:rPr>
        <w:t xml:space="preserve">en </w:t>
      </w:r>
      <w:r>
        <w:rPr>
          <w:rFonts w:ascii="Times New Roman" w:hAnsi="Times New Roman" w:cs="Times New Roman"/>
          <w:sz w:val="24"/>
          <w:szCs w:val="24"/>
        </w:rPr>
        <w:t>zijn context maar ten dele onderkent</w:t>
      </w:r>
      <w:r w:rsidR="00B66DA1">
        <w:rPr>
          <w:rFonts w:ascii="Times New Roman" w:hAnsi="Times New Roman" w:cs="Times New Roman"/>
          <w:sz w:val="24"/>
          <w:szCs w:val="24"/>
        </w:rPr>
        <w:t xml:space="preserve">. </w:t>
      </w:r>
      <w:r w:rsidR="00B66DA1">
        <w:rPr>
          <w:rFonts w:ascii="Times New Roman" w:hAnsi="Times New Roman" w:eastAsia="MS Mincho" w:cs="Times New Roman"/>
          <w:color w:val="000000"/>
          <w:sz w:val="24"/>
          <w:szCs w:val="24"/>
          <w:shd w:val="clear" w:color="auto" w:fill="FFFFFF"/>
          <w:lang w:eastAsia="nl-NL"/>
        </w:rPr>
        <w:t xml:space="preserve">De lopende moderniseringsoperatie is tegelijkertijd groots, ingrijpend en kostbaar, zodat niet te verwachten is dat de bedoelde belangen </w:t>
      </w:r>
      <w:r w:rsidR="00B66DA1">
        <w:rPr>
          <w:rFonts w:ascii="Times New Roman" w:hAnsi="Times New Roman" w:cs="Times New Roman"/>
          <w:sz w:val="24"/>
          <w:szCs w:val="24"/>
        </w:rPr>
        <w:t xml:space="preserve"> de </w:t>
      </w:r>
      <w:r w:rsidRPr="001423BE" w:rsidR="00B66DA1">
        <w:rPr>
          <w:rFonts w:ascii="Times New Roman" w:hAnsi="Times New Roman" w:cs="Times New Roman"/>
          <w:sz w:val="24"/>
          <w:szCs w:val="24"/>
        </w:rPr>
        <w:t xml:space="preserve">komende decennia </w:t>
      </w:r>
      <w:r w:rsidR="00B66DA1">
        <w:rPr>
          <w:rFonts w:ascii="Times New Roman" w:hAnsi="Times New Roman" w:cs="Times New Roman"/>
          <w:sz w:val="24"/>
          <w:szCs w:val="24"/>
        </w:rPr>
        <w:t xml:space="preserve">nog aan de </w:t>
      </w:r>
      <w:r w:rsidRPr="001423BE" w:rsidR="00B66DA1">
        <w:rPr>
          <w:rFonts w:ascii="Times New Roman" w:hAnsi="Times New Roman" w:cs="Times New Roman"/>
          <w:sz w:val="24"/>
          <w:szCs w:val="24"/>
        </w:rPr>
        <w:t>orde z</w:t>
      </w:r>
      <w:r w:rsidR="00B66DA1">
        <w:rPr>
          <w:rFonts w:ascii="Times New Roman" w:hAnsi="Times New Roman" w:cs="Times New Roman"/>
          <w:sz w:val="24"/>
          <w:szCs w:val="24"/>
        </w:rPr>
        <w:t xml:space="preserve">ullen </w:t>
      </w:r>
      <w:r w:rsidRPr="001423BE" w:rsidR="00B66DA1">
        <w:rPr>
          <w:rFonts w:ascii="Times New Roman" w:hAnsi="Times New Roman" w:cs="Times New Roman"/>
          <w:sz w:val="24"/>
          <w:szCs w:val="24"/>
        </w:rPr>
        <w:t xml:space="preserve">komen. </w:t>
      </w:r>
      <w:r w:rsidR="00B66DA1">
        <w:rPr>
          <w:rFonts w:ascii="Times New Roman" w:hAnsi="Times New Roman" w:cs="Times New Roman"/>
          <w:sz w:val="24"/>
          <w:szCs w:val="24"/>
        </w:rPr>
        <w:br/>
        <w:t xml:space="preserve">Het </w:t>
      </w:r>
      <w:r w:rsidRPr="00E85A9D" w:rsidR="00B66DA1">
        <w:rPr>
          <w:rFonts w:ascii="Times New Roman" w:hAnsi="Times New Roman" w:cs="Times New Roman"/>
          <w:sz w:val="24"/>
          <w:szCs w:val="24"/>
        </w:rPr>
        <w:t>is nog niet te laat</w:t>
      </w:r>
      <w:r w:rsidR="00B66DA1">
        <w:rPr>
          <w:rFonts w:ascii="Times New Roman" w:hAnsi="Times New Roman" w:cs="Times New Roman"/>
          <w:sz w:val="24"/>
          <w:szCs w:val="24"/>
        </w:rPr>
        <w:t>.</w:t>
      </w:r>
    </w:p>
    <w:sectPr w:rsidR="004F4A0F" w:rsidSect="0006036B">
      <w:footerReference w:type="default" r:id="rId9"/>
      <w:pgSz w:w="12240" w:h="15840"/>
      <w:pgMar w:top="851"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9A" w:rsidRDefault="0078019A" w:rsidP="004A1251">
      <w:pPr>
        <w:spacing w:after="0" w:line="240" w:lineRule="auto"/>
      </w:pPr>
      <w:r>
        <w:separator/>
      </w:r>
    </w:p>
  </w:endnote>
  <w:endnote w:type="continuationSeparator" w:id="0">
    <w:p w:rsidR="0078019A" w:rsidRDefault="0078019A" w:rsidP="004A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25307"/>
      <w:docPartObj>
        <w:docPartGallery w:val="Page Numbers (Bottom of Page)"/>
        <w:docPartUnique/>
      </w:docPartObj>
    </w:sdtPr>
    <w:sdtEndPr>
      <w:rPr>
        <w:noProof/>
      </w:rPr>
    </w:sdtEndPr>
    <w:sdtContent>
      <w:p w:rsidR="0078019A" w:rsidRDefault="0078019A">
        <w:pPr>
          <w:pStyle w:val="Footer"/>
          <w:jc w:val="right"/>
        </w:pPr>
        <w:r>
          <w:fldChar w:fldCharType="begin"/>
        </w:r>
        <w:r>
          <w:instrText xml:space="preserve"> PAGE   \* MERGEFORMAT </w:instrText>
        </w:r>
        <w:r>
          <w:fldChar w:fldCharType="separate"/>
        </w:r>
        <w:r w:rsidR="0009626C">
          <w:rPr>
            <w:noProof/>
          </w:rPr>
          <w:t>1</w:t>
        </w:r>
        <w:r>
          <w:rPr>
            <w:noProof/>
          </w:rPr>
          <w:fldChar w:fldCharType="end"/>
        </w:r>
      </w:p>
    </w:sdtContent>
  </w:sdt>
  <w:p w:rsidR="0078019A" w:rsidRDefault="00780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9A" w:rsidRDefault="0078019A" w:rsidP="004A1251">
      <w:pPr>
        <w:spacing w:after="0" w:line="240" w:lineRule="auto"/>
      </w:pPr>
      <w:r>
        <w:separator/>
      </w:r>
    </w:p>
  </w:footnote>
  <w:footnote w:type="continuationSeparator" w:id="0">
    <w:p w:rsidR="0078019A" w:rsidRDefault="0078019A" w:rsidP="004A1251">
      <w:pPr>
        <w:spacing w:after="0" w:line="240" w:lineRule="auto"/>
      </w:pPr>
      <w:r>
        <w:continuationSeparator/>
      </w:r>
    </w:p>
  </w:footnote>
  <w:footnote w:id="1">
    <w:p w:rsidR="0078019A" w:rsidRPr="008943DE" w:rsidRDefault="0078019A">
      <w:pPr>
        <w:pStyle w:val="FootnoteText"/>
        <w:rPr>
          <w:rFonts w:ascii="Times New Roman" w:hAnsi="Times New Roman" w:cs="Times New Roman"/>
        </w:rPr>
      </w:pPr>
      <w:r w:rsidRPr="008943DE">
        <w:rPr>
          <w:rStyle w:val="FootnoteReference"/>
          <w:rFonts w:ascii="Times New Roman" w:hAnsi="Times New Roman"/>
        </w:rPr>
        <w:footnoteRef/>
      </w:r>
      <w:r w:rsidRPr="008943DE">
        <w:rPr>
          <w:rFonts w:ascii="Times New Roman" w:hAnsi="Times New Roman" w:cs="Times New Roman"/>
        </w:rPr>
        <w:t xml:space="preserve"> Deze hier geciteerde doelstelling – voor zover mij bekend in de meest beknopte en toch tamelijk complete formulering –</w:t>
      </w:r>
      <w:r>
        <w:rPr>
          <w:rFonts w:ascii="Times New Roman" w:hAnsi="Times New Roman" w:cs="Times New Roman"/>
        </w:rPr>
        <w:t xml:space="preserve"> </w:t>
      </w:r>
      <w:r w:rsidRPr="008943DE">
        <w:rPr>
          <w:rFonts w:ascii="Times New Roman" w:hAnsi="Times New Roman" w:cs="Times New Roman"/>
        </w:rPr>
        <w:t>wordt gebezigd in een notitie van de Directie Wetgeving en Juridische zaken, Sector Straf- en sanctierecht, Werkwijze Wetgevingsprogramma Versterking Prestaties Strafrechtsketen (VPS) voor de wetsvoorstellen tot herziening</w:t>
      </w:r>
      <w:r>
        <w:rPr>
          <w:rFonts w:ascii="Times New Roman" w:hAnsi="Times New Roman" w:cs="Times New Roman"/>
        </w:rPr>
        <w:t xml:space="preserve"> </w:t>
      </w:r>
      <w:r w:rsidRPr="008943DE">
        <w:rPr>
          <w:rFonts w:ascii="Times New Roman" w:hAnsi="Times New Roman" w:cs="Times New Roman"/>
        </w:rPr>
        <w:t>van</w:t>
      </w:r>
      <w:r>
        <w:rPr>
          <w:rFonts w:ascii="Times New Roman" w:hAnsi="Times New Roman" w:cs="Times New Roman"/>
        </w:rPr>
        <w:t xml:space="preserve"> </w:t>
      </w:r>
      <w:r w:rsidRPr="008943DE">
        <w:rPr>
          <w:rFonts w:ascii="Times New Roman" w:hAnsi="Times New Roman" w:cs="Times New Roman"/>
        </w:rPr>
        <w:t xml:space="preserve">het Wetboek van Strafvordering, 17 maart 2014. </w:t>
      </w:r>
    </w:p>
  </w:footnote>
  <w:footnote w:id="2">
    <w:p w:rsidR="00870CF8" w:rsidRPr="00420449" w:rsidRDefault="00870CF8" w:rsidP="00870CF8">
      <w:pPr>
        <w:pStyle w:val="FootnoteText"/>
        <w:rPr>
          <w:rFonts w:ascii="Times New Roman" w:hAnsi="Times New Roman" w:cs="Times New Roman"/>
        </w:rPr>
      </w:pPr>
      <w:r w:rsidRPr="00420449">
        <w:rPr>
          <w:rStyle w:val="FootnoteReference"/>
          <w:rFonts w:ascii="Times New Roman" w:hAnsi="Times New Roman"/>
        </w:rPr>
        <w:footnoteRef/>
      </w:r>
      <w:r w:rsidRPr="00420449">
        <w:rPr>
          <w:rFonts w:ascii="Times New Roman" w:hAnsi="Times New Roman" w:cs="Times New Roman"/>
        </w:rPr>
        <w:t xml:space="preserve"> </w:t>
      </w:r>
      <w:r>
        <w:rPr>
          <w:rFonts w:ascii="Times New Roman" w:hAnsi="Times New Roman" w:cs="Times New Roman"/>
        </w:rPr>
        <w:t xml:space="preserve">Zie onder meer </w:t>
      </w:r>
      <w:r w:rsidRPr="00420449">
        <w:rPr>
          <w:rFonts w:ascii="Times New Roman" w:hAnsi="Times New Roman" w:cs="Times New Roman"/>
        </w:rPr>
        <w:t>J.M. ten Voorde</w:t>
      </w:r>
      <w:r>
        <w:rPr>
          <w:rFonts w:ascii="Times New Roman" w:hAnsi="Times New Roman" w:cs="Times New Roman"/>
        </w:rPr>
        <w:t xml:space="preserve"> in</w:t>
      </w:r>
      <w:r w:rsidRPr="00420449">
        <w:rPr>
          <w:rFonts w:ascii="Times New Roman" w:hAnsi="Times New Roman" w:cs="Times New Roman"/>
        </w:rPr>
        <w:t xml:space="preserve"> </w:t>
      </w:r>
      <w:r>
        <w:rPr>
          <w:rFonts w:ascii="Times New Roman" w:hAnsi="Times New Roman" w:cs="Times New Roman"/>
        </w:rPr>
        <w:t>‘</w:t>
      </w:r>
      <w:r w:rsidRPr="00420449">
        <w:rPr>
          <w:rFonts w:ascii="Times New Roman" w:hAnsi="Times New Roman" w:cs="Times New Roman"/>
        </w:rPr>
        <w:t xml:space="preserve">Wat Van der Steur kan leren van </w:t>
      </w:r>
      <w:proofErr w:type="spellStart"/>
      <w:r w:rsidRPr="00420449">
        <w:rPr>
          <w:rFonts w:ascii="Times New Roman" w:hAnsi="Times New Roman" w:cs="Times New Roman"/>
        </w:rPr>
        <w:t>Fullers</w:t>
      </w:r>
      <w:proofErr w:type="spellEnd"/>
      <w:r w:rsidRPr="00420449">
        <w:rPr>
          <w:rFonts w:ascii="Times New Roman" w:hAnsi="Times New Roman" w:cs="Times New Roman"/>
        </w:rPr>
        <w:t xml:space="preserve"> koning Rex</w:t>
      </w:r>
      <w:r>
        <w:rPr>
          <w:rFonts w:ascii="Times New Roman" w:hAnsi="Times New Roman" w:cs="Times New Roman"/>
        </w:rPr>
        <w:t>’’</w:t>
      </w:r>
      <w:r w:rsidRPr="00420449">
        <w:rPr>
          <w:rFonts w:ascii="Times New Roman" w:hAnsi="Times New Roman" w:cs="Times New Roman"/>
        </w:rPr>
        <w:t xml:space="preserve">, </w:t>
      </w:r>
      <w:r w:rsidRPr="00420449">
        <w:rPr>
          <w:rFonts w:ascii="Times New Roman" w:hAnsi="Times New Roman" w:cs="Times New Roman"/>
          <w:i/>
        </w:rPr>
        <w:t>Strafblad 2015</w:t>
      </w:r>
      <w:r w:rsidRPr="00420449">
        <w:rPr>
          <w:rFonts w:ascii="Times New Roman" w:hAnsi="Times New Roman" w:cs="Times New Roman"/>
        </w:rPr>
        <w:t>, nr. 2, p.77-85.</w:t>
      </w:r>
    </w:p>
  </w:footnote>
  <w:footnote w:id="3">
    <w:p w:rsidR="00870CF8" w:rsidRPr="004507DA" w:rsidRDefault="00870CF8" w:rsidP="00870CF8">
      <w:pPr>
        <w:pStyle w:val="FootnoteText"/>
        <w:rPr>
          <w:rFonts w:ascii="Times New Roman" w:hAnsi="Times New Roman" w:cs="Times New Roman"/>
          <w:lang w:val="en-GB"/>
        </w:rPr>
      </w:pPr>
      <w:r>
        <w:rPr>
          <w:rStyle w:val="FootnoteReference"/>
        </w:rPr>
        <w:footnoteRef/>
      </w:r>
      <w:r>
        <w:t xml:space="preserve"> </w:t>
      </w:r>
      <w:r w:rsidRPr="00BC4ED4">
        <w:rPr>
          <w:rFonts w:ascii="Times New Roman" w:hAnsi="Times New Roman" w:cs="Times New Roman"/>
        </w:rPr>
        <w:t xml:space="preserve">Witteveen benoemt </w:t>
      </w:r>
      <w:r>
        <w:rPr>
          <w:rFonts w:ascii="Times New Roman" w:hAnsi="Times New Roman" w:cs="Times New Roman"/>
        </w:rPr>
        <w:t xml:space="preserve">een deel van de </w:t>
      </w:r>
      <w:r w:rsidRPr="00BC4ED4">
        <w:rPr>
          <w:rFonts w:ascii="Times New Roman" w:hAnsi="Times New Roman" w:cs="Times New Roman"/>
        </w:rPr>
        <w:t>hier be</w:t>
      </w:r>
      <w:r>
        <w:rPr>
          <w:rFonts w:ascii="Times New Roman" w:hAnsi="Times New Roman" w:cs="Times New Roman"/>
        </w:rPr>
        <w:t>doelde b</w:t>
      </w:r>
      <w:r w:rsidRPr="00BC4ED4">
        <w:rPr>
          <w:rFonts w:ascii="Times New Roman" w:hAnsi="Times New Roman" w:cs="Times New Roman"/>
        </w:rPr>
        <w:t>elang</w:t>
      </w:r>
      <w:r>
        <w:rPr>
          <w:rFonts w:ascii="Times New Roman" w:hAnsi="Times New Roman" w:cs="Times New Roman"/>
        </w:rPr>
        <w:t xml:space="preserve">en tezamen </w:t>
      </w:r>
      <w:r w:rsidRPr="00BC4ED4">
        <w:rPr>
          <w:rFonts w:ascii="Times New Roman" w:hAnsi="Times New Roman" w:cs="Times New Roman"/>
        </w:rPr>
        <w:t xml:space="preserve">in termen van duurzaamheid van wetgeving. Zie daarvoor </w:t>
      </w:r>
      <w:proofErr w:type="spellStart"/>
      <w:r w:rsidRPr="00BC4ED4">
        <w:rPr>
          <w:rFonts w:ascii="Times New Roman" w:hAnsi="Times New Roman" w:cs="Times New Roman"/>
        </w:rPr>
        <w:t>W.J.Witteveen</w:t>
      </w:r>
      <w:proofErr w:type="spellEnd"/>
      <w:r w:rsidRPr="00BC4ED4">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hfst</w:t>
      </w:r>
      <w:proofErr w:type="spellEnd"/>
      <w:r>
        <w:rPr>
          <w:rFonts w:ascii="Times New Roman" w:hAnsi="Times New Roman" w:cs="Times New Roman"/>
        </w:rPr>
        <w:t xml:space="preserve">. 24-26 en in </w:t>
      </w:r>
      <w:r w:rsidRPr="004507DA">
        <w:rPr>
          <w:rFonts w:ascii="Times New Roman" w:hAnsi="Times New Roman" w:cs="Times New Roman"/>
          <w:i/>
        </w:rPr>
        <w:t>De wet als kunstwerk</w:t>
      </w:r>
      <w:r w:rsidRPr="00BC4ED4">
        <w:rPr>
          <w:rFonts w:ascii="Times New Roman" w:hAnsi="Times New Roman" w:cs="Times New Roman"/>
        </w:rPr>
        <w:t>, Amsterdam: Boom 2014</w:t>
      </w:r>
      <w:r>
        <w:rPr>
          <w:rFonts w:ascii="Times New Roman" w:hAnsi="Times New Roman" w:cs="Times New Roman"/>
        </w:rPr>
        <w:t>,</w:t>
      </w:r>
      <w:r w:rsidRPr="004507DA">
        <w:rPr>
          <w:rFonts w:ascii="Times New Roman" w:hAnsi="Times New Roman" w:cs="Times New Roman"/>
        </w:rPr>
        <w:t xml:space="preserve"> </w:t>
      </w:r>
      <w:proofErr w:type="spellStart"/>
      <w:r>
        <w:rPr>
          <w:rFonts w:ascii="Times New Roman" w:hAnsi="Times New Roman" w:cs="Times New Roman"/>
        </w:rPr>
        <w:t>hfst</w:t>
      </w:r>
      <w:proofErr w:type="spellEnd"/>
      <w:r>
        <w:rPr>
          <w:rFonts w:ascii="Times New Roman" w:hAnsi="Times New Roman" w:cs="Times New Roman"/>
        </w:rPr>
        <w:t xml:space="preserve">. </w:t>
      </w:r>
      <w:r w:rsidRPr="000F3196">
        <w:rPr>
          <w:rFonts w:ascii="Times New Roman" w:hAnsi="Times New Roman" w:cs="Times New Roman"/>
          <w:lang w:val="en-GB"/>
        </w:rPr>
        <w:t xml:space="preserve">24-26. </w:t>
      </w:r>
      <w:proofErr w:type="spellStart"/>
      <w:r w:rsidRPr="004507DA">
        <w:rPr>
          <w:rFonts w:ascii="Times New Roman" w:hAnsi="Times New Roman" w:cs="Times New Roman"/>
          <w:lang w:val="en-GB"/>
        </w:rPr>
        <w:t>Dit</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geldt</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ook</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voor</w:t>
      </w:r>
      <w:proofErr w:type="spellEnd"/>
      <w:r w:rsidRPr="004507DA">
        <w:rPr>
          <w:rFonts w:ascii="Times New Roman" w:hAnsi="Times New Roman" w:cs="Times New Roman"/>
          <w:lang w:val="en-GB"/>
        </w:rPr>
        <w:t xml:space="preserve"> </w:t>
      </w:r>
      <w:r>
        <w:rPr>
          <w:rFonts w:ascii="Times New Roman" w:hAnsi="Times New Roman" w:cs="Times New Roman"/>
          <w:lang w:val="en-GB"/>
        </w:rPr>
        <w:t xml:space="preserve">Fuller, in </w:t>
      </w:r>
      <w:proofErr w:type="spellStart"/>
      <w:r w:rsidRPr="004507DA">
        <w:rPr>
          <w:rFonts w:ascii="Times New Roman" w:hAnsi="Times New Roman" w:cs="Times New Roman"/>
          <w:lang w:val="en-GB"/>
        </w:rPr>
        <w:t>L.Fuller</w:t>
      </w:r>
      <w:proofErr w:type="spellEnd"/>
      <w:r w:rsidRPr="004507DA">
        <w:rPr>
          <w:rFonts w:ascii="Times New Roman" w:hAnsi="Times New Roman" w:cs="Times New Roman"/>
          <w:lang w:val="en-GB"/>
        </w:rPr>
        <w:t xml:space="preserve">, </w:t>
      </w:r>
      <w:r w:rsidRPr="0078019A">
        <w:rPr>
          <w:rFonts w:ascii="Times New Roman" w:hAnsi="Times New Roman" w:cs="Times New Roman"/>
          <w:i/>
          <w:lang w:val="en-GB"/>
        </w:rPr>
        <w:t>The Morality of Law</w:t>
      </w:r>
      <w:r w:rsidRPr="004507DA">
        <w:rPr>
          <w:rFonts w:ascii="Times New Roman" w:hAnsi="Times New Roman" w:cs="Times New Roman"/>
          <w:lang w:val="en-GB"/>
        </w:rPr>
        <w:t xml:space="preserve">, </w:t>
      </w:r>
      <w:r w:rsidRPr="00AD1C63">
        <w:rPr>
          <w:rFonts w:ascii="Times New Roman" w:hAnsi="Times New Roman" w:cs="Times New Roman"/>
          <w:lang w:val="en-GB"/>
        </w:rPr>
        <w:t>New Hav</w:t>
      </w:r>
      <w:r>
        <w:rPr>
          <w:rFonts w:ascii="Times New Roman" w:hAnsi="Times New Roman" w:cs="Times New Roman"/>
          <w:lang w:val="en-GB"/>
        </w:rPr>
        <w:t>en/</w:t>
      </w:r>
      <w:proofErr w:type="spellStart"/>
      <w:r>
        <w:rPr>
          <w:rFonts w:ascii="Times New Roman" w:hAnsi="Times New Roman" w:cs="Times New Roman"/>
          <w:lang w:val="en-GB"/>
        </w:rPr>
        <w:t>Londen</w:t>
      </w:r>
      <w:proofErr w:type="spellEnd"/>
      <w:r>
        <w:rPr>
          <w:rFonts w:ascii="Times New Roman" w:hAnsi="Times New Roman" w:cs="Times New Roman"/>
          <w:lang w:val="en-GB"/>
        </w:rPr>
        <w:t>: Yale University Press, 1969, p. 80.</w:t>
      </w:r>
    </w:p>
  </w:footnote>
  <w:footnote w:id="4">
    <w:p w:rsidR="00870CF8" w:rsidRDefault="00870CF8" w:rsidP="00870CF8">
      <w:pPr>
        <w:pStyle w:val="FootnoteText"/>
      </w:pPr>
      <w:r>
        <w:rPr>
          <w:rStyle w:val="FootnoteReference"/>
        </w:rPr>
        <w:footnoteRef/>
      </w:r>
      <w:r>
        <w:t xml:space="preserve"> </w:t>
      </w:r>
      <w:r w:rsidRPr="00D11F08">
        <w:rPr>
          <w:rFonts w:ascii="Times New Roman" w:hAnsi="Times New Roman" w:cs="Times New Roman"/>
        </w:rPr>
        <w:t>Zie hier</w:t>
      </w:r>
      <w:r>
        <w:rPr>
          <w:rFonts w:ascii="Times New Roman" w:hAnsi="Times New Roman" w:cs="Times New Roman"/>
        </w:rPr>
        <w:t xml:space="preserve">over </w:t>
      </w:r>
      <w:r w:rsidRPr="00D11F08">
        <w:rPr>
          <w:rFonts w:ascii="Times New Roman" w:hAnsi="Times New Roman" w:cs="Times New Roman"/>
        </w:rPr>
        <w:t xml:space="preserve">onder meer C.P.M. </w:t>
      </w:r>
      <w:proofErr w:type="spellStart"/>
      <w:r w:rsidRPr="00D11F08">
        <w:rPr>
          <w:rFonts w:ascii="Times New Roman" w:hAnsi="Times New Roman" w:cs="Times New Roman"/>
        </w:rPr>
        <w:t>Cleiren</w:t>
      </w:r>
      <w:proofErr w:type="spellEnd"/>
      <w:r>
        <w:rPr>
          <w:rFonts w:ascii="Times New Roman" w:hAnsi="Times New Roman" w:cs="Times New Roman"/>
        </w:rPr>
        <w:t xml:space="preserve">, </w:t>
      </w:r>
      <w:r w:rsidRPr="000B1073">
        <w:rPr>
          <w:rFonts w:ascii="Times New Roman" w:hAnsi="Times New Roman" w:cs="Times New Roman"/>
          <w:i/>
        </w:rPr>
        <w:t>Evolueren naar meer horizontale en multidimensionale verhoudingen in het strafrecht</w:t>
      </w:r>
      <w:r>
        <w:rPr>
          <w:rFonts w:ascii="Times New Roman" w:hAnsi="Times New Roman" w:cs="Times New Roman"/>
        </w:rPr>
        <w:t>, Mechelen: Wolters Kluwer 2010.</w:t>
      </w:r>
    </w:p>
  </w:footnote>
  <w:footnote w:id="5">
    <w:p w:rsidR="00D9036A" w:rsidRDefault="00D9036A" w:rsidP="00D9036A">
      <w:pPr>
        <w:pStyle w:val="FootnoteText"/>
      </w:pPr>
      <w:r w:rsidRPr="004D58FC">
        <w:rPr>
          <w:rStyle w:val="FootnoteReference"/>
          <w:rFonts w:ascii="Times New Roman" w:hAnsi="Times New Roman"/>
        </w:rPr>
        <w:footnoteRef/>
      </w:r>
      <w:r w:rsidRPr="004D58FC">
        <w:rPr>
          <w:rFonts w:ascii="Times New Roman" w:hAnsi="Times New Roman" w:cs="Times New Roman"/>
        </w:rPr>
        <w:t xml:space="preserve"> Als één van de mijlpalen in die discussies wordt vaak verwezen naar de tekst van </w:t>
      </w:r>
      <w:proofErr w:type="spellStart"/>
      <w:r w:rsidRPr="004D58FC">
        <w:rPr>
          <w:rFonts w:ascii="Times New Roman" w:hAnsi="Times New Roman" w:cs="Times New Roman"/>
        </w:rPr>
        <w:t>W.Pompe</w:t>
      </w:r>
      <w:proofErr w:type="spellEnd"/>
      <w:r w:rsidRPr="004D58FC">
        <w:rPr>
          <w:rFonts w:ascii="Times New Roman" w:hAnsi="Times New Roman" w:cs="Times New Roman"/>
        </w:rPr>
        <w:t xml:space="preserve">, </w:t>
      </w:r>
      <w:r w:rsidRPr="004D58FC">
        <w:rPr>
          <w:rFonts w:ascii="Times New Roman" w:hAnsi="Times New Roman" w:cs="Times New Roman"/>
          <w:i/>
        </w:rPr>
        <w:t xml:space="preserve">Vooronderzoek of eindonderzoek beslissend? </w:t>
      </w:r>
      <w:r w:rsidRPr="004D58FC">
        <w:rPr>
          <w:rFonts w:ascii="Times New Roman" w:hAnsi="Times New Roman" w:cs="Times New Roman"/>
        </w:rPr>
        <w:t xml:space="preserve">Tijdschrift voor Strafrecht, LXVIII, afl.3, Leiden: E.J. </w:t>
      </w:r>
      <w:proofErr w:type="spellStart"/>
      <w:r w:rsidRPr="004D58FC">
        <w:rPr>
          <w:rFonts w:ascii="Times New Roman" w:hAnsi="Times New Roman" w:cs="Times New Roman"/>
        </w:rPr>
        <w:t>Brill</w:t>
      </w:r>
      <w:proofErr w:type="spellEnd"/>
      <w:r w:rsidRPr="004D58FC">
        <w:rPr>
          <w:rFonts w:ascii="Times New Roman" w:hAnsi="Times New Roman" w:cs="Times New Roman"/>
        </w:rPr>
        <w:t xml:space="preserve"> 1959. </w:t>
      </w:r>
    </w:p>
  </w:footnote>
  <w:footnote w:id="6">
    <w:p w:rsidR="00D9036A" w:rsidRPr="005023A8" w:rsidRDefault="00D9036A" w:rsidP="00D9036A">
      <w:pPr>
        <w:pStyle w:val="FootnoteText"/>
        <w:rPr>
          <w:rFonts w:ascii="Times New Roman" w:hAnsi="Times New Roman" w:cs="Times New Roman"/>
        </w:rPr>
      </w:pPr>
      <w:r w:rsidRPr="005023A8">
        <w:rPr>
          <w:rStyle w:val="FootnoteReference"/>
          <w:rFonts w:ascii="Times New Roman" w:hAnsi="Times New Roman"/>
        </w:rPr>
        <w:footnoteRef/>
      </w:r>
      <w:r w:rsidRPr="005023A8">
        <w:rPr>
          <w:rFonts w:ascii="Times New Roman" w:hAnsi="Times New Roman" w:cs="Times New Roman"/>
        </w:rPr>
        <w:t xml:space="preserve"> Een ontwikkeling die in belangrijke mate is tot stand gekomen door de doorwerking van de rechtspraak van het EHRM. </w:t>
      </w:r>
    </w:p>
  </w:footnote>
  <w:footnote w:id="7">
    <w:p w:rsidR="00D9036A" w:rsidRPr="005F02EF" w:rsidRDefault="00D9036A" w:rsidP="00D9036A">
      <w:pPr>
        <w:pStyle w:val="FootnoteText"/>
        <w:rPr>
          <w:rFonts w:ascii="Times New Roman" w:hAnsi="Times New Roman" w:cs="Times New Roman"/>
        </w:rPr>
      </w:pPr>
      <w:r w:rsidRPr="005F02EF">
        <w:rPr>
          <w:rStyle w:val="FootnoteReference"/>
          <w:rFonts w:ascii="Times New Roman" w:hAnsi="Times New Roman"/>
        </w:rPr>
        <w:footnoteRef/>
      </w:r>
      <w:r w:rsidRPr="005F02EF">
        <w:rPr>
          <w:rFonts w:ascii="Times New Roman" w:hAnsi="Times New Roman" w:cs="Times New Roman"/>
        </w:rPr>
        <w:t xml:space="preserve"> Begeleidende brief bij de Contourennota, p. 9-10.</w:t>
      </w:r>
    </w:p>
  </w:footnote>
  <w:footnote w:id="8">
    <w:p w:rsidR="00D9036A" w:rsidRPr="00DD6922" w:rsidRDefault="00D9036A" w:rsidP="00D9036A">
      <w:pPr>
        <w:pStyle w:val="FootnoteText"/>
        <w:rPr>
          <w:rFonts w:ascii="Times New Roman" w:hAnsi="Times New Roman" w:cs="Times New Roman"/>
          <w:lang w:val="en-GB"/>
        </w:rPr>
      </w:pPr>
      <w:r w:rsidRPr="005F02EF">
        <w:rPr>
          <w:rStyle w:val="FootnoteReference"/>
          <w:rFonts w:ascii="Times New Roman" w:hAnsi="Times New Roman"/>
        </w:rPr>
        <w:footnoteRef/>
      </w:r>
      <w:r w:rsidRPr="00DD6922">
        <w:rPr>
          <w:rFonts w:ascii="Times New Roman" w:hAnsi="Times New Roman" w:cs="Times New Roman"/>
          <w:lang w:val="en-GB"/>
        </w:rPr>
        <w:t xml:space="preserve"> </w:t>
      </w:r>
      <w:proofErr w:type="spellStart"/>
      <w:r w:rsidRPr="00DD6922">
        <w:rPr>
          <w:rFonts w:ascii="Times New Roman" w:hAnsi="Times New Roman" w:cs="Times New Roman"/>
          <w:lang w:val="en-GB"/>
        </w:rPr>
        <w:t>Contourennota</w:t>
      </w:r>
      <w:proofErr w:type="spellEnd"/>
      <w:r>
        <w:rPr>
          <w:rFonts w:ascii="Times New Roman" w:hAnsi="Times New Roman" w:cs="Times New Roman"/>
          <w:lang w:val="en-GB"/>
        </w:rPr>
        <w:t>,</w:t>
      </w:r>
      <w:r w:rsidRPr="00DD6922">
        <w:rPr>
          <w:rFonts w:ascii="Times New Roman" w:hAnsi="Times New Roman" w:cs="Times New Roman"/>
          <w:lang w:val="en-GB"/>
        </w:rPr>
        <w:t xml:space="preserve"> p. 65. </w:t>
      </w:r>
    </w:p>
  </w:footnote>
  <w:footnote w:id="9">
    <w:p w:rsidR="00D9036A" w:rsidRPr="00DD6922" w:rsidRDefault="00D9036A" w:rsidP="00D9036A">
      <w:pPr>
        <w:pStyle w:val="FootnoteText"/>
        <w:rPr>
          <w:rFonts w:ascii="Times New Roman" w:hAnsi="Times New Roman" w:cs="Times New Roman"/>
          <w:lang w:val="en-GB"/>
        </w:rPr>
      </w:pPr>
      <w:r w:rsidRPr="00800F27">
        <w:rPr>
          <w:rStyle w:val="FootnoteReference"/>
          <w:rFonts w:ascii="Times New Roman" w:hAnsi="Times New Roman"/>
        </w:rPr>
        <w:footnoteRef/>
      </w:r>
      <w:r w:rsidRPr="00DD6922">
        <w:rPr>
          <w:rFonts w:ascii="Times New Roman" w:hAnsi="Times New Roman" w:cs="Times New Roman"/>
          <w:lang w:val="en-GB"/>
        </w:rPr>
        <w:t xml:space="preserve"> </w:t>
      </w:r>
      <w:proofErr w:type="spellStart"/>
      <w:r w:rsidRPr="00DD6922">
        <w:rPr>
          <w:rFonts w:ascii="Times New Roman" w:hAnsi="Times New Roman" w:cs="Times New Roman"/>
          <w:lang w:val="en-GB"/>
        </w:rPr>
        <w:t>Contourennota</w:t>
      </w:r>
      <w:proofErr w:type="spellEnd"/>
      <w:r>
        <w:rPr>
          <w:rFonts w:ascii="Times New Roman" w:hAnsi="Times New Roman" w:cs="Times New Roman"/>
          <w:lang w:val="en-GB"/>
        </w:rPr>
        <w:t>,</w:t>
      </w:r>
      <w:r w:rsidRPr="00DD6922">
        <w:rPr>
          <w:rFonts w:ascii="Times New Roman" w:hAnsi="Times New Roman" w:cs="Times New Roman"/>
          <w:lang w:val="en-GB"/>
        </w:rPr>
        <w:t xml:space="preserve"> p. 71.</w:t>
      </w:r>
      <w:r>
        <w:rPr>
          <w:rFonts w:ascii="Times New Roman" w:hAnsi="Times New Roman" w:cs="Times New Roman"/>
          <w:lang w:val="en-GB"/>
        </w:rPr>
        <w:t xml:space="preserve">       </w:t>
      </w:r>
    </w:p>
  </w:footnote>
  <w:footnote w:id="10">
    <w:p w:rsidR="00D9036A" w:rsidRPr="003F4A63" w:rsidRDefault="00D9036A" w:rsidP="00D9036A">
      <w:pPr>
        <w:pStyle w:val="FootnoteText"/>
        <w:rPr>
          <w:lang w:val="en-GB"/>
        </w:rPr>
      </w:pPr>
      <w:r>
        <w:rPr>
          <w:rStyle w:val="FootnoteReference"/>
        </w:rPr>
        <w:footnoteRef/>
      </w:r>
      <w:r w:rsidRPr="003F4A63">
        <w:rPr>
          <w:lang w:val="en-GB"/>
        </w:rPr>
        <w:t xml:space="preserve"> </w:t>
      </w:r>
      <w:proofErr w:type="spellStart"/>
      <w:r w:rsidRPr="003F4A63">
        <w:rPr>
          <w:rFonts w:ascii="Times New Roman" w:hAnsi="Times New Roman" w:cs="Times New Roman"/>
          <w:lang w:val="en-GB"/>
        </w:rPr>
        <w:t>Contourennota</w:t>
      </w:r>
      <w:proofErr w:type="spellEnd"/>
      <w:r>
        <w:rPr>
          <w:rFonts w:ascii="Times New Roman" w:hAnsi="Times New Roman" w:cs="Times New Roman"/>
          <w:lang w:val="en-GB"/>
        </w:rPr>
        <w:t>,</w:t>
      </w:r>
      <w:r w:rsidRPr="003F4A63">
        <w:rPr>
          <w:rFonts w:ascii="Times New Roman" w:hAnsi="Times New Roman" w:cs="Times New Roman"/>
          <w:lang w:val="en-GB"/>
        </w:rPr>
        <w:t xml:space="preserve"> p. 71-72.</w:t>
      </w:r>
    </w:p>
  </w:footnote>
  <w:footnote w:id="11">
    <w:p w:rsidR="00D9036A" w:rsidRPr="00EA56CF" w:rsidRDefault="00D9036A" w:rsidP="00D9036A">
      <w:pPr>
        <w:pStyle w:val="FootnoteText"/>
        <w:rPr>
          <w:rFonts w:ascii="Times New Roman" w:hAnsi="Times New Roman" w:cs="Times New Roman"/>
        </w:rPr>
      </w:pPr>
      <w:r w:rsidRPr="00EA56CF">
        <w:rPr>
          <w:rStyle w:val="FootnoteReference"/>
          <w:rFonts w:ascii="Times New Roman" w:hAnsi="Times New Roman"/>
        </w:rPr>
        <w:footnoteRef/>
      </w:r>
      <w:r w:rsidRPr="00EA56CF">
        <w:rPr>
          <w:rFonts w:ascii="Times New Roman" w:hAnsi="Times New Roman" w:cs="Times New Roman"/>
        </w:rPr>
        <w:t xml:space="preserve"> Begeleidende brief bij de Contourennota</w:t>
      </w:r>
      <w:r>
        <w:rPr>
          <w:rFonts w:ascii="Times New Roman" w:hAnsi="Times New Roman" w:cs="Times New Roman"/>
        </w:rPr>
        <w:t>,</w:t>
      </w:r>
      <w:r w:rsidRPr="00EA56CF">
        <w:rPr>
          <w:rFonts w:ascii="Times New Roman" w:hAnsi="Times New Roman" w:cs="Times New Roman"/>
        </w:rPr>
        <w:t xml:space="preserve"> p. 7</w:t>
      </w:r>
      <w:r>
        <w:rPr>
          <w:rFonts w:ascii="Times New Roman" w:hAnsi="Times New Roman" w:cs="Times New Roman"/>
        </w:rPr>
        <w:t>.</w:t>
      </w:r>
    </w:p>
  </w:footnote>
  <w:footnote w:id="12">
    <w:p w:rsidR="00D9036A" w:rsidRPr="00A10076" w:rsidRDefault="00D9036A" w:rsidP="00D9036A">
      <w:pPr>
        <w:pStyle w:val="FootnoteText"/>
        <w:rPr>
          <w:rFonts w:ascii="Times New Roman" w:hAnsi="Times New Roman" w:cs="Times New Roman"/>
        </w:rPr>
      </w:pPr>
      <w:r w:rsidRPr="00A10076">
        <w:rPr>
          <w:rStyle w:val="FootnoteReference"/>
          <w:rFonts w:ascii="Times New Roman" w:hAnsi="Times New Roman"/>
        </w:rPr>
        <w:footnoteRef/>
      </w:r>
      <w:r w:rsidRPr="00A10076">
        <w:rPr>
          <w:rFonts w:ascii="Times New Roman" w:hAnsi="Times New Roman" w:cs="Times New Roman"/>
        </w:rPr>
        <w:t xml:space="preserve"> Zie hierover onder meer N. </w:t>
      </w:r>
      <w:proofErr w:type="spellStart"/>
      <w:r w:rsidRPr="00A10076">
        <w:rPr>
          <w:rFonts w:ascii="Times New Roman" w:hAnsi="Times New Roman" w:cs="Times New Roman"/>
        </w:rPr>
        <w:t>Jörg</w:t>
      </w:r>
      <w:proofErr w:type="spellEnd"/>
      <w:r w:rsidRPr="00A10076">
        <w:rPr>
          <w:rFonts w:ascii="Times New Roman" w:hAnsi="Times New Roman" w:cs="Times New Roman"/>
        </w:rPr>
        <w:t xml:space="preserve">, S. Field en C. Brants, Are </w:t>
      </w:r>
      <w:proofErr w:type="spellStart"/>
      <w:r w:rsidRPr="00A10076">
        <w:rPr>
          <w:rFonts w:ascii="Times New Roman" w:hAnsi="Times New Roman" w:cs="Times New Roman"/>
        </w:rPr>
        <w:t>inquisitorial</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and</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adversarial</w:t>
      </w:r>
      <w:proofErr w:type="spellEnd"/>
      <w:r w:rsidRPr="00A10076">
        <w:rPr>
          <w:rFonts w:ascii="Times New Roman" w:hAnsi="Times New Roman" w:cs="Times New Roman"/>
        </w:rPr>
        <w:t xml:space="preserve"> systems </w:t>
      </w:r>
      <w:proofErr w:type="spellStart"/>
      <w:r w:rsidRPr="00A10076">
        <w:rPr>
          <w:rFonts w:ascii="Times New Roman" w:hAnsi="Times New Roman" w:cs="Times New Roman"/>
        </w:rPr>
        <w:t>converging</w:t>
      </w:r>
      <w:proofErr w:type="spellEnd"/>
      <w:r w:rsidRPr="00A10076">
        <w:rPr>
          <w:rFonts w:ascii="Times New Roman" w:hAnsi="Times New Roman" w:cs="Times New Roman"/>
        </w:rPr>
        <w:t xml:space="preserve">?, in: P. </w:t>
      </w:r>
      <w:proofErr w:type="spellStart"/>
      <w:r w:rsidRPr="00A10076">
        <w:rPr>
          <w:rFonts w:ascii="Times New Roman" w:hAnsi="Times New Roman" w:cs="Times New Roman"/>
        </w:rPr>
        <w:t>Fennell</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and</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others</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i/>
        </w:rPr>
        <w:t>Criminal</w:t>
      </w:r>
      <w:proofErr w:type="spellEnd"/>
      <w:r w:rsidRPr="00A10076">
        <w:rPr>
          <w:rFonts w:ascii="Times New Roman" w:hAnsi="Times New Roman" w:cs="Times New Roman"/>
          <w:i/>
        </w:rPr>
        <w:t xml:space="preserve"> </w:t>
      </w:r>
      <w:proofErr w:type="spellStart"/>
      <w:r w:rsidRPr="00A10076">
        <w:rPr>
          <w:rFonts w:ascii="Times New Roman" w:hAnsi="Times New Roman" w:cs="Times New Roman"/>
          <w:i/>
        </w:rPr>
        <w:t>Justice</w:t>
      </w:r>
      <w:proofErr w:type="spellEnd"/>
      <w:r w:rsidRPr="00A10076">
        <w:rPr>
          <w:rFonts w:ascii="Times New Roman" w:hAnsi="Times New Roman" w:cs="Times New Roman"/>
          <w:i/>
        </w:rPr>
        <w:t xml:space="preserve"> in Europe – a </w:t>
      </w:r>
      <w:proofErr w:type="spellStart"/>
      <w:r w:rsidRPr="00A10076">
        <w:rPr>
          <w:rFonts w:ascii="Times New Roman" w:hAnsi="Times New Roman" w:cs="Times New Roman"/>
          <w:i/>
        </w:rPr>
        <w:t>comparative</w:t>
      </w:r>
      <w:proofErr w:type="spellEnd"/>
      <w:r w:rsidRPr="00A10076">
        <w:rPr>
          <w:rFonts w:ascii="Times New Roman" w:hAnsi="Times New Roman" w:cs="Times New Roman"/>
          <w:i/>
        </w:rPr>
        <w:t xml:space="preserve"> </w:t>
      </w:r>
      <w:proofErr w:type="spellStart"/>
      <w:r w:rsidRPr="00A10076">
        <w:rPr>
          <w:rFonts w:ascii="Times New Roman" w:hAnsi="Times New Roman" w:cs="Times New Roman"/>
          <w:i/>
        </w:rPr>
        <w:t>study</w:t>
      </w:r>
      <w:proofErr w:type="spellEnd"/>
      <w:r w:rsidRPr="00A10076">
        <w:rPr>
          <w:rFonts w:ascii="Times New Roman" w:hAnsi="Times New Roman" w:cs="Times New Roman"/>
        </w:rPr>
        <w:t xml:space="preserve">, Oxford: </w:t>
      </w:r>
      <w:proofErr w:type="spellStart"/>
      <w:r w:rsidRPr="00A10076">
        <w:rPr>
          <w:rFonts w:ascii="Times New Roman" w:hAnsi="Times New Roman" w:cs="Times New Roman"/>
        </w:rPr>
        <w:t>Clarenton</w:t>
      </w:r>
      <w:proofErr w:type="spellEnd"/>
      <w:r w:rsidRPr="00A10076">
        <w:rPr>
          <w:rFonts w:ascii="Times New Roman" w:hAnsi="Times New Roman" w:cs="Times New Roman"/>
        </w:rPr>
        <w:t xml:space="preserve"> Press 1995, p. 41-56 en P. de Hert en T. </w:t>
      </w:r>
      <w:proofErr w:type="spellStart"/>
      <w:r w:rsidRPr="00A10076">
        <w:rPr>
          <w:rFonts w:ascii="Times New Roman" w:hAnsi="Times New Roman" w:cs="Times New Roman"/>
        </w:rPr>
        <w:t>Decaigny</w:t>
      </w:r>
      <w:proofErr w:type="spellEnd"/>
      <w:r w:rsidRPr="00A10076">
        <w:rPr>
          <w:rFonts w:ascii="Times New Roman" w:hAnsi="Times New Roman" w:cs="Times New Roman"/>
        </w:rPr>
        <w:t>, Evolueren</w:t>
      </w:r>
      <w:r>
        <w:rPr>
          <w:rFonts w:ascii="Times New Roman" w:hAnsi="Times New Roman" w:cs="Times New Roman"/>
        </w:rPr>
        <w:t xml:space="preserve"> </w:t>
      </w:r>
      <w:r w:rsidRPr="00A10076">
        <w:rPr>
          <w:rFonts w:ascii="Times New Roman" w:hAnsi="Times New Roman" w:cs="Times New Roman"/>
        </w:rPr>
        <w:t>het Nederlandse en het</w:t>
      </w:r>
      <w:r>
        <w:rPr>
          <w:rFonts w:ascii="Times New Roman" w:hAnsi="Times New Roman" w:cs="Times New Roman"/>
        </w:rPr>
        <w:t xml:space="preserve"> Belgische strafproces naar </w:t>
      </w:r>
      <w:proofErr w:type="spellStart"/>
      <w:r>
        <w:rPr>
          <w:rFonts w:ascii="Times New Roman" w:hAnsi="Times New Roman" w:cs="Times New Roman"/>
        </w:rPr>
        <w:t>adversaire</w:t>
      </w:r>
      <w:proofErr w:type="spellEnd"/>
      <w:r>
        <w:rPr>
          <w:rFonts w:ascii="Times New Roman" w:hAnsi="Times New Roman" w:cs="Times New Roman"/>
        </w:rPr>
        <w:t xml:space="preserve"> systemen? </w:t>
      </w:r>
      <w:r w:rsidRPr="00A10076">
        <w:rPr>
          <w:rFonts w:ascii="Times New Roman" w:hAnsi="Times New Roman" w:cs="Times New Roman"/>
          <w:i/>
        </w:rPr>
        <w:t>Strafblad,</w:t>
      </w:r>
      <w:r>
        <w:rPr>
          <w:rFonts w:ascii="Times New Roman" w:hAnsi="Times New Roman" w:cs="Times New Roman"/>
        </w:rPr>
        <w:t xml:space="preserve"> maart 2013, SDU, p, 54-66.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4E68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74C21"/>
    <w:multiLevelType w:val="hybridMultilevel"/>
    <w:tmpl w:val="83EECC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49B6E4A"/>
    <w:multiLevelType w:val="hybridMultilevel"/>
    <w:tmpl w:val="F5FA2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635BED"/>
    <w:multiLevelType w:val="hybridMultilevel"/>
    <w:tmpl w:val="2B6E7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66A04EB"/>
    <w:multiLevelType w:val="hybridMultilevel"/>
    <w:tmpl w:val="F45047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A0D24CA"/>
    <w:multiLevelType w:val="hybridMultilevel"/>
    <w:tmpl w:val="EED04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50B4895"/>
    <w:multiLevelType w:val="hybridMultilevel"/>
    <w:tmpl w:val="5A608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3A24BA"/>
    <w:multiLevelType w:val="hybridMultilevel"/>
    <w:tmpl w:val="D3DE619E"/>
    <w:lvl w:ilvl="0" w:tplc="CD84E2DC">
      <w:start w:val="1"/>
      <w:numFmt w:val="decimal"/>
      <w:lvlText w:val="%1."/>
      <w:lvlJc w:val="left"/>
      <w:pPr>
        <w:ind w:left="720" w:hanging="360"/>
      </w:pPr>
      <w:rPr>
        <w:rFonts w:eastAsia="MS Mincho" w:hint="default"/>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4A3422D"/>
    <w:multiLevelType w:val="hybridMultilevel"/>
    <w:tmpl w:val="5AB09EAC"/>
    <w:lvl w:ilvl="0" w:tplc="1F02EC7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33A52D3"/>
    <w:multiLevelType w:val="hybridMultilevel"/>
    <w:tmpl w:val="0C1C0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8646F2F"/>
    <w:multiLevelType w:val="hybridMultilevel"/>
    <w:tmpl w:val="247CE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0"/>
  </w:num>
  <w:num w:numId="5">
    <w:abstractNumId w:val="8"/>
  </w:num>
  <w:num w:numId="6">
    <w:abstractNumId w:val="9"/>
  </w:num>
  <w:num w:numId="7">
    <w:abstractNumId w:val="1"/>
  </w:num>
  <w:num w:numId="8">
    <w:abstractNumId w:val="7"/>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51"/>
    <w:rsid w:val="00005AA6"/>
    <w:rsid w:val="00006C18"/>
    <w:rsid w:val="00024D7F"/>
    <w:rsid w:val="00035245"/>
    <w:rsid w:val="00042898"/>
    <w:rsid w:val="00045FDB"/>
    <w:rsid w:val="00047FC8"/>
    <w:rsid w:val="00057758"/>
    <w:rsid w:val="0006036B"/>
    <w:rsid w:val="00060632"/>
    <w:rsid w:val="00075921"/>
    <w:rsid w:val="00080F0F"/>
    <w:rsid w:val="00083039"/>
    <w:rsid w:val="0009082D"/>
    <w:rsid w:val="00090B10"/>
    <w:rsid w:val="00093470"/>
    <w:rsid w:val="00093997"/>
    <w:rsid w:val="0009626C"/>
    <w:rsid w:val="000A0003"/>
    <w:rsid w:val="000A294E"/>
    <w:rsid w:val="000A691B"/>
    <w:rsid w:val="000B0C46"/>
    <w:rsid w:val="000B1073"/>
    <w:rsid w:val="000B1E34"/>
    <w:rsid w:val="000C450D"/>
    <w:rsid w:val="000D1695"/>
    <w:rsid w:val="000F26A5"/>
    <w:rsid w:val="000F3196"/>
    <w:rsid w:val="000F4855"/>
    <w:rsid w:val="000F7303"/>
    <w:rsid w:val="00103640"/>
    <w:rsid w:val="00117BA9"/>
    <w:rsid w:val="00130AC3"/>
    <w:rsid w:val="001423BE"/>
    <w:rsid w:val="00142DE9"/>
    <w:rsid w:val="0015044F"/>
    <w:rsid w:val="00154AED"/>
    <w:rsid w:val="00163F7D"/>
    <w:rsid w:val="00194071"/>
    <w:rsid w:val="001A4150"/>
    <w:rsid w:val="001B27A1"/>
    <w:rsid w:val="001C5D2E"/>
    <w:rsid w:val="001D4BC5"/>
    <w:rsid w:val="001D7CA9"/>
    <w:rsid w:val="001E4107"/>
    <w:rsid w:val="00205D4C"/>
    <w:rsid w:val="0020624F"/>
    <w:rsid w:val="00206F93"/>
    <w:rsid w:val="0022549B"/>
    <w:rsid w:val="002267BC"/>
    <w:rsid w:val="002475E5"/>
    <w:rsid w:val="002615B7"/>
    <w:rsid w:val="00272A4A"/>
    <w:rsid w:val="00290865"/>
    <w:rsid w:val="00290F81"/>
    <w:rsid w:val="00291AA9"/>
    <w:rsid w:val="0029544A"/>
    <w:rsid w:val="002B105D"/>
    <w:rsid w:val="002B20B0"/>
    <w:rsid w:val="002B3EA2"/>
    <w:rsid w:val="002C4631"/>
    <w:rsid w:val="002C54D9"/>
    <w:rsid w:val="002D24C7"/>
    <w:rsid w:val="002D574A"/>
    <w:rsid w:val="002F33E8"/>
    <w:rsid w:val="002F57AC"/>
    <w:rsid w:val="0030159F"/>
    <w:rsid w:val="003024FA"/>
    <w:rsid w:val="00315999"/>
    <w:rsid w:val="00324076"/>
    <w:rsid w:val="003330D7"/>
    <w:rsid w:val="003349E4"/>
    <w:rsid w:val="00335ED4"/>
    <w:rsid w:val="00340516"/>
    <w:rsid w:val="00340CCE"/>
    <w:rsid w:val="00361A3C"/>
    <w:rsid w:val="00377B12"/>
    <w:rsid w:val="003841F8"/>
    <w:rsid w:val="003848AD"/>
    <w:rsid w:val="00384BFF"/>
    <w:rsid w:val="00385478"/>
    <w:rsid w:val="0038630E"/>
    <w:rsid w:val="00390DB2"/>
    <w:rsid w:val="003A1D26"/>
    <w:rsid w:val="003A4BAE"/>
    <w:rsid w:val="003B0180"/>
    <w:rsid w:val="003B2A8E"/>
    <w:rsid w:val="003B349D"/>
    <w:rsid w:val="003C2461"/>
    <w:rsid w:val="003C37F6"/>
    <w:rsid w:val="003D6E53"/>
    <w:rsid w:val="003D7B29"/>
    <w:rsid w:val="003E7B5D"/>
    <w:rsid w:val="003F09D4"/>
    <w:rsid w:val="003F4A63"/>
    <w:rsid w:val="003F5276"/>
    <w:rsid w:val="003F5675"/>
    <w:rsid w:val="004035F0"/>
    <w:rsid w:val="00420449"/>
    <w:rsid w:val="004258A9"/>
    <w:rsid w:val="00433FB5"/>
    <w:rsid w:val="00434920"/>
    <w:rsid w:val="00434AFD"/>
    <w:rsid w:val="004404C2"/>
    <w:rsid w:val="00446D77"/>
    <w:rsid w:val="004507DA"/>
    <w:rsid w:val="00455EDB"/>
    <w:rsid w:val="00462F03"/>
    <w:rsid w:val="004731A5"/>
    <w:rsid w:val="0047622E"/>
    <w:rsid w:val="0047633A"/>
    <w:rsid w:val="00493246"/>
    <w:rsid w:val="004A1251"/>
    <w:rsid w:val="004D1A3D"/>
    <w:rsid w:val="004D2E48"/>
    <w:rsid w:val="004D58FC"/>
    <w:rsid w:val="004D6300"/>
    <w:rsid w:val="004E1C6A"/>
    <w:rsid w:val="004F351A"/>
    <w:rsid w:val="004F4A0F"/>
    <w:rsid w:val="004F4E38"/>
    <w:rsid w:val="004F5CE4"/>
    <w:rsid w:val="005009AC"/>
    <w:rsid w:val="005023A8"/>
    <w:rsid w:val="00506DBF"/>
    <w:rsid w:val="00507259"/>
    <w:rsid w:val="00507617"/>
    <w:rsid w:val="00516CF9"/>
    <w:rsid w:val="005256FF"/>
    <w:rsid w:val="00527AF2"/>
    <w:rsid w:val="00537183"/>
    <w:rsid w:val="005404D5"/>
    <w:rsid w:val="005513BD"/>
    <w:rsid w:val="0055468B"/>
    <w:rsid w:val="005664C7"/>
    <w:rsid w:val="00576250"/>
    <w:rsid w:val="00581AA0"/>
    <w:rsid w:val="005A47EC"/>
    <w:rsid w:val="005B1892"/>
    <w:rsid w:val="005B1C1A"/>
    <w:rsid w:val="005B75D9"/>
    <w:rsid w:val="005E1B2F"/>
    <w:rsid w:val="005F02EF"/>
    <w:rsid w:val="00602392"/>
    <w:rsid w:val="0060488F"/>
    <w:rsid w:val="00613B8D"/>
    <w:rsid w:val="00617308"/>
    <w:rsid w:val="00617922"/>
    <w:rsid w:val="00622959"/>
    <w:rsid w:val="0063395A"/>
    <w:rsid w:val="0063548C"/>
    <w:rsid w:val="00637E64"/>
    <w:rsid w:val="00641811"/>
    <w:rsid w:val="00652087"/>
    <w:rsid w:val="00667005"/>
    <w:rsid w:val="0068398C"/>
    <w:rsid w:val="0068498A"/>
    <w:rsid w:val="00692EEC"/>
    <w:rsid w:val="00696185"/>
    <w:rsid w:val="00697977"/>
    <w:rsid w:val="006A2AED"/>
    <w:rsid w:val="006B380D"/>
    <w:rsid w:val="006C3838"/>
    <w:rsid w:val="006C4094"/>
    <w:rsid w:val="006D354F"/>
    <w:rsid w:val="006F3657"/>
    <w:rsid w:val="006F5D70"/>
    <w:rsid w:val="007003CD"/>
    <w:rsid w:val="00703A23"/>
    <w:rsid w:val="007300DF"/>
    <w:rsid w:val="00757F80"/>
    <w:rsid w:val="00761E97"/>
    <w:rsid w:val="00763509"/>
    <w:rsid w:val="00770EE4"/>
    <w:rsid w:val="007773D5"/>
    <w:rsid w:val="00777A7A"/>
    <w:rsid w:val="0078019A"/>
    <w:rsid w:val="007860BF"/>
    <w:rsid w:val="00786B55"/>
    <w:rsid w:val="007B043B"/>
    <w:rsid w:val="007B2E42"/>
    <w:rsid w:val="007B4BB1"/>
    <w:rsid w:val="007C5808"/>
    <w:rsid w:val="007D19E4"/>
    <w:rsid w:val="007D7574"/>
    <w:rsid w:val="007D7596"/>
    <w:rsid w:val="007E332B"/>
    <w:rsid w:val="007F1F66"/>
    <w:rsid w:val="007F5652"/>
    <w:rsid w:val="007F7A26"/>
    <w:rsid w:val="0080089F"/>
    <w:rsid w:val="00800F27"/>
    <w:rsid w:val="00803913"/>
    <w:rsid w:val="00823084"/>
    <w:rsid w:val="00842D81"/>
    <w:rsid w:val="0084333E"/>
    <w:rsid w:val="00844B23"/>
    <w:rsid w:val="00847968"/>
    <w:rsid w:val="008565CE"/>
    <w:rsid w:val="0086369C"/>
    <w:rsid w:val="00870CF8"/>
    <w:rsid w:val="008718B9"/>
    <w:rsid w:val="0088340E"/>
    <w:rsid w:val="008855B4"/>
    <w:rsid w:val="00890AEA"/>
    <w:rsid w:val="008943DE"/>
    <w:rsid w:val="008B31BB"/>
    <w:rsid w:val="008E19AD"/>
    <w:rsid w:val="008E605D"/>
    <w:rsid w:val="008F1803"/>
    <w:rsid w:val="008F6D71"/>
    <w:rsid w:val="00900458"/>
    <w:rsid w:val="009014F2"/>
    <w:rsid w:val="00901A94"/>
    <w:rsid w:val="009037CA"/>
    <w:rsid w:val="009039D4"/>
    <w:rsid w:val="00903E63"/>
    <w:rsid w:val="0091492E"/>
    <w:rsid w:val="009371FA"/>
    <w:rsid w:val="0094276B"/>
    <w:rsid w:val="00945B4A"/>
    <w:rsid w:val="00960043"/>
    <w:rsid w:val="00962361"/>
    <w:rsid w:val="0096782D"/>
    <w:rsid w:val="00967F1A"/>
    <w:rsid w:val="009774B5"/>
    <w:rsid w:val="00981CE7"/>
    <w:rsid w:val="00986B92"/>
    <w:rsid w:val="00992200"/>
    <w:rsid w:val="009925BE"/>
    <w:rsid w:val="0099606A"/>
    <w:rsid w:val="009C275A"/>
    <w:rsid w:val="009C3272"/>
    <w:rsid w:val="009C41EC"/>
    <w:rsid w:val="009C546B"/>
    <w:rsid w:val="009D2A3E"/>
    <w:rsid w:val="009E1E18"/>
    <w:rsid w:val="009E6B53"/>
    <w:rsid w:val="009F5C5B"/>
    <w:rsid w:val="009F69EA"/>
    <w:rsid w:val="00A10076"/>
    <w:rsid w:val="00A27CE3"/>
    <w:rsid w:val="00A35EE8"/>
    <w:rsid w:val="00A36697"/>
    <w:rsid w:val="00A37717"/>
    <w:rsid w:val="00A52CD8"/>
    <w:rsid w:val="00A76A67"/>
    <w:rsid w:val="00A813E7"/>
    <w:rsid w:val="00A85448"/>
    <w:rsid w:val="00A85C59"/>
    <w:rsid w:val="00A93986"/>
    <w:rsid w:val="00AA1836"/>
    <w:rsid w:val="00AA6AB9"/>
    <w:rsid w:val="00AC0E84"/>
    <w:rsid w:val="00AC7326"/>
    <w:rsid w:val="00AD1C63"/>
    <w:rsid w:val="00AD5ED8"/>
    <w:rsid w:val="00AE268D"/>
    <w:rsid w:val="00AE3E19"/>
    <w:rsid w:val="00AE5089"/>
    <w:rsid w:val="00AE5145"/>
    <w:rsid w:val="00B00C2D"/>
    <w:rsid w:val="00B27120"/>
    <w:rsid w:val="00B35F84"/>
    <w:rsid w:val="00B36897"/>
    <w:rsid w:val="00B4290E"/>
    <w:rsid w:val="00B66DA1"/>
    <w:rsid w:val="00B73CA8"/>
    <w:rsid w:val="00B81980"/>
    <w:rsid w:val="00B94A6E"/>
    <w:rsid w:val="00B96C37"/>
    <w:rsid w:val="00BA4D94"/>
    <w:rsid w:val="00BA52DC"/>
    <w:rsid w:val="00BB617A"/>
    <w:rsid w:val="00BC1EF3"/>
    <w:rsid w:val="00BC3F01"/>
    <w:rsid w:val="00BC4ED4"/>
    <w:rsid w:val="00BC6314"/>
    <w:rsid w:val="00BD303D"/>
    <w:rsid w:val="00BE6A26"/>
    <w:rsid w:val="00BF00A9"/>
    <w:rsid w:val="00BF1DDE"/>
    <w:rsid w:val="00BF5AB7"/>
    <w:rsid w:val="00BF60ED"/>
    <w:rsid w:val="00C00845"/>
    <w:rsid w:val="00C04A94"/>
    <w:rsid w:val="00C106A0"/>
    <w:rsid w:val="00C157B4"/>
    <w:rsid w:val="00C1587D"/>
    <w:rsid w:val="00C228F1"/>
    <w:rsid w:val="00C300DF"/>
    <w:rsid w:val="00C35FB7"/>
    <w:rsid w:val="00C42EC6"/>
    <w:rsid w:val="00C54EE1"/>
    <w:rsid w:val="00C613EE"/>
    <w:rsid w:val="00C654F2"/>
    <w:rsid w:val="00C65FE0"/>
    <w:rsid w:val="00C716A5"/>
    <w:rsid w:val="00C735CB"/>
    <w:rsid w:val="00C83052"/>
    <w:rsid w:val="00C830CD"/>
    <w:rsid w:val="00C87746"/>
    <w:rsid w:val="00C92DA2"/>
    <w:rsid w:val="00CC5CB6"/>
    <w:rsid w:val="00CD36E8"/>
    <w:rsid w:val="00CD47D7"/>
    <w:rsid w:val="00CE1BC7"/>
    <w:rsid w:val="00CE41B0"/>
    <w:rsid w:val="00CF1B9D"/>
    <w:rsid w:val="00CF2CA9"/>
    <w:rsid w:val="00D02EA7"/>
    <w:rsid w:val="00D11F08"/>
    <w:rsid w:val="00D2115D"/>
    <w:rsid w:val="00D31DB1"/>
    <w:rsid w:val="00D404C3"/>
    <w:rsid w:val="00D45923"/>
    <w:rsid w:val="00D472A4"/>
    <w:rsid w:val="00D47B93"/>
    <w:rsid w:val="00D54621"/>
    <w:rsid w:val="00D56E03"/>
    <w:rsid w:val="00D57E41"/>
    <w:rsid w:val="00D65086"/>
    <w:rsid w:val="00D9036A"/>
    <w:rsid w:val="00D94CD9"/>
    <w:rsid w:val="00DA4972"/>
    <w:rsid w:val="00DB3421"/>
    <w:rsid w:val="00DD6922"/>
    <w:rsid w:val="00DF58E2"/>
    <w:rsid w:val="00DF6305"/>
    <w:rsid w:val="00DF6759"/>
    <w:rsid w:val="00E0505F"/>
    <w:rsid w:val="00E10B49"/>
    <w:rsid w:val="00E1269F"/>
    <w:rsid w:val="00E226DB"/>
    <w:rsid w:val="00E24B16"/>
    <w:rsid w:val="00E25BD3"/>
    <w:rsid w:val="00E270D8"/>
    <w:rsid w:val="00E30FB7"/>
    <w:rsid w:val="00E32221"/>
    <w:rsid w:val="00E47F7E"/>
    <w:rsid w:val="00E52A02"/>
    <w:rsid w:val="00E6703B"/>
    <w:rsid w:val="00E85A9D"/>
    <w:rsid w:val="00EA56CF"/>
    <w:rsid w:val="00EB2018"/>
    <w:rsid w:val="00EB5579"/>
    <w:rsid w:val="00EC256D"/>
    <w:rsid w:val="00EC2F8F"/>
    <w:rsid w:val="00EC7B1D"/>
    <w:rsid w:val="00ED3958"/>
    <w:rsid w:val="00EF0520"/>
    <w:rsid w:val="00EF1F48"/>
    <w:rsid w:val="00F02394"/>
    <w:rsid w:val="00F067BA"/>
    <w:rsid w:val="00F06BD5"/>
    <w:rsid w:val="00F25AC8"/>
    <w:rsid w:val="00F564FF"/>
    <w:rsid w:val="00F60D56"/>
    <w:rsid w:val="00F61571"/>
    <w:rsid w:val="00F7710D"/>
    <w:rsid w:val="00F77B37"/>
    <w:rsid w:val="00F810BF"/>
    <w:rsid w:val="00F819D0"/>
    <w:rsid w:val="00F87C1E"/>
    <w:rsid w:val="00FA48E1"/>
    <w:rsid w:val="00FC5A0F"/>
    <w:rsid w:val="00FC5C04"/>
    <w:rsid w:val="00FE425C"/>
    <w:rsid w:val="00FF65F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4A1251"/>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1"/>
    <w:uiPriority w:val="99"/>
    <w:locked/>
    <w:rsid w:val="004A1251"/>
    <w:rPr>
      <w:rFonts w:eastAsia="Times New Roman" w:cs="Times New Roman"/>
      <w:sz w:val="20"/>
      <w:szCs w:val="20"/>
    </w:rPr>
  </w:style>
  <w:style w:type="character" w:styleId="FootnoteReference">
    <w:name w:val="footnote reference"/>
    <w:basedOn w:val="DefaultParagraphFont"/>
    <w:uiPriority w:val="99"/>
    <w:unhideWhenUsed/>
    <w:rsid w:val="004A1251"/>
    <w:rPr>
      <w:rFonts w:cs="Times New Roman"/>
      <w:vertAlign w:val="superscript"/>
    </w:rPr>
  </w:style>
  <w:style w:type="paragraph" w:styleId="FootnoteText">
    <w:name w:val="footnote text"/>
    <w:basedOn w:val="Normal"/>
    <w:link w:val="FootnoteTextChar1"/>
    <w:uiPriority w:val="99"/>
    <w:semiHidden/>
    <w:unhideWhenUsed/>
    <w:rsid w:val="004A125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A1251"/>
    <w:rPr>
      <w:sz w:val="20"/>
      <w:szCs w:val="20"/>
    </w:rPr>
  </w:style>
  <w:style w:type="paragraph" w:styleId="ListParagraph">
    <w:name w:val="List Paragraph"/>
    <w:basedOn w:val="Normal"/>
    <w:uiPriority w:val="34"/>
    <w:qFormat/>
    <w:rsid w:val="00CF2CA9"/>
    <w:pPr>
      <w:ind w:left="720"/>
      <w:contextualSpacing/>
    </w:pPr>
  </w:style>
  <w:style w:type="paragraph" w:styleId="Header">
    <w:name w:val="header"/>
    <w:basedOn w:val="Normal"/>
    <w:link w:val="HeaderChar"/>
    <w:uiPriority w:val="99"/>
    <w:unhideWhenUsed/>
    <w:rsid w:val="008B3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1BB"/>
  </w:style>
  <w:style w:type="paragraph" w:styleId="Footer">
    <w:name w:val="footer"/>
    <w:basedOn w:val="Normal"/>
    <w:link w:val="FooterChar"/>
    <w:uiPriority w:val="99"/>
    <w:unhideWhenUsed/>
    <w:rsid w:val="008B31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1BB"/>
  </w:style>
  <w:style w:type="paragraph" w:customStyle="1" w:styleId="Default">
    <w:name w:val="Default"/>
    <w:rsid w:val="005256FF"/>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uiPriority w:val="99"/>
    <w:semiHidden/>
    <w:unhideWhenUsed/>
    <w:rsid w:val="009C41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1EC"/>
    <w:rPr>
      <w:sz w:val="20"/>
      <w:szCs w:val="20"/>
    </w:rPr>
  </w:style>
  <w:style w:type="character" w:styleId="EndnoteReference">
    <w:name w:val="endnote reference"/>
    <w:basedOn w:val="DefaultParagraphFont"/>
    <w:uiPriority w:val="99"/>
    <w:semiHidden/>
    <w:unhideWhenUsed/>
    <w:rsid w:val="009C41EC"/>
    <w:rPr>
      <w:vertAlign w:val="superscript"/>
    </w:rPr>
  </w:style>
  <w:style w:type="character" w:styleId="CommentReference">
    <w:name w:val="annotation reference"/>
    <w:basedOn w:val="DefaultParagraphFont"/>
    <w:uiPriority w:val="99"/>
    <w:semiHidden/>
    <w:unhideWhenUsed/>
    <w:rsid w:val="00C157B4"/>
    <w:rPr>
      <w:sz w:val="16"/>
      <w:szCs w:val="16"/>
    </w:rPr>
  </w:style>
  <w:style w:type="paragraph" w:styleId="CommentText">
    <w:name w:val="annotation text"/>
    <w:basedOn w:val="Normal"/>
    <w:link w:val="CommentTextChar"/>
    <w:uiPriority w:val="99"/>
    <w:unhideWhenUsed/>
    <w:rsid w:val="00C157B4"/>
    <w:pPr>
      <w:spacing w:line="240" w:lineRule="auto"/>
    </w:pPr>
    <w:rPr>
      <w:sz w:val="20"/>
      <w:szCs w:val="20"/>
    </w:rPr>
  </w:style>
  <w:style w:type="character" w:customStyle="1" w:styleId="CommentTextChar">
    <w:name w:val="Comment Text Char"/>
    <w:basedOn w:val="DefaultParagraphFont"/>
    <w:link w:val="CommentText"/>
    <w:uiPriority w:val="99"/>
    <w:rsid w:val="00C157B4"/>
    <w:rPr>
      <w:sz w:val="20"/>
      <w:szCs w:val="20"/>
    </w:rPr>
  </w:style>
  <w:style w:type="paragraph" w:styleId="CommentSubject">
    <w:name w:val="annotation subject"/>
    <w:basedOn w:val="CommentText"/>
    <w:next w:val="CommentText"/>
    <w:link w:val="CommentSubjectChar"/>
    <w:uiPriority w:val="99"/>
    <w:semiHidden/>
    <w:unhideWhenUsed/>
    <w:rsid w:val="00C157B4"/>
    <w:rPr>
      <w:b/>
      <w:bCs/>
    </w:rPr>
  </w:style>
  <w:style w:type="character" w:customStyle="1" w:styleId="CommentSubjectChar">
    <w:name w:val="Comment Subject Char"/>
    <w:basedOn w:val="CommentTextChar"/>
    <w:link w:val="CommentSubject"/>
    <w:uiPriority w:val="99"/>
    <w:semiHidden/>
    <w:rsid w:val="00C157B4"/>
    <w:rPr>
      <w:b/>
      <w:bCs/>
      <w:sz w:val="20"/>
      <w:szCs w:val="20"/>
    </w:rPr>
  </w:style>
  <w:style w:type="paragraph" w:styleId="BalloonText">
    <w:name w:val="Balloon Text"/>
    <w:basedOn w:val="Normal"/>
    <w:link w:val="BalloonTextChar"/>
    <w:uiPriority w:val="99"/>
    <w:semiHidden/>
    <w:unhideWhenUsed/>
    <w:rsid w:val="00C1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B4"/>
    <w:rPr>
      <w:rFonts w:ascii="Tahoma" w:hAnsi="Tahoma" w:cs="Tahoma"/>
      <w:sz w:val="16"/>
      <w:szCs w:val="16"/>
    </w:rPr>
  </w:style>
  <w:style w:type="paragraph" w:styleId="ListBullet">
    <w:name w:val="List Bullet"/>
    <w:basedOn w:val="Normal"/>
    <w:uiPriority w:val="99"/>
    <w:unhideWhenUsed/>
    <w:rsid w:val="004E1C6A"/>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4A1251"/>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1"/>
    <w:uiPriority w:val="99"/>
    <w:locked/>
    <w:rsid w:val="004A1251"/>
    <w:rPr>
      <w:rFonts w:eastAsia="Times New Roman" w:cs="Times New Roman"/>
      <w:sz w:val="20"/>
      <w:szCs w:val="20"/>
    </w:rPr>
  </w:style>
  <w:style w:type="character" w:styleId="FootnoteReference">
    <w:name w:val="footnote reference"/>
    <w:basedOn w:val="DefaultParagraphFont"/>
    <w:uiPriority w:val="99"/>
    <w:unhideWhenUsed/>
    <w:rsid w:val="004A1251"/>
    <w:rPr>
      <w:rFonts w:cs="Times New Roman"/>
      <w:vertAlign w:val="superscript"/>
    </w:rPr>
  </w:style>
  <w:style w:type="paragraph" w:styleId="FootnoteText">
    <w:name w:val="footnote text"/>
    <w:basedOn w:val="Normal"/>
    <w:link w:val="FootnoteTextChar1"/>
    <w:uiPriority w:val="99"/>
    <w:semiHidden/>
    <w:unhideWhenUsed/>
    <w:rsid w:val="004A125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A1251"/>
    <w:rPr>
      <w:sz w:val="20"/>
      <w:szCs w:val="20"/>
    </w:rPr>
  </w:style>
  <w:style w:type="paragraph" w:styleId="ListParagraph">
    <w:name w:val="List Paragraph"/>
    <w:basedOn w:val="Normal"/>
    <w:uiPriority w:val="34"/>
    <w:qFormat/>
    <w:rsid w:val="00CF2CA9"/>
    <w:pPr>
      <w:ind w:left="720"/>
      <w:contextualSpacing/>
    </w:pPr>
  </w:style>
  <w:style w:type="paragraph" w:styleId="Header">
    <w:name w:val="header"/>
    <w:basedOn w:val="Normal"/>
    <w:link w:val="HeaderChar"/>
    <w:uiPriority w:val="99"/>
    <w:unhideWhenUsed/>
    <w:rsid w:val="008B3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1BB"/>
  </w:style>
  <w:style w:type="paragraph" w:styleId="Footer">
    <w:name w:val="footer"/>
    <w:basedOn w:val="Normal"/>
    <w:link w:val="FooterChar"/>
    <w:uiPriority w:val="99"/>
    <w:unhideWhenUsed/>
    <w:rsid w:val="008B31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1BB"/>
  </w:style>
  <w:style w:type="paragraph" w:customStyle="1" w:styleId="Default">
    <w:name w:val="Default"/>
    <w:rsid w:val="005256FF"/>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uiPriority w:val="99"/>
    <w:semiHidden/>
    <w:unhideWhenUsed/>
    <w:rsid w:val="009C41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1EC"/>
    <w:rPr>
      <w:sz w:val="20"/>
      <w:szCs w:val="20"/>
    </w:rPr>
  </w:style>
  <w:style w:type="character" w:styleId="EndnoteReference">
    <w:name w:val="endnote reference"/>
    <w:basedOn w:val="DefaultParagraphFont"/>
    <w:uiPriority w:val="99"/>
    <w:semiHidden/>
    <w:unhideWhenUsed/>
    <w:rsid w:val="009C41EC"/>
    <w:rPr>
      <w:vertAlign w:val="superscript"/>
    </w:rPr>
  </w:style>
  <w:style w:type="character" w:styleId="CommentReference">
    <w:name w:val="annotation reference"/>
    <w:basedOn w:val="DefaultParagraphFont"/>
    <w:uiPriority w:val="99"/>
    <w:semiHidden/>
    <w:unhideWhenUsed/>
    <w:rsid w:val="00C157B4"/>
    <w:rPr>
      <w:sz w:val="16"/>
      <w:szCs w:val="16"/>
    </w:rPr>
  </w:style>
  <w:style w:type="paragraph" w:styleId="CommentText">
    <w:name w:val="annotation text"/>
    <w:basedOn w:val="Normal"/>
    <w:link w:val="CommentTextChar"/>
    <w:uiPriority w:val="99"/>
    <w:unhideWhenUsed/>
    <w:rsid w:val="00C157B4"/>
    <w:pPr>
      <w:spacing w:line="240" w:lineRule="auto"/>
    </w:pPr>
    <w:rPr>
      <w:sz w:val="20"/>
      <w:szCs w:val="20"/>
    </w:rPr>
  </w:style>
  <w:style w:type="character" w:customStyle="1" w:styleId="CommentTextChar">
    <w:name w:val="Comment Text Char"/>
    <w:basedOn w:val="DefaultParagraphFont"/>
    <w:link w:val="CommentText"/>
    <w:uiPriority w:val="99"/>
    <w:rsid w:val="00C157B4"/>
    <w:rPr>
      <w:sz w:val="20"/>
      <w:szCs w:val="20"/>
    </w:rPr>
  </w:style>
  <w:style w:type="paragraph" w:styleId="CommentSubject">
    <w:name w:val="annotation subject"/>
    <w:basedOn w:val="CommentText"/>
    <w:next w:val="CommentText"/>
    <w:link w:val="CommentSubjectChar"/>
    <w:uiPriority w:val="99"/>
    <w:semiHidden/>
    <w:unhideWhenUsed/>
    <w:rsid w:val="00C157B4"/>
    <w:rPr>
      <w:b/>
      <w:bCs/>
    </w:rPr>
  </w:style>
  <w:style w:type="character" w:customStyle="1" w:styleId="CommentSubjectChar">
    <w:name w:val="Comment Subject Char"/>
    <w:basedOn w:val="CommentTextChar"/>
    <w:link w:val="CommentSubject"/>
    <w:uiPriority w:val="99"/>
    <w:semiHidden/>
    <w:rsid w:val="00C157B4"/>
    <w:rPr>
      <w:b/>
      <w:bCs/>
      <w:sz w:val="20"/>
      <w:szCs w:val="20"/>
    </w:rPr>
  </w:style>
  <w:style w:type="paragraph" w:styleId="BalloonText">
    <w:name w:val="Balloon Text"/>
    <w:basedOn w:val="Normal"/>
    <w:link w:val="BalloonTextChar"/>
    <w:uiPriority w:val="99"/>
    <w:semiHidden/>
    <w:unhideWhenUsed/>
    <w:rsid w:val="00C1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B4"/>
    <w:rPr>
      <w:rFonts w:ascii="Tahoma" w:hAnsi="Tahoma" w:cs="Tahoma"/>
      <w:sz w:val="16"/>
      <w:szCs w:val="16"/>
    </w:rPr>
  </w:style>
  <w:style w:type="paragraph" w:styleId="ListBullet">
    <w:name w:val="List Bullet"/>
    <w:basedOn w:val="Normal"/>
    <w:uiPriority w:val="99"/>
    <w:unhideWhenUsed/>
    <w:rsid w:val="004E1C6A"/>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2437</ap:Words>
  <ap:Characters>13407</ap:Characters>
  <ap:DocSecurity>0</ap:DocSecurity>
  <ap:Lines>111</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2015-09-01T12:48:00.0000000Z</lastPrinted>
  <dcterms:created xsi:type="dcterms:W3CDTF">2016-02-05T07:29:00.0000000Z</dcterms:created>
  <dcterms:modified xsi:type="dcterms:W3CDTF">2016-02-05T07:29:00.0000000Z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