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87" w:rsidP="00AF2B87" w:rsidRDefault="00AF2B87" w14:paraId="2F3D5A9B" w14:textId="77777777">
      <w:pPr>
        <w:rPr>
          <w:rFonts w:eastAsia="Malgun Gothic"/>
          <w:b/>
          <w:lang w:val="nl-NL" w:eastAsia="ko-KR"/>
        </w:rPr>
      </w:pPr>
      <w:bookmarkStart w:name="_GoBack" w:id="0"/>
      <w:bookmarkEnd w:id="0"/>
      <w:r w:rsidRPr="009C1EB1">
        <w:rPr>
          <w:b/>
          <w:lang w:val="nl-NL"/>
        </w:rPr>
        <w:t xml:space="preserve">GEANNOTEERDE AGENDA </w:t>
      </w:r>
      <w:r>
        <w:rPr>
          <w:b/>
          <w:lang w:val="nl-NL"/>
        </w:rPr>
        <w:t xml:space="preserve">INFORMELE </w:t>
      </w:r>
      <w:r w:rsidRPr="009C1EB1">
        <w:rPr>
          <w:b/>
          <w:lang w:val="nl-NL"/>
        </w:rPr>
        <w:t xml:space="preserve">RAAD BUITENLANDSE ZAKEN </w:t>
      </w:r>
      <w:r>
        <w:rPr>
          <w:b/>
          <w:lang w:val="nl-NL"/>
        </w:rPr>
        <w:t xml:space="preserve">(“GYMNICH”) </w:t>
      </w:r>
      <w:r w:rsidRPr="009C1EB1">
        <w:rPr>
          <w:b/>
          <w:lang w:val="nl-NL"/>
        </w:rPr>
        <w:t xml:space="preserve">VAN </w:t>
      </w:r>
      <w:r>
        <w:rPr>
          <w:b/>
          <w:lang w:val="nl-NL"/>
        </w:rPr>
        <w:t xml:space="preserve">5-6 </w:t>
      </w:r>
      <w:proofErr w:type="gramStart"/>
      <w:r>
        <w:rPr>
          <w:b/>
          <w:lang w:val="nl-NL"/>
        </w:rPr>
        <w:t>FEBRUARI</w:t>
      </w:r>
      <w:proofErr w:type="gramEnd"/>
      <w:r>
        <w:rPr>
          <w:b/>
          <w:lang w:val="nl-NL"/>
        </w:rPr>
        <w:t xml:space="preserve"> 2016</w:t>
      </w:r>
    </w:p>
    <w:p w:rsidRPr="00BC7785" w:rsidR="00AF2B87" w:rsidP="00AF2B87" w:rsidRDefault="00AF2B87" w14:paraId="5FC9A76D" w14:textId="77777777">
      <w:pPr>
        <w:spacing w:after="0"/>
        <w:rPr>
          <w:rFonts w:ascii="Times New Roman" w:hAnsi="Times New Roman" w:cs="Times New Roman"/>
          <w:b/>
          <w:sz w:val="24"/>
          <w:szCs w:val="24"/>
          <w:lang w:eastAsia="ja-JP"/>
        </w:rPr>
      </w:pPr>
      <w:r w:rsidRPr="00BC7785">
        <w:rPr>
          <w:b/>
        </w:rPr>
        <w:t>EU Global Strategy on Foreign and Security Policy</w:t>
      </w:r>
      <w:r w:rsidRPr="00BC7785">
        <w:rPr>
          <w:rFonts w:hint="eastAsia" w:eastAsia="Malgun Gothic"/>
          <w:b/>
          <w:lang w:eastAsia="ko-KR"/>
        </w:rPr>
        <w:tab/>
      </w:r>
      <w:r w:rsidRPr="00BC7785">
        <w:rPr>
          <w:rFonts w:hint="eastAsia" w:eastAsia="Malgun Gothic"/>
          <w:b/>
          <w:lang w:eastAsia="ko-KR"/>
        </w:rPr>
        <w:tab/>
      </w:r>
      <w:r w:rsidRPr="00BC7785">
        <w:rPr>
          <w:rFonts w:hint="eastAsia" w:eastAsia="Malgun Gothic"/>
          <w:b/>
          <w:lang w:eastAsia="ko-KR"/>
        </w:rPr>
        <w:tab/>
      </w:r>
    </w:p>
    <w:p w:rsidR="00AF2B87" w:rsidP="00AF2B87" w:rsidRDefault="00AF2B87" w14:paraId="5628E680" w14:textId="77777777">
      <w:pPr>
        <w:spacing w:after="0"/>
        <w:rPr>
          <w:lang w:val="nl-NL"/>
        </w:rPr>
      </w:pPr>
      <w:r>
        <w:rPr>
          <w:i/>
          <w:lang w:val="nl-NL"/>
        </w:rPr>
        <w:t>Proces</w:t>
      </w:r>
    </w:p>
    <w:p w:rsidR="00AF2B87" w:rsidP="00AF2B87" w:rsidRDefault="00AF2B87" w14:paraId="7A1F9789" w14:textId="18A0282B">
      <w:pPr>
        <w:spacing w:after="0"/>
        <w:rPr>
          <w:lang w:val="nl-NL"/>
        </w:rPr>
      </w:pPr>
      <w:r w:rsidRPr="003E2C79">
        <w:rPr>
          <w:lang w:val="nl-NL"/>
        </w:rPr>
        <w:t>Tijdens een gezamenlijke lunch</w:t>
      </w:r>
      <w:r>
        <w:rPr>
          <w:lang w:val="nl-NL"/>
        </w:rPr>
        <w:t xml:space="preserve">, die de afsluiting van </w:t>
      </w:r>
      <w:r w:rsidRPr="003E2C79">
        <w:rPr>
          <w:lang w:val="nl-NL"/>
        </w:rPr>
        <w:t>de informele</w:t>
      </w:r>
      <w:r>
        <w:rPr>
          <w:lang w:val="nl-NL"/>
        </w:rPr>
        <w:t xml:space="preserve"> bijeenkomst van Ministers van Defensie vormt en de start is van de informele bijeenkomst van de Ministers van Buitenlandse Zaken (“Gymnich”), </w:t>
      </w:r>
      <w:r w:rsidRPr="003E2C79">
        <w:rPr>
          <w:lang w:val="nl-NL"/>
        </w:rPr>
        <w:t xml:space="preserve">zullen </w:t>
      </w:r>
      <w:r>
        <w:rPr>
          <w:lang w:val="nl-NL"/>
        </w:rPr>
        <w:t xml:space="preserve">de </w:t>
      </w:r>
      <w:r w:rsidRPr="003E2C79">
        <w:rPr>
          <w:lang w:val="nl-NL"/>
        </w:rPr>
        <w:t>ministers stilstaan bij de herziening van het EU buitenland- en veiligheidsbeleid (</w:t>
      </w:r>
      <w:r w:rsidRPr="0041299A">
        <w:rPr>
          <w:i/>
          <w:lang w:val="nl-NL"/>
        </w:rPr>
        <w:t>strategic review</w:t>
      </w:r>
      <w:r w:rsidRPr="003E2C79">
        <w:rPr>
          <w:lang w:val="nl-NL"/>
        </w:rPr>
        <w:t xml:space="preserve">) die moet leiden tot een nieuwe </w:t>
      </w:r>
      <w:r w:rsidRPr="00AD7248">
        <w:rPr>
          <w:i/>
          <w:lang w:val="nl-NL"/>
        </w:rPr>
        <w:t>EU Global Strategy on Foreign and Security Policy</w:t>
      </w:r>
      <w:r w:rsidRPr="003E2C79">
        <w:rPr>
          <w:lang w:val="nl-NL"/>
        </w:rPr>
        <w:t>.</w:t>
      </w:r>
      <w:r>
        <w:rPr>
          <w:lang w:val="nl-NL"/>
        </w:rPr>
        <w:t xml:space="preserve"> De gezamenlijke lunch, die op Nederlands initiatief tot stand is gekomen, heeft als doel vroegtijdig in het proces en op een geïntegreerde wijze richting te geven aan de nieuwe EU buitenland- en veiligheidsstrategie. </w:t>
      </w:r>
    </w:p>
    <w:p w:rsidR="00AF2B87" w:rsidP="00AF2B87" w:rsidRDefault="00AF2B87" w14:paraId="29055736" w14:textId="77777777">
      <w:pPr>
        <w:spacing w:after="0"/>
        <w:rPr>
          <w:lang w:val="nl-NL"/>
        </w:rPr>
      </w:pPr>
    </w:p>
    <w:p w:rsidR="00AF2B87" w:rsidP="00AF2B87" w:rsidRDefault="00AF2B87" w14:paraId="4CEF706F" w14:textId="77777777">
      <w:pPr>
        <w:spacing w:after="0"/>
        <w:rPr>
          <w:lang w:val="nl-NL"/>
        </w:rPr>
      </w:pPr>
      <w:r>
        <w:rPr>
          <w:lang w:val="nl-NL"/>
        </w:rPr>
        <w:t>De Europese Raad van juni 2015 heeft Hoge Vertegenwoordiger (HV) Mogherini de opdracht gegeven om in samenwerking met de EU-lidstaten een nieuwe strategie aan de Europese Raad van juni 2016 te presenteren. Om ideeën te vergaren voor de nieuwe strategie en om draagvlak te creëren is de HV het afgelopen najaar gestart met een consultatieperiode met onder meer denktanks, academici, het maatschappelijk middenveld en het bedrijfsleven. Ook het Europees Parlement en nationale parlementen worden betrokken. Parallel daaraan vergaart de HV de inbreng van de lidstaten. In dit kader zal deze strategie tijdens het Nederlandse EU-voorzitterschap in meerdere informele bijeenkomsten aan de orde komen.</w:t>
      </w:r>
    </w:p>
    <w:p w:rsidR="00AF2B87" w:rsidP="00AF2B87" w:rsidRDefault="00AF2B87" w14:paraId="18B9268C" w14:textId="77777777">
      <w:pPr>
        <w:spacing w:after="0"/>
        <w:rPr>
          <w:lang w:val="nl-NL"/>
        </w:rPr>
      </w:pPr>
    </w:p>
    <w:p w:rsidRPr="002A1142" w:rsidR="00AF2B87" w:rsidP="00AF2B87" w:rsidRDefault="00AF2B87" w14:paraId="120882A2" w14:textId="77777777">
      <w:pPr>
        <w:spacing w:after="0"/>
        <w:rPr>
          <w:lang w:val="nl-NL"/>
        </w:rPr>
      </w:pPr>
      <w:r w:rsidRPr="002A1142">
        <w:rPr>
          <w:i/>
          <w:lang w:val="nl-NL"/>
        </w:rPr>
        <w:t>Structuur / opzet strategie</w:t>
      </w:r>
    </w:p>
    <w:p w:rsidRPr="002A1142" w:rsidR="00AF2B87" w:rsidP="00AF2B87" w:rsidRDefault="00AF2B87" w14:paraId="6B88360C" w14:textId="77777777">
      <w:pPr>
        <w:spacing w:after="0"/>
        <w:rPr>
          <w:lang w:val="nl-NL"/>
        </w:rPr>
      </w:pPr>
      <w:r w:rsidRPr="002A1142">
        <w:rPr>
          <w:lang w:val="nl-NL"/>
        </w:rPr>
        <w:t xml:space="preserve">HV Mogherini zal </w:t>
      </w:r>
      <w:r>
        <w:rPr>
          <w:lang w:val="nl-NL"/>
        </w:rPr>
        <w:t>tijdens de informele RBZ</w:t>
      </w:r>
      <w:r w:rsidRPr="002A1142">
        <w:rPr>
          <w:lang w:val="nl-NL"/>
        </w:rPr>
        <w:t xml:space="preserve"> naar verwachting de structuur en opzet van de strategie uiteenzetten. Het vertrekpunt van de strategie zijn de belangen van de EU. Deze zijn als volgt geformuleerd: het waarborgen van de veiligheid van de burgers en het grondgebied, het bevorderen van de welvaart en het versterken van de weerbaarheid van onze democratieën. Om deze belangen te behartigen heeft de EU een </w:t>
      </w:r>
      <w:r w:rsidRPr="002A1142">
        <w:rPr>
          <w:i/>
          <w:lang w:val="nl-NL"/>
        </w:rPr>
        <w:t>rules-based</w:t>
      </w:r>
      <w:r w:rsidRPr="002A1142">
        <w:rPr>
          <w:lang w:val="nl-NL"/>
        </w:rPr>
        <w:t xml:space="preserve"> wereldorde nodig. De waarden van de EU, die de basis vormen van de invulling van de belangen, krijgen ook een plaats in de strategie. Vervolgens worden de leidende beginselen voor het externe optreden van de EU geformuleerd. Daarbij staan actief engageren, het nemen van verantwoordelijkheid en het samenwerken met partners centraal. </w:t>
      </w:r>
    </w:p>
    <w:p w:rsidRPr="002A1142" w:rsidR="00AF2B87" w:rsidP="00AF2B87" w:rsidRDefault="00AF2B87" w14:paraId="638E6936" w14:textId="77777777">
      <w:pPr>
        <w:spacing w:after="0"/>
        <w:rPr>
          <w:lang w:val="nl-NL"/>
        </w:rPr>
      </w:pPr>
      <w:r w:rsidRPr="002A1142">
        <w:rPr>
          <w:lang w:val="nl-NL"/>
        </w:rPr>
        <w:t xml:space="preserve">Ten aanzien van de prioriteiten van de strategie zal naar verwachting als eerste worden stilgestaan bij het ondersteunen en versterken van de weerbaarheid van staten en maatschappijen. Dit geldt zowel binnen de EU als in onze bredere nabuurregio, waaronder door de inzet van de instrumenten van EU-uitbreiding. Er zal naar verwachting ook een nieuwe benadering uiteen worden gezet voor de aanpak van crises en conflicten door de EU. Deze nieuwe benadering zal </w:t>
      </w:r>
      <w:proofErr w:type="gramStart"/>
      <w:r w:rsidRPr="002A1142">
        <w:rPr>
          <w:lang w:val="nl-NL"/>
        </w:rPr>
        <w:t>met name</w:t>
      </w:r>
      <w:proofErr w:type="gramEnd"/>
      <w:r w:rsidRPr="002A1142">
        <w:rPr>
          <w:lang w:val="nl-NL"/>
        </w:rPr>
        <w:t xml:space="preserve"> gericht zijn op de ring van instabiliteit rond Europa. Ook zal in de strategie aandacht worden besteed aan de externe betrekkingen van de EU met de regio’s om ons heen en verder. Richting het ooste</w:t>
      </w:r>
      <w:r>
        <w:rPr>
          <w:lang w:val="nl-NL"/>
        </w:rPr>
        <w:t>n komt onder meer China aan bod,</w:t>
      </w:r>
      <w:r w:rsidRPr="002A1142">
        <w:rPr>
          <w:lang w:val="nl-NL"/>
        </w:rPr>
        <w:t xml:space="preserve"> richting het zuiden ook sub Sahara Afrika en in het westen onze trans-Atlantische betrekkingen. Als laatste van de prioriteiten zal de EU naar verwachting haar visie schetsen over </w:t>
      </w:r>
      <w:r w:rsidRPr="002A1142">
        <w:rPr>
          <w:i/>
          <w:lang w:val="nl-NL"/>
        </w:rPr>
        <w:t>global governance</w:t>
      </w:r>
      <w:r w:rsidRPr="002A1142">
        <w:rPr>
          <w:lang w:val="nl-NL"/>
        </w:rPr>
        <w:t xml:space="preserve"> in de 21</w:t>
      </w:r>
      <w:r w:rsidRPr="002A1142">
        <w:rPr>
          <w:vertAlign w:val="superscript"/>
          <w:lang w:val="nl-NL"/>
        </w:rPr>
        <w:t>e</w:t>
      </w:r>
      <w:r w:rsidRPr="002A1142">
        <w:rPr>
          <w:lang w:val="nl-NL"/>
        </w:rPr>
        <w:t xml:space="preserve"> eeuw. Tot slot zal de strategie ingaan op de implicaties van de gestelde prioriteiten op de middelen (zowel personeel als financieel), de capaciteiten (</w:t>
      </w:r>
      <w:proofErr w:type="gramStart"/>
      <w:r w:rsidRPr="002A1142">
        <w:rPr>
          <w:lang w:val="nl-NL"/>
        </w:rPr>
        <w:t>met name</w:t>
      </w:r>
      <w:proofErr w:type="gramEnd"/>
      <w:r w:rsidRPr="002A1142">
        <w:rPr>
          <w:lang w:val="nl-NL"/>
        </w:rPr>
        <w:t xml:space="preserve"> op het gebied van het Gemeenschappelijk Veiligheid en Defensiebeleid) en de samenwerking binnen de EU-instellingen en met de lidstaten. De strategie zal in de komende maanden in detail worden uitgewerkt, mede op basis van de inbreng van de lidstaten.</w:t>
      </w:r>
    </w:p>
    <w:p w:rsidRPr="002A1142" w:rsidR="00AF2B87" w:rsidP="00AF2B87" w:rsidRDefault="00AF2B87" w14:paraId="69672A63" w14:textId="77777777">
      <w:pPr>
        <w:spacing w:after="0"/>
        <w:rPr>
          <w:lang w:val="nl-NL"/>
        </w:rPr>
      </w:pPr>
    </w:p>
    <w:p w:rsidRPr="002A1142" w:rsidR="00AF2B87" w:rsidP="00AF2B87" w:rsidRDefault="00AF2B87" w14:paraId="35D1F5C7" w14:textId="77777777">
      <w:pPr>
        <w:spacing w:after="0"/>
        <w:rPr>
          <w:i/>
          <w:lang w:val="nl-NL"/>
        </w:rPr>
      </w:pPr>
      <w:r w:rsidRPr="002A1142">
        <w:rPr>
          <w:i/>
          <w:lang w:val="nl-NL"/>
        </w:rPr>
        <w:t>Nederlandse inzet</w:t>
      </w:r>
    </w:p>
    <w:p w:rsidR="00AF2B87" w:rsidP="00AF2B87" w:rsidRDefault="00AF2B87" w14:paraId="52CE96A7" w14:textId="77777777">
      <w:pPr>
        <w:spacing w:after="0"/>
        <w:rPr>
          <w:lang w:val="nl-NL"/>
        </w:rPr>
      </w:pPr>
      <w:r w:rsidRPr="002A1142">
        <w:rPr>
          <w:lang w:val="nl-NL"/>
        </w:rPr>
        <w:t>Het kabinet steunt de hierboven geschetste benadering voor een brede, geïntegreerde strategie, zoals ook verwoord in de Staat van de Unie, en zal de HV ondersteunen om tot een solide resultaat te komen in juni a.s. De internationale ontwikkelingen en uitdagingen waar we voor gesteld staan</w:t>
      </w:r>
      <w:r>
        <w:rPr>
          <w:lang w:val="nl-NL"/>
        </w:rPr>
        <w:t>,</w:t>
      </w:r>
      <w:r w:rsidRPr="002A1142">
        <w:rPr>
          <w:lang w:val="nl-NL"/>
        </w:rPr>
        <w:t xml:space="preserve"> </w:t>
      </w:r>
      <w:r>
        <w:rPr>
          <w:lang w:val="nl-NL"/>
        </w:rPr>
        <w:t>ver</w:t>
      </w:r>
      <w:r w:rsidRPr="002A1142">
        <w:rPr>
          <w:lang w:val="nl-NL"/>
        </w:rPr>
        <w:t xml:space="preserve">eisen dat de EU met een ambitieuze, maar ook realistische strategie komt op het brede terrein van het externe optreden van de Unie. Daarbij is het van belang dat de Unie haar brede instrumentarium inzet op basis van geïntegreerd beleid. Het nemen van onze belangen als vertrekpunt is logisch, </w:t>
      </w:r>
      <w:proofErr w:type="gramStart"/>
      <w:r w:rsidRPr="002A1142">
        <w:rPr>
          <w:lang w:val="nl-NL"/>
        </w:rPr>
        <w:t>met name</w:t>
      </w:r>
      <w:proofErr w:type="gramEnd"/>
      <w:r w:rsidRPr="002A1142">
        <w:rPr>
          <w:lang w:val="nl-NL"/>
        </w:rPr>
        <w:t xml:space="preserve"> vanwege de sterke verwevenheid van de interne en externe kant van</w:t>
      </w:r>
      <w:r>
        <w:rPr>
          <w:lang w:val="nl-NL"/>
        </w:rPr>
        <w:t xml:space="preserve"> uitdagingen, zoals de migratiecrisis en terroristische dreigingen. Het is daarbij wel van belang dat de waarden waarop de Unie is gestoeld een duidelijke plaats krijgen, gezien het belang dat het kabinet hecht aan mensenrechten en een </w:t>
      </w:r>
      <w:r>
        <w:rPr>
          <w:i/>
          <w:lang w:val="nl-NL"/>
        </w:rPr>
        <w:t>rules-based</w:t>
      </w:r>
      <w:r>
        <w:rPr>
          <w:lang w:val="nl-NL"/>
        </w:rPr>
        <w:t xml:space="preserve"> wereldorde. Daarnaast onderstreept het kabinet het belang van het waarborgen van de veiligheid van de burgers en het grondgebied. Om dit belang te behartigen door het nemen van meer verantwoordelijkheid op dit gebied, dient het Gemeenschappelijk Veiligheid- </w:t>
      </w:r>
      <w:r>
        <w:rPr>
          <w:lang w:val="nl-NL"/>
        </w:rPr>
        <w:lastRenderedPageBreak/>
        <w:t xml:space="preserve">en Defensiebeleid verder ontwikkeld te worden. Om de uiteindelijke uitvoering van de strategie te waarborgen, dient de strategie aanknopingspunten te bevatten voor sub-strategieën en/of actieplannen op bepaalde terreinen. Deze zouden na de totstandkoming van de strategie uitgewerkt moeten worden. De EU </w:t>
      </w:r>
      <w:r w:rsidRPr="007C5EFE">
        <w:rPr>
          <w:i/>
          <w:lang w:val="nl-NL"/>
        </w:rPr>
        <w:t>Global Strategy</w:t>
      </w:r>
      <w:r>
        <w:rPr>
          <w:lang w:val="nl-NL"/>
        </w:rPr>
        <w:t xml:space="preserve"> zelf functioneert dan als een overkoepelend kader. Ook is politiek </w:t>
      </w:r>
      <w:proofErr w:type="gramStart"/>
      <w:r>
        <w:rPr>
          <w:lang w:val="nl-NL"/>
        </w:rPr>
        <w:t>commitment</w:t>
      </w:r>
      <w:proofErr w:type="gramEnd"/>
      <w:r>
        <w:rPr>
          <w:lang w:val="nl-NL"/>
        </w:rPr>
        <w:t xml:space="preserve"> op het hoogste niveau van belang voor gedegen uitvoering. Het kabinet zal daarom aanname van de strategie door de Europese Raad in juni a.s. nastreven. </w:t>
      </w:r>
    </w:p>
    <w:p w:rsidR="00AF2B87" w:rsidP="00AF2B87" w:rsidRDefault="00AF2B87" w14:paraId="5A7669D2" w14:textId="77777777">
      <w:pPr>
        <w:spacing w:after="0"/>
        <w:rPr>
          <w:lang w:val="nl-NL"/>
        </w:rPr>
      </w:pPr>
    </w:p>
    <w:p w:rsidR="00AF2B87" w:rsidP="00AF2B87" w:rsidRDefault="00AF2B87" w14:paraId="0BC67F60" w14:textId="77777777">
      <w:pPr>
        <w:spacing w:after="0"/>
        <w:rPr>
          <w:lang w:val="nl-NL"/>
        </w:rPr>
      </w:pPr>
      <w:r>
        <w:rPr>
          <w:lang w:val="nl-NL"/>
        </w:rPr>
        <w:t>In de g</w:t>
      </w:r>
      <w:r w:rsidRPr="002A1142">
        <w:rPr>
          <w:lang w:val="nl-NL"/>
        </w:rPr>
        <w:t xml:space="preserve">eannoteerde </w:t>
      </w:r>
      <w:r>
        <w:rPr>
          <w:lang w:val="nl-NL"/>
        </w:rPr>
        <w:t>a</w:t>
      </w:r>
      <w:r w:rsidRPr="002A1142">
        <w:rPr>
          <w:lang w:val="nl-NL"/>
        </w:rPr>
        <w:t>genda’s voor de informele RBZ OS</w:t>
      </w:r>
      <w:r>
        <w:rPr>
          <w:lang w:val="nl-NL"/>
        </w:rPr>
        <w:t xml:space="preserve"> (op 1 februari a.s.)</w:t>
      </w:r>
      <w:r w:rsidRPr="002A1142">
        <w:rPr>
          <w:lang w:val="nl-NL"/>
        </w:rPr>
        <w:t xml:space="preserve"> en Defensie</w:t>
      </w:r>
      <w:r>
        <w:rPr>
          <w:lang w:val="nl-NL"/>
        </w:rPr>
        <w:t xml:space="preserve"> (op 4 en 5 februari a.s.), die uw Kamer separaat toegaan,</w:t>
      </w:r>
      <w:r w:rsidRPr="002A1142">
        <w:rPr>
          <w:lang w:val="nl-NL"/>
        </w:rPr>
        <w:t xml:space="preserve"> wordt specifiek ingegaan op de Nederlandse inzet ten aanzien van de koppeling met de </w:t>
      </w:r>
      <w:r w:rsidRPr="007C5EFE">
        <w:rPr>
          <w:i/>
          <w:lang w:val="nl-NL"/>
        </w:rPr>
        <w:t>Global Goals</w:t>
      </w:r>
      <w:r w:rsidRPr="002A1142">
        <w:rPr>
          <w:lang w:val="nl-NL"/>
        </w:rPr>
        <w:t xml:space="preserve"> agenda respectievelijk het beleid op veiligheid en defensie.</w:t>
      </w:r>
    </w:p>
    <w:p w:rsidR="00AF2B87" w:rsidP="00AF2B87" w:rsidRDefault="00AF2B87" w14:paraId="5911306F" w14:textId="77777777">
      <w:pPr>
        <w:spacing w:after="0"/>
        <w:rPr>
          <w:b/>
          <w:lang w:val="nl-NL" w:eastAsia="ja-JP"/>
        </w:rPr>
      </w:pPr>
    </w:p>
    <w:p w:rsidR="00AF2B87" w:rsidP="00AF2B87" w:rsidRDefault="00AF2B87" w14:paraId="037BF2C3" w14:textId="77777777">
      <w:pPr>
        <w:spacing w:after="0"/>
        <w:rPr>
          <w:rFonts w:ascii="Times New Roman" w:hAnsi="Times New Roman" w:cs="Times New Roman"/>
          <w:b/>
          <w:sz w:val="24"/>
          <w:szCs w:val="24"/>
          <w:lang w:val="nl-NL" w:eastAsia="ja-JP"/>
        </w:rPr>
      </w:pPr>
      <w:r w:rsidRPr="00E95757">
        <w:rPr>
          <w:b/>
          <w:lang w:val="nl-NL"/>
        </w:rPr>
        <w:t>Iran</w:t>
      </w:r>
      <w:r>
        <w:rPr>
          <w:b/>
          <w:lang w:val="nl-NL"/>
        </w:rPr>
        <w:tab/>
      </w:r>
      <w:r>
        <w:rPr>
          <w:b/>
          <w:lang w:val="nl-NL"/>
        </w:rPr>
        <w:tab/>
      </w:r>
      <w:r>
        <w:rPr>
          <w:b/>
          <w:lang w:val="nl-NL"/>
        </w:rPr>
        <w:tab/>
      </w:r>
      <w:r>
        <w:rPr>
          <w:b/>
          <w:lang w:val="nl-NL"/>
        </w:rPr>
        <w:tab/>
      </w:r>
      <w:r>
        <w:rPr>
          <w:b/>
          <w:lang w:val="nl-NL"/>
        </w:rPr>
        <w:tab/>
      </w:r>
      <w:r>
        <w:rPr>
          <w:b/>
          <w:lang w:val="nl-NL"/>
        </w:rPr>
        <w:tab/>
      </w:r>
      <w:r>
        <w:rPr>
          <w:b/>
          <w:lang w:val="nl-NL"/>
        </w:rPr>
        <w:tab/>
      </w:r>
      <w:r>
        <w:rPr>
          <w:b/>
          <w:lang w:val="nl-NL"/>
        </w:rPr>
        <w:tab/>
      </w:r>
      <w:r>
        <w:rPr>
          <w:b/>
          <w:lang w:val="nl-NL"/>
        </w:rPr>
        <w:tab/>
      </w:r>
      <w:r>
        <w:rPr>
          <w:b/>
          <w:lang w:val="nl-NL"/>
        </w:rPr>
        <w:tab/>
      </w:r>
    </w:p>
    <w:p w:rsidRPr="00305BEE" w:rsidR="00AF2B87" w:rsidP="00AF2B87" w:rsidRDefault="00AF2B87" w14:paraId="451CCD8D" w14:textId="77777777">
      <w:pPr>
        <w:rPr>
          <w:szCs w:val="18"/>
          <w:lang w:val="nl-NL"/>
        </w:rPr>
      </w:pPr>
      <w:r w:rsidRPr="004E62C6">
        <w:rPr>
          <w:szCs w:val="18"/>
          <w:lang w:val="nl-NL" w:eastAsia="ja-JP"/>
        </w:rPr>
        <w:t xml:space="preserve">Het Internationaal Atoomenergieagentschap (IAEA) heeft op 16 januari jl. – </w:t>
      </w:r>
      <w:r w:rsidRPr="00C60923">
        <w:rPr>
          <w:i/>
          <w:lang w:val="nl-NL" w:eastAsia="ja-JP"/>
        </w:rPr>
        <w:t>‘Implementation Day’</w:t>
      </w:r>
      <w:r w:rsidRPr="004E62C6">
        <w:rPr>
          <w:szCs w:val="18"/>
          <w:lang w:val="nl-NL" w:eastAsia="ja-JP"/>
        </w:rPr>
        <w:t xml:space="preserve">– vastgesteld dat Iran zijn verplichtingen uit het nucleaire akkoord is nagekomen. </w:t>
      </w:r>
      <w:r w:rsidRPr="0082467C">
        <w:rPr>
          <w:szCs w:val="18"/>
          <w:lang w:val="nl-NL" w:eastAsia="ja-JP"/>
        </w:rPr>
        <w:t xml:space="preserve">De internationale gemeenschap is er nu van verzekerd dat Iran niet in het geheim aan een kernwapen werkt en dat het land geen grote voorraden verrijkt uranium meer heeft. Dit is een bekroning </w:t>
      </w:r>
      <w:r>
        <w:rPr>
          <w:szCs w:val="18"/>
          <w:lang w:val="nl-NL" w:eastAsia="ja-JP"/>
        </w:rPr>
        <w:t>van</w:t>
      </w:r>
      <w:r w:rsidRPr="0082467C">
        <w:rPr>
          <w:szCs w:val="18"/>
          <w:lang w:val="nl-NL" w:eastAsia="ja-JP"/>
        </w:rPr>
        <w:t xml:space="preserve"> het nucleaire akkoord dat de E3+3, de Hoge Vertegenwoordiger van de EU en Iran deze zomer </w:t>
      </w:r>
      <w:r>
        <w:rPr>
          <w:szCs w:val="18"/>
          <w:lang w:val="nl-NL" w:eastAsia="ja-JP"/>
        </w:rPr>
        <w:t>bereikten</w:t>
      </w:r>
      <w:r w:rsidRPr="0082467C">
        <w:rPr>
          <w:szCs w:val="18"/>
          <w:lang w:val="nl-NL" w:eastAsia="ja-JP"/>
        </w:rPr>
        <w:t xml:space="preserve"> en toont de kracht van de multilaterale diplomatie aan. In het licht van deze nieuwe mijlpaal zullen de ministers </w:t>
      </w:r>
      <w:r>
        <w:rPr>
          <w:szCs w:val="18"/>
          <w:lang w:val="nl-NL" w:eastAsia="ja-JP"/>
        </w:rPr>
        <w:t xml:space="preserve">in een informele setting </w:t>
      </w:r>
      <w:r w:rsidRPr="0082467C">
        <w:rPr>
          <w:szCs w:val="18"/>
          <w:lang w:val="nl-NL" w:eastAsia="ja-JP"/>
        </w:rPr>
        <w:t>spreken over de relatie met Iran</w:t>
      </w:r>
      <w:r w:rsidRPr="004C3318">
        <w:rPr>
          <w:szCs w:val="18"/>
          <w:lang w:val="nl-NL" w:eastAsia="ja-JP"/>
        </w:rPr>
        <w:t xml:space="preserve"> </w:t>
      </w:r>
      <w:r>
        <w:rPr>
          <w:szCs w:val="18"/>
          <w:lang w:val="nl-NL" w:eastAsia="ja-JP"/>
        </w:rPr>
        <w:t>en de rol van Iran in de regio</w:t>
      </w:r>
      <w:r w:rsidRPr="0082467C">
        <w:rPr>
          <w:szCs w:val="18"/>
          <w:lang w:val="nl-NL" w:eastAsia="ja-JP"/>
        </w:rPr>
        <w:t xml:space="preserve">. </w:t>
      </w:r>
      <w:r>
        <w:rPr>
          <w:szCs w:val="18"/>
          <w:lang w:val="nl-NL" w:eastAsia="ja-JP"/>
        </w:rPr>
        <w:t>De</w:t>
      </w:r>
      <w:r w:rsidRPr="00E62D1F">
        <w:rPr>
          <w:szCs w:val="18"/>
          <w:lang w:val="nl-NL" w:eastAsia="ja-JP"/>
        </w:rPr>
        <w:t xml:space="preserve"> lidstaten hebben het bereiken van </w:t>
      </w:r>
      <w:r w:rsidRPr="00C60923">
        <w:rPr>
          <w:i/>
          <w:lang w:val="nl-NL" w:eastAsia="ja-JP"/>
        </w:rPr>
        <w:t>Implementation Day</w:t>
      </w:r>
      <w:r w:rsidRPr="00E62D1F">
        <w:rPr>
          <w:szCs w:val="18"/>
          <w:lang w:val="nl-NL" w:eastAsia="ja-JP"/>
        </w:rPr>
        <w:t xml:space="preserve"> verwelkomd. </w:t>
      </w:r>
      <w:r w:rsidRPr="0082467C">
        <w:rPr>
          <w:szCs w:val="18"/>
          <w:lang w:val="nl-NL" w:eastAsia="ja-JP"/>
        </w:rPr>
        <w:t xml:space="preserve">Nu een groot deel van de internationale sancties tegen Iran zijn opgeschort is een stapsgewijze intensivering van de economische samenwerking met Iran mogelijk. Ook is hiermee de basis gelegd voor de </w:t>
      </w:r>
      <w:r>
        <w:rPr>
          <w:szCs w:val="18"/>
          <w:lang w:val="nl-NL" w:eastAsia="ja-JP"/>
        </w:rPr>
        <w:t>EU</w:t>
      </w:r>
      <w:r w:rsidRPr="0082467C">
        <w:rPr>
          <w:szCs w:val="18"/>
          <w:lang w:val="nl-NL" w:eastAsia="ja-JP"/>
        </w:rPr>
        <w:t xml:space="preserve"> om de relaties met Iran te verbreden. </w:t>
      </w:r>
      <w:r w:rsidRPr="00D15091">
        <w:rPr>
          <w:szCs w:val="18"/>
          <w:lang w:val="nl-NL" w:eastAsia="ja-JP"/>
        </w:rPr>
        <w:t xml:space="preserve">Hoewel met het bereiken van </w:t>
      </w:r>
      <w:r w:rsidRPr="006D143A">
        <w:rPr>
          <w:i/>
          <w:lang w:val="nl-NL" w:eastAsia="ja-JP"/>
        </w:rPr>
        <w:t>Implementation Day</w:t>
      </w:r>
      <w:r w:rsidRPr="00D15091">
        <w:rPr>
          <w:szCs w:val="18"/>
          <w:lang w:val="nl-NL" w:eastAsia="ja-JP"/>
        </w:rPr>
        <w:t xml:space="preserve"> ee</w:t>
      </w:r>
      <w:r>
        <w:rPr>
          <w:szCs w:val="18"/>
          <w:lang w:val="nl-NL" w:eastAsia="ja-JP"/>
        </w:rPr>
        <w:t>n belangrijke stap richting verbeter</w:t>
      </w:r>
      <w:r w:rsidRPr="00D15091">
        <w:rPr>
          <w:szCs w:val="18"/>
          <w:lang w:val="nl-NL" w:eastAsia="ja-JP"/>
        </w:rPr>
        <w:t xml:space="preserve">de betrekkingen </w:t>
      </w:r>
      <w:r>
        <w:rPr>
          <w:szCs w:val="18"/>
          <w:lang w:val="nl-NL" w:eastAsia="ja-JP"/>
        </w:rPr>
        <w:t xml:space="preserve">met Iran is gezet, is het cruciaal dat Iran zich goed aan de afspraken blijft houden. </w:t>
      </w:r>
      <w:r w:rsidRPr="00D15091">
        <w:rPr>
          <w:szCs w:val="18"/>
          <w:lang w:val="nl-NL"/>
        </w:rPr>
        <w:t xml:space="preserve">Het IAEA blijft een centrale rol </w:t>
      </w:r>
      <w:r>
        <w:rPr>
          <w:szCs w:val="18"/>
          <w:lang w:val="nl-NL"/>
        </w:rPr>
        <w:t>spelen</w:t>
      </w:r>
      <w:r w:rsidRPr="00D15091">
        <w:rPr>
          <w:szCs w:val="18"/>
          <w:lang w:val="nl-NL"/>
        </w:rPr>
        <w:t xml:space="preserve"> in de verificatie van de </w:t>
      </w:r>
      <w:proofErr w:type="gramStart"/>
      <w:r w:rsidRPr="00D15091">
        <w:rPr>
          <w:szCs w:val="18"/>
          <w:lang w:val="nl-NL"/>
        </w:rPr>
        <w:t>implementatie</w:t>
      </w:r>
      <w:proofErr w:type="gramEnd"/>
      <w:r w:rsidRPr="00D15091">
        <w:rPr>
          <w:szCs w:val="18"/>
          <w:lang w:val="nl-NL"/>
        </w:rPr>
        <w:t xml:space="preserve"> </w:t>
      </w:r>
      <w:r w:rsidRPr="00D15091">
        <w:rPr>
          <w:szCs w:val="18"/>
          <w:lang w:val="nl-NL" w:eastAsia="ja-JP"/>
        </w:rPr>
        <w:t xml:space="preserve">van het nucleaire akkoord. </w:t>
      </w:r>
      <w:r>
        <w:rPr>
          <w:szCs w:val="18"/>
          <w:lang w:val="nl-NL" w:eastAsia="ja-JP"/>
        </w:rPr>
        <w:t xml:space="preserve">Bij een significante niet-naleving door Iran zullen de </w:t>
      </w:r>
      <w:r w:rsidRPr="00E62D1F">
        <w:rPr>
          <w:szCs w:val="18"/>
          <w:lang w:val="nl-NL" w:eastAsia="ja-JP"/>
        </w:rPr>
        <w:t>sancties opnieuw worden ingesteld.</w:t>
      </w:r>
      <w:r w:rsidRPr="00E62D1F">
        <w:rPr>
          <w:szCs w:val="18"/>
          <w:lang w:val="nl-NL"/>
        </w:rPr>
        <w:t xml:space="preserve"> </w:t>
      </w:r>
    </w:p>
    <w:p w:rsidRPr="005961C2" w:rsidR="00AF2B87" w:rsidP="00AF2B87" w:rsidRDefault="00AF2B87" w14:paraId="7D06623A" w14:textId="77777777">
      <w:pPr>
        <w:pStyle w:val="NormalWeb"/>
        <w:spacing w:before="0" w:beforeAutospacing="0" w:after="0" w:afterAutospacing="0"/>
        <w:rPr>
          <w:rFonts w:ascii="Verdana" w:hAnsi="Verdana"/>
          <w:sz w:val="18"/>
          <w:szCs w:val="18"/>
        </w:rPr>
      </w:pPr>
      <w:r w:rsidRPr="00133666">
        <w:rPr>
          <w:rFonts w:ascii="Verdana" w:hAnsi="Verdana"/>
          <w:sz w:val="18"/>
          <w:szCs w:val="18"/>
        </w:rPr>
        <w:t xml:space="preserve">Tijdens de informele </w:t>
      </w:r>
      <w:r>
        <w:rPr>
          <w:rFonts w:ascii="Verdana" w:hAnsi="Verdana"/>
          <w:sz w:val="18"/>
          <w:szCs w:val="18"/>
        </w:rPr>
        <w:t>RBZ</w:t>
      </w:r>
      <w:r w:rsidRPr="00133666">
        <w:rPr>
          <w:rFonts w:ascii="Verdana" w:hAnsi="Verdana"/>
          <w:sz w:val="18"/>
          <w:szCs w:val="18"/>
        </w:rPr>
        <w:t xml:space="preserve"> </w:t>
      </w:r>
      <w:r w:rsidRPr="00133666">
        <w:rPr>
          <w:rFonts w:hint="eastAsia" w:ascii="Verdana" w:hAnsi="Verdana" w:eastAsia="MS Mincho"/>
          <w:sz w:val="18"/>
          <w:szCs w:val="18"/>
          <w:lang w:eastAsia="ja-JP"/>
        </w:rPr>
        <w:t>z</w:t>
      </w:r>
      <w:r>
        <w:rPr>
          <w:rFonts w:ascii="Verdana" w:hAnsi="Verdana" w:eastAsia="MS Mincho"/>
          <w:sz w:val="18"/>
          <w:szCs w:val="18"/>
          <w:lang w:eastAsia="ja-JP"/>
        </w:rPr>
        <w:t>al</w:t>
      </w:r>
      <w:r w:rsidRPr="00133666">
        <w:rPr>
          <w:rFonts w:hint="eastAsia" w:ascii="Verdana" w:hAnsi="Verdana" w:eastAsia="MS Mincho"/>
          <w:sz w:val="18"/>
          <w:szCs w:val="18"/>
          <w:lang w:eastAsia="ja-JP"/>
        </w:rPr>
        <w:t xml:space="preserve"> </w:t>
      </w:r>
      <w:r w:rsidRPr="00133666">
        <w:rPr>
          <w:rFonts w:ascii="Verdana" w:hAnsi="Verdana"/>
          <w:sz w:val="18"/>
          <w:szCs w:val="18"/>
        </w:rPr>
        <w:t xml:space="preserve">de </w:t>
      </w:r>
      <w:r>
        <w:rPr>
          <w:rFonts w:ascii="Verdana" w:hAnsi="Verdana"/>
          <w:sz w:val="18"/>
          <w:szCs w:val="18"/>
        </w:rPr>
        <w:t xml:space="preserve">invulling van de geïntensiveerde betrekkingen tussen de EU en Iran worden besproken. Het kabinet zet in op een structurele politieke dialoog tussen de EU en Iran. </w:t>
      </w:r>
      <w:r w:rsidRPr="005961C2">
        <w:rPr>
          <w:rFonts w:ascii="Verdana" w:hAnsi="Verdana"/>
          <w:sz w:val="18"/>
          <w:szCs w:val="18"/>
        </w:rPr>
        <w:t>Het kabinet hecht</w:t>
      </w:r>
      <w:r w:rsidRPr="005961C2">
        <w:rPr>
          <w:rFonts w:ascii="Verdana" w:hAnsi="Verdana" w:eastAsia="Verdana" w:cs="Verdana"/>
          <w:sz w:val="18"/>
          <w:szCs w:val="18"/>
        </w:rPr>
        <w:t xml:space="preserve"> eraan</w:t>
      </w:r>
      <w:r w:rsidRPr="005961C2">
        <w:rPr>
          <w:rFonts w:hint="eastAsia" w:ascii="Verdana" w:hAnsi="Verdana" w:eastAsia="MS Mincho" w:cs="Verdana"/>
          <w:sz w:val="18"/>
          <w:szCs w:val="18"/>
          <w:lang w:eastAsia="ja-JP"/>
        </w:rPr>
        <w:t xml:space="preserve"> dat </w:t>
      </w:r>
      <w:r w:rsidRPr="00273C79">
        <w:rPr>
          <w:rFonts w:ascii="Verdana" w:hAnsi="Verdana" w:eastAsia="MS Mincho" w:cs="Verdana"/>
          <w:sz w:val="18"/>
          <w:szCs w:val="18"/>
          <w:lang w:eastAsia="ja-JP"/>
        </w:rPr>
        <w:t>in de dialoog met Iran</w:t>
      </w:r>
      <w:r>
        <w:rPr>
          <w:rFonts w:ascii="Verdana" w:hAnsi="Verdana" w:eastAsia="MS Mincho" w:cs="Verdana"/>
          <w:sz w:val="18"/>
          <w:szCs w:val="18"/>
          <w:lang w:eastAsia="ja-JP"/>
        </w:rPr>
        <w:t>, naast politieke en economische onderwerpen,</w:t>
      </w:r>
      <w:r w:rsidRPr="00273C79">
        <w:rPr>
          <w:rFonts w:ascii="Verdana" w:hAnsi="Verdana" w:eastAsia="MS Mincho" w:cs="Verdana"/>
          <w:sz w:val="18"/>
          <w:szCs w:val="18"/>
          <w:lang w:eastAsia="ja-JP"/>
        </w:rPr>
        <w:t xml:space="preserve"> </w:t>
      </w:r>
      <w:r w:rsidRPr="005961C2">
        <w:rPr>
          <w:rFonts w:hint="eastAsia" w:ascii="Verdana" w:hAnsi="Verdana" w:eastAsia="MS Mincho" w:cs="Verdana"/>
          <w:sz w:val="18"/>
          <w:szCs w:val="18"/>
          <w:lang w:eastAsia="ja-JP"/>
        </w:rPr>
        <w:t xml:space="preserve">de mensenrechtensituatie </w:t>
      </w:r>
      <w:r>
        <w:rPr>
          <w:rFonts w:ascii="Verdana" w:hAnsi="Verdana" w:eastAsia="MS Mincho" w:cs="Verdana"/>
          <w:sz w:val="18"/>
          <w:szCs w:val="18"/>
          <w:lang w:eastAsia="ja-JP"/>
        </w:rPr>
        <w:t xml:space="preserve">en de rol van Iran in de regio </w:t>
      </w:r>
      <w:r w:rsidRPr="005961C2">
        <w:rPr>
          <w:rFonts w:hint="eastAsia" w:ascii="Verdana" w:hAnsi="Verdana" w:eastAsia="MS Mincho" w:cs="Verdana"/>
          <w:sz w:val="18"/>
          <w:szCs w:val="18"/>
          <w:lang w:eastAsia="ja-JP"/>
        </w:rPr>
        <w:t>onverminderd aandacht krijg</w:t>
      </w:r>
      <w:r>
        <w:rPr>
          <w:rFonts w:ascii="Verdana" w:hAnsi="Verdana" w:eastAsia="MS Mincho" w:cs="Verdana"/>
          <w:sz w:val="18"/>
          <w:szCs w:val="18"/>
          <w:lang w:eastAsia="ja-JP"/>
        </w:rPr>
        <w:t>en</w:t>
      </w:r>
      <w:r w:rsidRPr="005961C2">
        <w:rPr>
          <w:rFonts w:hint="eastAsia" w:ascii="Verdana" w:hAnsi="Verdana" w:eastAsia="MS Mincho" w:cs="Verdana"/>
          <w:sz w:val="18"/>
          <w:szCs w:val="18"/>
          <w:lang w:eastAsia="ja-JP"/>
        </w:rPr>
        <w:t>.</w:t>
      </w:r>
      <w:r>
        <w:rPr>
          <w:rFonts w:ascii="Verdana" w:hAnsi="Verdana" w:eastAsia="MS Mincho" w:cs="Verdana"/>
          <w:sz w:val="18"/>
          <w:szCs w:val="18"/>
          <w:lang w:eastAsia="ja-JP"/>
        </w:rPr>
        <w:t xml:space="preserve"> Het verbreden van de betrekkingen met Iran zal wat het kabinet betreft afhankelijk zijn van het voortgezet nakomen door Iran van de verplichtingen voortvloeiend uit het nucleair akkoord. Ook zullen de ministers ingaan op de rol van Iran in de regio. Het kabinet maakt zich zorgen om de opgelopen spanningen tussen Iran en landen in de regio, </w:t>
      </w:r>
      <w:proofErr w:type="gramStart"/>
      <w:r>
        <w:rPr>
          <w:rFonts w:ascii="Verdana" w:hAnsi="Verdana" w:eastAsia="MS Mincho" w:cs="Verdana"/>
          <w:sz w:val="18"/>
          <w:szCs w:val="18"/>
          <w:lang w:eastAsia="ja-JP"/>
        </w:rPr>
        <w:t>met name</w:t>
      </w:r>
      <w:proofErr w:type="gramEnd"/>
      <w:r>
        <w:rPr>
          <w:rFonts w:ascii="Verdana" w:hAnsi="Verdana" w:eastAsia="MS Mincho" w:cs="Verdana"/>
          <w:sz w:val="18"/>
          <w:szCs w:val="18"/>
          <w:lang w:eastAsia="ja-JP"/>
        </w:rPr>
        <w:t xml:space="preserve"> Saoedi-Arabië. Het kabinet hecht eraan dat de EU zich in blijft zetten voor de-escalatie van deze spanningen bij zowel Saoedi-Arabië als Iran. Daarnaast zou de EU er bij Iran op aan moeten blijven dringen een constructieve rol te spelen bij het vinden van oplossingen voor conflicten in de regio. </w:t>
      </w:r>
    </w:p>
    <w:p w:rsidR="00AF2B87" w:rsidP="00AF2B87" w:rsidRDefault="00AF2B87" w14:paraId="78F33A43" w14:textId="77777777">
      <w:pPr>
        <w:spacing w:after="0"/>
        <w:rPr>
          <w:b/>
          <w:lang w:val="nl-NL"/>
        </w:rPr>
      </w:pPr>
    </w:p>
    <w:p w:rsidRPr="00092BB2" w:rsidR="00AF2B87" w:rsidP="00AF2B87" w:rsidRDefault="00AF2B87" w14:paraId="260F0B76" w14:textId="77777777">
      <w:pPr>
        <w:spacing w:after="0"/>
        <w:rPr>
          <w:rFonts w:ascii="Times New Roman" w:hAnsi="Times New Roman"/>
          <w:b/>
          <w:sz w:val="24"/>
          <w:lang w:val="nl-NL" w:eastAsia="ja-JP"/>
        </w:rPr>
      </w:pPr>
      <w:r w:rsidRPr="00092BB2">
        <w:rPr>
          <w:b/>
          <w:lang w:val="nl-NL"/>
        </w:rPr>
        <w:t>Scenario Based Policy Discussion</w:t>
      </w:r>
      <w:r w:rsidRPr="00092BB2">
        <w:rPr>
          <w:b/>
          <w:lang w:val="nl-NL"/>
        </w:rPr>
        <w:tab/>
      </w:r>
      <w:r w:rsidRPr="00092BB2">
        <w:rPr>
          <w:b/>
          <w:lang w:val="nl-NL"/>
        </w:rPr>
        <w:tab/>
      </w:r>
      <w:r w:rsidRPr="00092BB2">
        <w:rPr>
          <w:b/>
          <w:lang w:val="nl-NL"/>
        </w:rPr>
        <w:tab/>
      </w:r>
      <w:r w:rsidRPr="00092BB2">
        <w:rPr>
          <w:b/>
          <w:lang w:val="nl-NL"/>
        </w:rPr>
        <w:tab/>
      </w:r>
      <w:r w:rsidRPr="00092BB2">
        <w:rPr>
          <w:b/>
          <w:lang w:val="nl-NL"/>
        </w:rPr>
        <w:tab/>
      </w:r>
      <w:r w:rsidRPr="00092BB2">
        <w:rPr>
          <w:b/>
          <w:lang w:val="nl-NL"/>
        </w:rPr>
        <w:tab/>
      </w:r>
      <w:r w:rsidRPr="00092BB2">
        <w:rPr>
          <w:rFonts w:ascii="Times New Roman" w:hAnsi="Times New Roman"/>
          <w:b/>
          <w:sz w:val="24"/>
          <w:lang w:val="nl-NL"/>
        </w:rPr>
        <w:tab/>
      </w:r>
    </w:p>
    <w:p w:rsidR="00AF2B87" w:rsidP="00AF2B87" w:rsidRDefault="00AF2B87" w14:paraId="2A376FBB" w14:textId="77777777">
      <w:pPr>
        <w:spacing w:after="0"/>
        <w:rPr>
          <w:szCs w:val="18"/>
          <w:lang w:val="nl-NL" w:eastAsia="ja-JP"/>
        </w:rPr>
      </w:pPr>
      <w:r>
        <w:rPr>
          <w:szCs w:val="18"/>
          <w:lang w:val="nl-NL" w:eastAsia="ja-JP"/>
        </w:rPr>
        <w:t>Om de informele setting van Gymnich optimaal te benutten, zullen de EU ministers, op initiatief van Nederland, een “</w:t>
      </w:r>
      <w:r w:rsidRPr="001F283B">
        <w:rPr>
          <w:i/>
          <w:lang w:val="nl-NL" w:eastAsia="ja-JP"/>
        </w:rPr>
        <w:t>Scenario Based Policy Discussion</w:t>
      </w:r>
      <w:r>
        <w:rPr>
          <w:szCs w:val="18"/>
          <w:lang w:val="nl-NL" w:eastAsia="ja-JP"/>
        </w:rPr>
        <w:t xml:space="preserve">” voeren. Daarin bespreken zij de verschillende beleidsinstrumenten die de Raad Buitenlandse Zaken ter beschikking staan in het geval wanneer de EU met een dreiging van buitenaf wordt geconfronteerd. Dit gebeurt aan de hand van een fictieve casus en op interactieve wijze. Het scenario, een crisissituatie in een fictief land in de ring rond Europa, wordt geïntroduceerd door middel van korte filmfragmenten. Op basis daarvan kunnen de ministers, via een aantal realistische dilemma’s op de verschillende fases van de crisis, hun reactie formuleren. Het doel van de opzet is dat de ministers met elkaar van gedachten kunnen wisselen over een optimale inzet van de mogelijkheden die het </w:t>
      </w:r>
      <w:r w:rsidRPr="00012E31">
        <w:rPr>
          <w:szCs w:val="18"/>
          <w:lang w:val="nl-NL" w:eastAsia="ja-JP"/>
        </w:rPr>
        <w:t>Gemeenschappelijk bu</w:t>
      </w:r>
      <w:r>
        <w:rPr>
          <w:szCs w:val="18"/>
          <w:lang w:val="nl-NL" w:eastAsia="ja-JP"/>
        </w:rPr>
        <w:t>itenlands en veiligheids</w:t>
      </w:r>
      <w:r w:rsidRPr="00012E31">
        <w:rPr>
          <w:szCs w:val="18"/>
          <w:lang w:val="nl-NL" w:eastAsia="ja-JP"/>
        </w:rPr>
        <w:t xml:space="preserve">beleid </w:t>
      </w:r>
      <w:r>
        <w:rPr>
          <w:szCs w:val="18"/>
          <w:lang w:val="nl-NL" w:eastAsia="ja-JP"/>
        </w:rPr>
        <w:t xml:space="preserve">(GBVB) biedt. </w:t>
      </w:r>
    </w:p>
    <w:p w:rsidRPr="00FF5682" w:rsidR="00AF2B87" w:rsidP="00AF2B87" w:rsidRDefault="00AF2B87" w14:paraId="2BC625D0" w14:textId="77777777">
      <w:pPr>
        <w:spacing w:after="0"/>
        <w:rPr>
          <w:szCs w:val="18"/>
          <w:lang w:val="nl-NL" w:eastAsia="ja-JP"/>
        </w:rPr>
      </w:pPr>
    </w:p>
    <w:p w:rsidR="00AF2B87" w:rsidP="00AF2B87" w:rsidRDefault="00AF2B87" w14:paraId="6BA55DF9" w14:textId="77777777">
      <w:pPr>
        <w:spacing w:after="0"/>
        <w:rPr>
          <w:rFonts w:eastAsia="Malgun Gothic"/>
          <w:b/>
          <w:lang w:val="nl-NL" w:eastAsia="ko-KR"/>
        </w:rPr>
      </w:pPr>
      <w:r>
        <w:rPr>
          <w:b/>
          <w:lang w:val="nl-NL"/>
        </w:rPr>
        <w:t>Migratie: discussie met kandidaat-lidstaten</w:t>
      </w:r>
      <w:r>
        <w:rPr>
          <w:b/>
          <w:lang w:val="nl-NL"/>
        </w:rPr>
        <w:tab/>
      </w:r>
      <w:r>
        <w:rPr>
          <w:rFonts w:hint="eastAsia" w:eastAsia="Malgun Gothic"/>
          <w:b/>
          <w:lang w:val="nl-NL" w:eastAsia="ko-KR"/>
        </w:rPr>
        <w:tab/>
      </w:r>
      <w:r>
        <w:rPr>
          <w:rFonts w:hint="eastAsia" w:eastAsia="Malgun Gothic"/>
          <w:b/>
          <w:lang w:val="nl-NL" w:eastAsia="ko-KR"/>
        </w:rPr>
        <w:tab/>
      </w:r>
    </w:p>
    <w:p w:rsidR="00AF2B87" w:rsidP="00AF2B87" w:rsidRDefault="00AF2B87" w14:paraId="42130940" w14:textId="2A73EE55">
      <w:pPr>
        <w:rPr>
          <w:rFonts w:cs="Times New Roman"/>
          <w:szCs w:val="18"/>
          <w:lang w:val="nl-NL" w:eastAsia="ja-JP"/>
        </w:rPr>
      </w:pPr>
      <w:r>
        <w:rPr>
          <w:rFonts w:cs="Times New Roman"/>
          <w:szCs w:val="18"/>
          <w:lang w:val="nl-NL" w:eastAsia="ja-JP"/>
        </w:rPr>
        <w:t xml:space="preserve">Kandidaat-lidstaten (Albanië, Macedonië, Montenegro, Servië, Turkije) worden traditioneel voor een gedeelte van Gymnich uitgenodigd. Op voorstel van Nederland zal de gezamenlijke bespreking in het teken staan van de </w:t>
      </w:r>
      <w:r w:rsidRPr="00FA4BBC">
        <w:rPr>
          <w:rFonts w:cs="Times New Roman"/>
          <w:szCs w:val="18"/>
          <w:lang w:val="nl-NL" w:eastAsia="ja-JP"/>
        </w:rPr>
        <w:t>migratiestro</w:t>
      </w:r>
      <w:r w:rsidR="00A04C55">
        <w:rPr>
          <w:rFonts w:cs="Times New Roman"/>
          <w:szCs w:val="18"/>
          <w:lang w:val="nl-NL" w:eastAsia="ja-JP"/>
        </w:rPr>
        <w:t>om</w:t>
      </w:r>
      <w:r w:rsidRPr="00FA4BBC">
        <w:rPr>
          <w:rFonts w:cs="Times New Roman"/>
          <w:szCs w:val="18"/>
          <w:lang w:val="nl-NL" w:eastAsia="ja-JP"/>
        </w:rPr>
        <w:t xml:space="preserve"> via Turkije en de Westelijke Balkan en de wijze waarop daar gezamenlijk oplossingen voor kunnen worden gevonden.</w:t>
      </w:r>
      <w:r>
        <w:rPr>
          <w:rFonts w:cs="Times New Roman"/>
          <w:szCs w:val="18"/>
          <w:lang w:val="nl-NL" w:eastAsia="ja-JP"/>
        </w:rPr>
        <w:t xml:space="preserve"> Aan deze bijeenkomst zal eveneens AFET-</w:t>
      </w:r>
      <w:r>
        <w:rPr>
          <w:rFonts w:cs="Times New Roman"/>
          <w:szCs w:val="18"/>
          <w:lang w:val="nl-NL" w:eastAsia="ja-JP"/>
        </w:rPr>
        <w:lastRenderedPageBreak/>
        <w:t xml:space="preserve">voorzitter Elmar Brok deelnemen. Aangezien het een informele bespreking betreft, is geen besluitvorming voorzien. </w:t>
      </w:r>
    </w:p>
    <w:p w:rsidRPr="00FA4BBC" w:rsidR="00AF2B87" w:rsidP="00AF2B87" w:rsidRDefault="00AF2B87" w14:paraId="6F56B663" w14:textId="77777777">
      <w:pPr>
        <w:rPr>
          <w:rFonts w:cs="Times New Roman"/>
          <w:szCs w:val="18"/>
          <w:lang w:val="nl-NL" w:eastAsia="ja-JP"/>
        </w:rPr>
      </w:pPr>
      <w:r w:rsidRPr="00FA4BBC">
        <w:rPr>
          <w:rFonts w:cs="Times New Roman"/>
          <w:szCs w:val="18"/>
          <w:lang w:val="nl-NL" w:eastAsia="ja-JP"/>
        </w:rPr>
        <w:t xml:space="preserve">Naast het significant verminderen van de instroom vanuit Turkije is effectieve samenwerking, coördinatie en informatie-uitwisseling tussen de landen die onderdeel uitmaken van de zgn. Westelijke Balkanroute van groot belang. Ministers zullen de voortgang in de uitvoering van de tijdens de Westelijke Balkan/Oostelijke Mediterrane Zee conferentie van 8 oktober </w:t>
      </w:r>
      <w:r>
        <w:rPr>
          <w:rFonts w:cs="Times New Roman"/>
          <w:szCs w:val="18"/>
          <w:lang w:val="nl-NL" w:eastAsia="ja-JP"/>
        </w:rPr>
        <w:t xml:space="preserve">jl. (Kamerstuk </w:t>
      </w:r>
      <w:r w:rsidRPr="001D426C">
        <w:rPr>
          <w:rFonts w:cs="Times New Roman"/>
          <w:szCs w:val="18"/>
          <w:lang w:val="nl-NL" w:eastAsia="ja-JP"/>
        </w:rPr>
        <w:t>32317-352</w:t>
      </w:r>
      <w:r>
        <w:rPr>
          <w:rFonts w:cs="Times New Roman"/>
          <w:szCs w:val="18"/>
          <w:lang w:val="nl-NL" w:eastAsia="ja-JP"/>
        </w:rPr>
        <w:t xml:space="preserve">) </w:t>
      </w:r>
      <w:r w:rsidRPr="00FA4BBC">
        <w:rPr>
          <w:rFonts w:cs="Times New Roman"/>
          <w:szCs w:val="18"/>
          <w:lang w:val="nl-NL" w:eastAsia="ja-JP"/>
        </w:rPr>
        <w:t xml:space="preserve">en de Leidersbijeenkomst van 25 oktober </w:t>
      </w:r>
      <w:r>
        <w:rPr>
          <w:rFonts w:cs="Times New Roman"/>
          <w:szCs w:val="18"/>
          <w:lang w:val="nl-NL" w:eastAsia="ja-JP"/>
        </w:rPr>
        <w:t>jl.</w:t>
      </w:r>
      <w:r w:rsidRPr="00FA4BBC">
        <w:rPr>
          <w:rFonts w:cs="Times New Roman"/>
          <w:szCs w:val="18"/>
          <w:lang w:val="nl-NL" w:eastAsia="ja-JP"/>
        </w:rPr>
        <w:t xml:space="preserve"> </w:t>
      </w:r>
      <w:r>
        <w:rPr>
          <w:rFonts w:cs="Times New Roman"/>
          <w:szCs w:val="18"/>
          <w:lang w:val="nl-NL" w:eastAsia="ja-JP"/>
        </w:rPr>
        <w:t xml:space="preserve">(Kamerstuk </w:t>
      </w:r>
      <w:r w:rsidRPr="0019692A">
        <w:rPr>
          <w:lang w:val="nl-NL"/>
        </w:rPr>
        <w:t xml:space="preserve">21501-20-1027) </w:t>
      </w:r>
      <w:r w:rsidRPr="00FA4BBC">
        <w:rPr>
          <w:rFonts w:cs="Times New Roman"/>
          <w:szCs w:val="18"/>
          <w:lang w:val="nl-NL" w:eastAsia="ja-JP"/>
        </w:rPr>
        <w:t xml:space="preserve">gemaakte afspraken bespreken. Een groot aantal lidstaten is van mening dat </w:t>
      </w:r>
      <w:r>
        <w:rPr>
          <w:rFonts w:cs="Times New Roman"/>
          <w:szCs w:val="18"/>
          <w:lang w:val="nl-NL" w:eastAsia="ja-JP"/>
        </w:rPr>
        <w:t xml:space="preserve">er </w:t>
      </w:r>
      <w:r w:rsidRPr="00FA4BBC">
        <w:rPr>
          <w:rFonts w:cs="Times New Roman"/>
          <w:szCs w:val="18"/>
          <w:lang w:val="nl-NL" w:eastAsia="ja-JP"/>
        </w:rPr>
        <w:t xml:space="preserve">onvoldoende voortgang is </w:t>
      </w:r>
      <w:r w:rsidRPr="00B848BA">
        <w:rPr>
          <w:rFonts w:cs="Times New Roman"/>
          <w:szCs w:val="18"/>
          <w:lang w:val="nl-NL" w:eastAsia="ja-JP"/>
        </w:rPr>
        <w:t>geboekt. Het kabinet blijft het belang benadrukken van snelle voortgang op de partnerschappen met Jordanië en Libanon (niet Libië, zoals abusievelijk was vermeld in het verslag van de Raad Algemene Zaken van 18 januari jl., referentie MinBuZa-2016.33063).</w:t>
      </w:r>
    </w:p>
    <w:p w:rsidRPr="00E354FD" w:rsidR="00AF2B87" w:rsidP="00AF2B87" w:rsidRDefault="00AF2B87" w14:paraId="6C9FE182" w14:textId="77777777">
      <w:pPr>
        <w:rPr>
          <w:rFonts w:cs="Times New Roman"/>
          <w:szCs w:val="18"/>
          <w:lang w:val="nl-NL" w:eastAsia="ja-JP"/>
        </w:rPr>
      </w:pPr>
      <w:r w:rsidRPr="00FA4BBC">
        <w:rPr>
          <w:rFonts w:cs="Times New Roman"/>
          <w:szCs w:val="18"/>
          <w:lang w:val="nl-NL" w:eastAsia="ja-JP"/>
        </w:rPr>
        <w:t>Een aantal centraal-Europese lidstaten is sterk voorstander van het spoedig nemen van additionele maatregelen om de situatie op de Westelijke Balkan het hoofd te bieden. Aandachtspunten daarbij zijn de noodzaak van het versterken van de grensbewaking, zowel aan de grens tussen Turkije en Griekenland al</w:t>
      </w:r>
      <w:r>
        <w:rPr>
          <w:rFonts w:cs="Times New Roman"/>
          <w:szCs w:val="18"/>
          <w:lang w:val="nl-NL" w:eastAsia="ja-JP"/>
        </w:rPr>
        <w:t>s ook aan de Griekse noordgrens,</w:t>
      </w:r>
      <w:r w:rsidRPr="00FA4BBC">
        <w:rPr>
          <w:rFonts w:cs="Times New Roman"/>
          <w:szCs w:val="18"/>
          <w:lang w:val="nl-NL" w:eastAsia="ja-JP"/>
        </w:rPr>
        <w:t xml:space="preserve"> het proactief tegengaan van ongecont</w:t>
      </w:r>
      <w:r>
        <w:rPr>
          <w:rFonts w:cs="Times New Roman"/>
          <w:szCs w:val="18"/>
          <w:lang w:val="nl-NL" w:eastAsia="ja-JP"/>
        </w:rPr>
        <w:t>roleerde verlegging van stromen</w:t>
      </w:r>
      <w:r w:rsidRPr="00FA4BBC">
        <w:rPr>
          <w:rFonts w:cs="Times New Roman"/>
          <w:szCs w:val="18"/>
          <w:lang w:val="nl-NL" w:eastAsia="ja-JP"/>
        </w:rPr>
        <w:t xml:space="preserve"> en het mitigeren van mogelijke destabiliserende effecten van de migratiecrisis op de binnenlandse en regionale verhoudingen op de Balkan. In dat kader zal ook gesproken worden over de mogelijkheid van het inzetten van EU-instrumentarium, zoals Frontex. </w:t>
      </w:r>
      <w:r>
        <w:rPr>
          <w:rFonts w:cs="Times New Roman"/>
          <w:szCs w:val="18"/>
          <w:lang w:val="nl-NL" w:eastAsia="ja-JP"/>
        </w:rPr>
        <w:t>Deze thema’s kwamen eveneens aan de orde tijdens de informele JBZ-bijeenkomst op 25 januari jl.</w:t>
      </w:r>
    </w:p>
    <w:p w:rsidRPr="001E28C2" w:rsidR="00AF2B87" w:rsidP="00AF2B87" w:rsidRDefault="00AF2B87" w14:paraId="4C9B277F" w14:textId="77777777">
      <w:pPr>
        <w:rPr>
          <w:rFonts w:eastAsia="Malgun Gothic"/>
          <w:b/>
          <w:lang w:val="nl-NL" w:eastAsia="ko-KR"/>
        </w:rPr>
      </w:pPr>
    </w:p>
    <w:p w:rsidRPr="00AF2B87" w:rsidR="00F27E16" w:rsidP="00AF2B87" w:rsidRDefault="00F27E16" w14:paraId="7D87C128" w14:textId="77777777">
      <w:pPr>
        <w:rPr>
          <w:lang w:val="nl-NL"/>
        </w:rPr>
      </w:pPr>
    </w:p>
    <w:sectPr w:rsidRPr="00AF2B87" w:rsidR="00F27E16">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12E31"/>
    <w:rsid w:val="00036E76"/>
    <w:rsid w:val="00090814"/>
    <w:rsid w:val="00092BB2"/>
    <w:rsid w:val="000A3C1F"/>
    <w:rsid w:val="000C023C"/>
    <w:rsid w:val="000E4885"/>
    <w:rsid w:val="00136225"/>
    <w:rsid w:val="00155027"/>
    <w:rsid w:val="001733C7"/>
    <w:rsid w:val="00186563"/>
    <w:rsid w:val="0019692A"/>
    <w:rsid w:val="001A0545"/>
    <w:rsid w:val="001B32E8"/>
    <w:rsid w:val="001D426C"/>
    <w:rsid w:val="001E28C2"/>
    <w:rsid w:val="001F283B"/>
    <w:rsid w:val="001F2B03"/>
    <w:rsid w:val="001F4D40"/>
    <w:rsid w:val="00200312"/>
    <w:rsid w:val="002212D7"/>
    <w:rsid w:val="00221679"/>
    <w:rsid w:val="0025281F"/>
    <w:rsid w:val="00273C79"/>
    <w:rsid w:val="002A1142"/>
    <w:rsid w:val="002C307D"/>
    <w:rsid w:val="002E5646"/>
    <w:rsid w:val="002F009D"/>
    <w:rsid w:val="002F3404"/>
    <w:rsid w:val="00305BEE"/>
    <w:rsid w:val="00317950"/>
    <w:rsid w:val="0033547F"/>
    <w:rsid w:val="00371192"/>
    <w:rsid w:val="00377561"/>
    <w:rsid w:val="00382425"/>
    <w:rsid w:val="00383C4A"/>
    <w:rsid w:val="0039712B"/>
    <w:rsid w:val="003A7437"/>
    <w:rsid w:val="003C0DB0"/>
    <w:rsid w:val="003E2C79"/>
    <w:rsid w:val="003F4C85"/>
    <w:rsid w:val="00400514"/>
    <w:rsid w:val="0041299A"/>
    <w:rsid w:val="00455562"/>
    <w:rsid w:val="00476E1A"/>
    <w:rsid w:val="004C3318"/>
    <w:rsid w:val="004D1C21"/>
    <w:rsid w:val="004D73EC"/>
    <w:rsid w:val="004E1CA0"/>
    <w:rsid w:val="004E62C6"/>
    <w:rsid w:val="0052252A"/>
    <w:rsid w:val="005229C9"/>
    <w:rsid w:val="005508EF"/>
    <w:rsid w:val="00561AEF"/>
    <w:rsid w:val="00571C72"/>
    <w:rsid w:val="005A0937"/>
    <w:rsid w:val="005B7FEC"/>
    <w:rsid w:val="005D32EA"/>
    <w:rsid w:val="005E46CA"/>
    <w:rsid w:val="005F5905"/>
    <w:rsid w:val="006016CD"/>
    <w:rsid w:val="00632BE8"/>
    <w:rsid w:val="00671FA6"/>
    <w:rsid w:val="00687A10"/>
    <w:rsid w:val="006908F3"/>
    <w:rsid w:val="006A3767"/>
    <w:rsid w:val="006D143A"/>
    <w:rsid w:val="006D6EF9"/>
    <w:rsid w:val="00734F71"/>
    <w:rsid w:val="00770999"/>
    <w:rsid w:val="00770D8A"/>
    <w:rsid w:val="0077439E"/>
    <w:rsid w:val="007B5A9D"/>
    <w:rsid w:val="007B6105"/>
    <w:rsid w:val="007C17F5"/>
    <w:rsid w:val="007C5EFE"/>
    <w:rsid w:val="007D172F"/>
    <w:rsid w:val="007D6D83"/>
    <w:rsid w:val="008033C3"/>
    <w:rsid w:val="00811E12"/>
    <w:rsid w:val="0082467C"/>
    <w:rsid w:val="00851616"/>
    <w:rsid w:val="00855D6E"/>
    <w:rsid w:val="008970FD"/>
    <w:rsid w:val="008C61D2"/>
    <w:rsid w:val="008E1D70"/>
    <w:rsid w:val="00907AA3"/>
    <w:rsid w:val="009118EE"/>
    <w:rsid w:val="00914BEB"/>
    <w:rsid w:val="0099316D"/>
    <w:rsid w:val="009C1EB1"/>
    <w:rsid w:val="009C1ED4"/>
    <w:rsid w:val="009E27FA"/>
    <w:rsid w:val="00A04C55"/>
    <w:rsid w:val="00A6007F"/>
    <w:rsid w:val="00A63418"/>
    <w:rsid w:val="00A65DA5"/>
    <w:rsid w:val="00AB05A9"/>
    <w:rsid w:val="00AD7248"/>
    <w:rsid w:val="00AF2B87"/>
    <w:rsid w:val="00B5402D"/>
    <w:rsid w:val="00B73155"/>
    <w:rsid w:val="00B8100E"/>
    <w:rsid w:val="00B848BA"/>
    <w:rsid w:val="00B855BD"/>
    <w:rsid w:val="00B864DA"/>
    <w:rsid w:val="00B8677E"/>
    <w:rsid w:val="00BA6996"/>
    <w:rsid w:val="00BC7785"/>
    <w:rsid w:val="00BD6F76"/>
    <w:rsid w:val="00C07FEE"/>
    <w:rsid w:val="00C44C5D"/>
    <w:rsid w:val="00C60923"/>
    <w:rsid w:val="00CA2C47"/>
    <w:rsid w:val="00CA3191"/>
    <w:rsid w:val="00CB1EE0"/>
    <w:rsid w:val="00CB2A2E"/>
    <w:rsid w:val="00CB3353"/>
    <w:rsid w:val="00CB4232"/>
    <w:rsid w:val="00CD7BE2"/>
    <w:rsid w:val="00CE5A84"/>
    <w:rsid w:val="00D15091"/>
    <w:rsid w:val="00D309B7"/>
    <w:rsid w:val="00D4367B"/>
    <w:rsid w:val="00D80001"/>
    <w:rsid w:val="00D918EE"/>
    <w:rsid w:val="00DA38E1"/>
    <w:rsid w:val="00DB586D"/>
    <w:rsid w:val="00DC07E9"/>
    <w:rsid w:val="00DC4661"/>
    <w:rsid w:val="00DE42D3"/>
    <w:rsid w:val="00DF1219"/>
    <w:rsid w:val="00E354FD"/>
    <w:rsid w:val="00E62D1F"/>
    <w:rsid w:val="00E71EC9"/>
    <w:rsid w:val="00E75B66"/>
    <w:rsid w:val="00E857EB"/>
    <w:rsid w:val="00E90545"/>
    <w:rsid w:val="00E95757"/>
    <w:rsid w:val="00EA45CE"/>
    <w:rsid w:val="00ED3F94"/>
    <w:rsid w:val="00EE6014"/>
    <w:rsid w:val="00F27E16"/>
    <w:rsid w:val="00F34795"/>
    <w:rsid w:val="00F4124A"/>
    <w:rsid w:val="00F415B6"/>
    <w:rsid w:val="00F449C4"/>
    <w:rsid w:val="00F51A68"/>
    <w:rsid w:val="00F63F64"/>
    <w:rsid w:val="00F8415C"/>
    <w:rsid w:val="00FA4BBC"/>
    <w:rsid w:val="00FF5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rmalWeb">
    <w:name w:val="Normal (Web)"/>
    <w:basedOn w:val="Normal"/>
    <w:uiPriority w:val="99"/>
    <w:unhideWhenUsed/>
    <w:rsid w:val="001B32E8"/>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F415B6"/>
    <w:rPr>
      <w:sz w:val="16"/>
      <w:szCs w:val="16"/>
    </w:rPr>
  </w:style>
  <w:style w:type="paragraph" w:styleId="CommentText">
    <w:name w:val="annotation text"/>
    <w:basedOn w:val="Normal"/>
    <w:link w:val="CommentTextChar"/>
    <w:uiPriority w:val="99"/>
    <w:semiHidden/>
    <w:unhideWhenUsed/>
    <w:rsid w:val="00F415B6"/>
    <w:rPr>
      <w:sz w:val="20"/>
      <w:szCs w:val="20"/>
    </w:rPr>
  </w:style>
  <w:style w:type="character" w:customStyle="1" w:styleId="CommentTextChar">
    <w:name w:val="Comment Text Char"/>
    <w:basedOn w:val="DefaultParagraphFont"/>
    <w:link w:val="CommentText"/>
    <w:uiPriority w:val="99"/>
    <w:semiHidden/>
    <w:rsid w:val="00F415B6"/>
    <w:rPr>
      <w:sz w:val="20"/>
      <w:szCs w:val="20"/>
    </w:rPr>
  </w:style>
  <w:style w:type="paragraph" w:styleId="CommentSubject">
    <w:name w:val="annotation subject"/>
    <w:basedOn w:val="CommentText"/>
    <w:next w:val="CommentText"/>
    <w:link w:val="CommentSubjectChar"/>
    <w:uiPriority w:val="99"/>
    <w:semiHidden/>
    <w:unhideWhenUsed/>
    <w:rsid w:val="00F415B6"/>
    <w:rPr>
      <w:b/>
      <w:bCs/>
    </w:rPr>
  </w:style>
  <w:style w:type="character" w:customStyle="1" w:styleId="CommentSubjectChar">
    <w:name w:val="Comment Subject Char"/>
    <w:basedOn w:val="CommentTextChar"/>
    <w:link w:val="CommentSubject"/>
    <w:uiPriority w:val="99"/>
    <w:semiHidden/>
    <w:rsid w:val="00F415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rmalWeb">
    <w:name w:val="Normal (Web)"/>
    <w:basedOn w:val="Normal"/>
    <w:uiPriority w:val="99"/>
    <w:unhideWhenUsed/>
    <w:rsid w:val="001B32E8"/>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F415B6"/>
    <w:rPr>
      <w:sz w:val="16"/>
      <w:szCs w:val="16"/>
    </w:rPr>
  </w:style>
  <w:style w:type="paragraph" w:styleId="CommentText">
    <w:name w:val="annotation text"/>
    <w:basedOn w:val="Normal"/>
    <w:link w:val="CommentTextChar"/>
    <w:uiPriority w:val="99"/>
    <w:semiHidden/>
    <w:unhideWhenUsed/>
    <w:rsid w:val="00F415B6"/>
    <w:rPr>
      <w:sz w:val="20"/>
      <w:szCs w:val="20"/>
    </w:rPr>
  </w:style>
  <w:style w:type="character" w:customStyle="1" w:styleId="CommentTextChar">
    <w:name w:val="Comment Text Char"/>
    <w:basedOn w:val="DefaultParagraphFont"/>
    <w:link w:val="CommentText"/>
    <w:uiPriority w:val="99"/>
    <w:semiHidden/>
    <w:rsid w:val="00F415B6"/>
    <w:rPr>
      <w:sz w:val="20"/>
      <w:szCs w:val="20"/>
    </w:rPr>
  </w:style>
  <w:style w:type="paragraph" w:styleId="CommentSubject">
    <w:name w:val="annotation subject"/>
    <w:basedOn w:val="CommentText"/>
    <w:next w:val="CommentText"/>
    <w:link w:val="CommentSubjectChar"/>
    <w:uiPriority w:val="99"/>
    <w:semiHidden/>
    <w:unhideWhenUsed/>
    <w:rsid w:val="00F415B6"/>
    <w:rPr>
      <w:b/>
      <w:bCs/>
    </w:rPr>
  </w:style>
  <w:style w:type="character" w:customStyle="1" w:styleId="CommentSubjectChar">
    <w:name w:val="Comment Subject Char"/>
    <w:basedOn w:val="CommentTextChar"/>
    <w:link w:val="CommentSubject"/>
    <w:uiPriority w:val="99"/>
    <w:semiHidden/>
    <w:rsid w:val="00F415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stylesWithEffects" Target="stylesWithEffects.xml" Id="rId7"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97a7b5b3-1deb-4e4a-a31c-d0d293eddb97"/>
    <ds:schemaRef ds:uri="http://purl.org/dc/terms/"/>
    <ds:schemaRef ds:uri="http://purl.org/dc/elements/1.1/"/>
    <ds:schemaRef ds:uri="http://schemas.microsoft.com/office/2006/metadata/propertie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3</ap:Pages>
  <ap:Words>1677</ap:Words>
  <ap:Characters>9370</ap:Characters>
  <ap:DocSecurity>0</ap:DocSecurity>
  <ap:Lines>135</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