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ajorEastAsia" w:cstheme="majorBidi"/>
          <w:caps/>
          <w:lang w:eastAsia="en-US"/>
        </w:rPr>
        <w:id w:val="730895789"/>
        <w:docPartObj>
          <w:docPartGallery w:val="Cover Pages"/>
          <w:docPartUnique/>
        </w:docPartObj>
      </w:sdtPr>
      <w:sdtEndPr>
        <w:rPr>
          <w:rFonts w:eastAsiaTheme="minorHAnsi" w:cstheme="minorBidi"/>
          <w:caps w:val="0"/>
          <w:lang w:val="nl-NL"/>
        </w:rPr>
      </w:sdtEndPr>
      <w:sdtContent>
        <w:tbl>
          <w:tblPr>
            <w:tblW w:w="5000" w:type="pct"/>
            <w:jc w:val="center"/>
            <w:tblLook w:val="04A0" w:firstRow="1" w:lastRow="0" w:firstColumn="1" w:lastColumn="0" w:noHBand="0" w:noVBand="1"/>
          </w:tblPr>
          <w:tblGrid>
            <w:gridCol w:w="9288"/>
          </w:tblGrid>
          <w:tr w:rsidR="00F45539" w:rsidTr="005D2E21">
            <w:trPr>
              <w:trHeight w:val="2880"/>
              <w:jc w:val="center"/>
            </w:trPr>
            <w:sdt>
              <w:sdtPr>
                <w:rPr>
                  <w:rFonts w:eastAsiaTheme="majorEastAsia" w:cstheme="majorBidi"/>
                  <w:caps/>
                  <w:lang w:eastAsia="en-US"/>
                </w:rPr>
                <w:alias w:val="Bedrijf"/>
                <w:id w:val="15524243"/>
                <w:dataBinding w:prefixMappings="xmlns:ns0='http://schemas.openxmlformats.org/officeDocument/2006/extended-properties'" w:xpath="/ns0:Properties[1]/ns0:Company[1]" w:storeItemID="{6668398D-A668-4E3E-A5EB-62B293D839F1}"/>
                <w:text/>
              </w:sdtPr>
              <w:sdtEndPr>
                <w:rPr>
                  <w:lang w:eastAsia="en-GB"/>
                </w:rPr>
              </w:sdtEndPr>
              <w:sdtContent>
                <w:tc>
                  <w:tcPr>
                    <w:tcW w:w="5000" w:type="pct"/>
                  </w:tcPr>
                  <w:p w:rsidRPr="00A7578F" w:rsidR="00F45539" w:rsidP="001746F2" w:rsidRDefault="00F45539">
                    <w:pPr>
                      <w:pStyle w:val="Geenafstand"/>
                      <w:spacing w:line="276" w:lineRule="auto"/>
                      <w:jc w:val="center"/>
                      <w:rPr>
                        <w:rFonts w:eastAsiaTheme="majorEastAsia" w:cstheme="majorBidi"/>
                        <w:caps/>
                      </w:rPr>
                    </w:pPr>
                    <w:r w:rsidRPr="00A7578F">
                      <w:rPr>
                        <w:rFonts w:eastAsiaTheme="majorEastAsia" w:cstheme="majorBidi"/>
                        <w:caps/>
                        <w:lang w:val="nl-NL"/>
                      </w:rPr>
                      <w:t>Knoops' advocaten</w:t>
                    </w:r>
                  </w:p>
                </w:tc>
              </w:sdtContent>
            </w:sdt>
          </w:tr>
          <w:tr w:rsidRPr="00F45539" w:rsidR="00F45539" w:rsidTr="005D2E21">
            <w:trPr>
              <w:trHeight w:val="1440"/>
              <w:jc w:val="center"/>
            </w:trPr>
            <w:sdt>
              <w:sdtPr>
                <w:rPr>
                  <w:rFonts w:eastAsiaTheme="majorEastAsia" w:cstheme="majorBidi"/>
                  <w:sz w:val="80"/>
                  <w:szCs w:val="80"/>
                  <w:lang w:val="nl-NL"/>
                </w:rPr>
                <w:alias w:val="Titel"/>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color="DD2F86" w:sz="4" w:space="0"/>
                    </w:tcBorders>
                    <w:vAlign w:val="center"/>
                  </w:tcPr>
                  <w:p w:rsidRPr="00A7578F" w:rsidR="00F45539" w:rsidP="001746F2" w:rsidRDefault="00E274B0">
                    <w:pPr>
                      <w:pStyle w:val="Geenafstand"/>
                      <w:spacing w:line="276" w:lineRule="auto"/>
                      <w:jc w:val="center"/>
                      <w:rPr>
                        <w:rFonts w:eastAsiaTheme="majorEastAsia" w:cstheme="majorBidi"/>
                        <w:sz w:val="80"/>
                        <w:szCs w:val="80"/>
                        <w:lang w:val="nl-NL"/>
                      </w:rPr>
                    </w:pPr>
                    <w:r w:rsidRPr="00A7578F">
                      <w:rPr>
                        <w:rFonts w:eastAsiaTheme="majorEastAsia" w:cstheme="majorBidi"/>
                        <w:sz w:val="80"/>
                        <w:szCs w:val="80"/>
                        <w:lang w:val="nl-NL"/>
                      </w:rPr>
                      <w:t>MH17 Rondetafelgesprek</w:t>
                    </w:r>
                  </w:p>
                </w:tc>
              </w:sdtContent>
            </w:sdt>
          </w:tr>
          <w:tr w:rsidRPr="004C544B" w:rsidR="00F45539" w:rsidTr="005D2E21">
            <w:trPr>
              <w:trHeight w:val="720"/>
              <w:jc w:val="center"/>
            </w:trPr>
            <w:sdt>
              <w:sdtPr>
                <w:rPr>
                  <w:rFonts w:eastAsiaTheme="majorEastAsia" w:cstheme="majorBidi"/>
                  <w:sz w:val="44"/>
                  <w:szCs w:val="44"/>
                  <w:lang w:val="nl-BE"/>
                </w:rPr>
                <w:alias w:val="Ondertitel"/>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color="DD2F86" w:sz="4" w:space="0"/>
                    </w:tcBorders>
                    <w:vAlign w:val="center"/>
                  </w:tcPr>
                  <w:p w:rsidRPr="00A7578F" w:rsidR="00F45539" w:rsidP="001746F2" w:rsidRDefault="005D2E21">
                    <w:pPr>
                      <w:pStyle w:val="Geenafstand"/>
                      <w:spacing w:line="276" w:lineRule="auto"/>
                      <w:jc w:val="center"/>
                      <w:rPr>
                        <w:rFonts w:eastAsiaTheme="majorEastAsia" w:cstheme="majorBidi"/>
                        <w:sz w:val="44"/>
                        <w:szCs w:val="44"/>
                        <w:lang w:val="nl-NL"/>
                      </w:rPr>
                    </w:pPr>
                    <w:r w:rsidRPr="00A7578F">
                      <w:rPr>
                        <w:rFonts w:eastAsiaTheme="majorEastAsia" w:cstheme="majorBidi"/>
                        <w:sz w:val="44"/>
                        <w:szCs w:val="44"/>
                        <w:lang w:val="nl-BE"/>
                      </w:rPr>
                      <w:t xml:space="preserve">Enkele implicaties van een </w:t>
                    </w:r>
                    <w:r w:rsidR="001746F2">
                      <w:rPr>
                        <w:rFonts w:eastAsiaTheme="majorEastAsia" w:cstheme="majorBidi"/>
                        <w:sz w:val="44"/>
                        <w:szCs w:val="44"/>
                        <w:lang w:val="nl-BE"/>
                      </w:rPr>
                      <w:t xml:space="preserve">(internationaal) </w:t>
                    </w:r>
                    <w:r w:rsidRPr="00A7578F">
                      <w:rPr>
                        <w:rFonts w:eastAsiaTheme="majorEastAsia" w:cstheme="majorBidi"/>
                        <w:sz w:val="44"/>
                        <w:szCs w:val="44"/>
                        <w:lang w:val="nl-BE"/>
                      </w:rPr>
                      <w:t>s</w:t>
                    </w:r>
                    <w:r w:rsidRPr="00A7578F" w:rsidR="00067143">
                      <w:rPr>
                        <w:rFonts w:eastAsiaTheme="majorEastAsia" w:cstheme="majorBidi"/>
                        <w:sz w:val="44"/>
                        <w:szCs w:val="44"/>
                        <w:lang w:val="nl-BE"/>
                      </w:rPr>
                      <w:t>trafrechtelijk</w:t>
                    </w:r>
                    <w:r w:rsidRPr="00A7578F">
                      <w:rPr>
                        <w:rFonts w:eastAsiaTheme="majorEastAsia" w:cstheme="majorBidi"/>
                        <w:sz w:val="44"/>
                        <w:szCs w:val="44"/>
                        <w:lang w:val="nl-BE"/>
                      </w:rPr>
                      <w:t>e v</w:t>
                    </w:r>
                    <w:r w:rsidRPr="00A7578F" w:rsidR="00783F02">
                      <w:rPr>
                        <w:rFonts w:eastAsiaTheme="majorEastAsia" w:cstheme="majorBidi"/>
                        <w:sz w:val="44"/>
                        <w:szCs w:val="44"/>
                        <w:lang w:val="nl-BE"/>
                      </w:rPr>
                      <w:t>ervolging en berechting</w:t>
                    </w:r>
                  </w:p>
                </w:tc>
              </w:sdtContent>
            </w:sdt>
          </w:tr>
          <w:tr w:rsidRPr="00A7578F" w:rsidR="00F45539">
            <w:trPr>
              <w:trHeight w:val="360"/>
              <w:jc w:val="center"/>
            </w:trPr>
            <w:tc>
              <w:tcPr>
                <w:tcW w:w="5000" w:type="pct"/>
                <w:vAlign w:val="center"/>
              </w:tcPr>
              <w:p w:rsidRPr="00F45539" w:rsidR="00F45539" w:rsidP="001746F2" w:rsidRDefault="00A7578F">
                <w:pPr>
                  <w:pStyle w:val="Geenafstand"/>
                  <w:spacing w:line="276" w:lineRule="auto"/>
                  <w:jc w:val="center"/>
                  <w:rPr>
                    <w:lang w:val="nl-NL"/>
                  </w:rPr>
                </w:pPr>
                <w:r>
                  <w:rPr>
                    <w:lang w:val="nl-NL"/>
                  </w:rPr>
                  <w:t>G.G.J. Knoops</w:t>
                </w:r>
              </w:p>
            </w:tc>
          </w:tr>
          <w:tr w:rsidRPr="00A7578F" w:rsidR="00F45539">
            <w:trPr>
              <w:trHeight w:val="360"/>
              <w:jc w:val="center"/>
            </w:trPr>
            <w:tc>
              <w:tcPr>
                <w:tcW w:w="5000" w:type="pct"/>
                <w:vAlign w:val="center"/>
              </w:tcPr>
              <w:p w:rsidRPr="005D2E21" w:rsidR="00F45539" w:rsidP="001746F2" w:rsidRDefault="00F45539">
                <w:pPr>
                  <w:pStyle w:val="Geenafstand"/>
                  <w:spacing w:line="276" w:lineRule="auto"/>
                  <w:jc w:val="center"/>
                  <w:rPr>
                    <w:b/>
                    <w:bCs/>
                    <w:lang w:val="nl-NL"/>
                  </w:rPr>
                </w:pPr>
              </w:p>
            </w:tc>
          </w:tr>
          <w:tr w:rsidRPr="005D2E21" w:rsidR="00F45539">
            <w:trPr>
              <w:trHeight w:val="360"/>
              <w:jc w:val="center"/>
            </w:trPr>
            <w:sdt>
              <w:sdtPr>
                <w:rPr>
                  <w:b/>
                  <w:bCs/>
                </w:rPr>
                <w:alias w:val="Datum"/>
                <w:id w:val="516659546"/>
                <w:dataBinding w:prefixMappings="xmlns:ns0='http://schemas.microsoft.com/office/2006/coverPageProps'" w:xpath="/ns0:CoverPageProperties[1]/ns0:PublishDate[1]" w:storeItemID="{55AF091B-3C7A-41E3-B477-F2FDAA23CFDA}"/>
                <w:date w:fullDate="2016-01-22T00:00:00Z">
                  <w:dateFormat w:val="d-M-yyyy"/>
                  <w:lid w:val="nl-NL"/>
                  <w:storeMappedDataAs w:val="dateTime"/>
                  <w:calendar w:val="gregorian"/>
                </w:date>
              </w:sdtPr>
              <w:sdtContent>
                <w:tc>
                  <w:tcPr>
                    <w:tcW w:w="5000" w:type="pct"/>
                    <w:vAlign w:val="center"/>
                  </w:tcPr>
                  <w:p w:rsidRPr="005D2E21" w:rsidR="00F45539" w:rsidP="001746F2" w:rsidRDefault="00F45539">
                    <w:pPr>
                      <w:pStyle w:val="Geenafstand"/>
                      <w:spacing w:line="276" w:lineRule="auto"/>
                      <w:jc w:val="center"/>
                      <w:rPr>
                        <w:b/>
                        <w:bCs/>
                        <w:lang w:val="nl-NL"/>
                      </w:rPr>
                    </w:pPr>
                    <w:r>
                      <w:rPr>
                        <w:b/>
                        <w:bCs/>
                        <w:lang w:val="nl-NL"/>
                      </w:rPr>
                      <w:t>22-1-2016</w:t>
                    </w:r>
                  </w:p>
                </w:tc>
              </w:sdtContent>
            </w:sdt>
          </w:tr>
        </w:tbl>
        <w:p w:rsidRPr="005D2E21" w:rsidR="00F45539" w:rsidP="001746F2" w:rsidRDefault="00F45539">
          <w:pPr>
            <w:rPr>
              <w:lang w:val="nl-NL"/>
            </w:rPr>
          </w:pPr>
        </w:p>
        <w:p w:rsidRPr="005D2E21" w:rsidR="00F45539" w:rsidP="001746F2" w:rsidRDefault="00F45539">
          <w:pPr>
            <w:rPr>
              <w:lang w:val="nl-NL"/>
            </w:rPr>
          </w:pPr>
        </w:p>
        <w:tbl>
          <w:tblPr>
            <w:tblpPr w:leftFromText="187" w:rightFromText="187" w:horzAnchor="margin" w:tblpXSpec="center" w:tblpYSpec="bottom"/>
            <w:tblW w:w="5000" w:type="pct"/>
            <w:tblLook w:val="04A0" w:firstRow="1" w:lastRow="0" w:firstColumn="1" w:lastColumn="0" w:noHBand="0" w:noVBand="1"/>
          </w:tblPr>
          <w:tblGrid>
            <w:gridCol w:w="9288"/>
          </w:tblGrid>
          <w:tr w:rsidRPr="004C544B" w:rsidR="00F45539">
            <w:sdt>
              <w:sdtPr>
                <w:rPr>
                  <w:lang w:val="nl-NL"/>
                </w:rPr>
                <w:alias w:val="Samenvatting"/>
                <w:id w:val="8276291"/>
                <w:dataBinding w:prefixMappings="xmlns:ns0='http://schemas.microsoft.com/office/2006/coverPageProps'" w:xpath="/ns0:CoverPageProperties[1]/ns0:Abstract[1]" w:storeItemID="{55AF091B-3C7A-41E3-B477-F2FDAA23CFDA}"/>
                <w:text/>
              </w:sdtPr>
              <w:sdtContent>
                <w:tc>
                  <w:tcPr>
                    <w:tcW w:w="5000" w:type="pct"/>
                  </w:tcPr>
                  <w:p w:rsidRPr="00F45539" w:rsidR="00F45539" w:rsidP="001746F2" w:rsidRDefault="0096750B">
                    <w:pPr>
                      <w:pStyle w:val="Geenafstand"/>
                      <w:spacing w:line="276" w:lineRule="auto"/>
                      <w:rPr>
                        <w:lang w:val="nl-NL"/>
                      </w:rPr>
                    </w:pPr>
                    <w:r w:rsidRPr="0096750B">
                      <w:rPr>
                        <w:lang w:val="nl-NL"/>
                      </w:rPr>
                      <w:t xml:space="preserve">Memorandum Tweede Kamer, Den Haag. </w:t>
                    </w:r>
                  </w:p>
                </w:tc>
              </w:sdtContent>
            </w:sdt>
          </w:tr>
        </w:tbl>
        <w:p w:rsidRPr="00F45539" w:rsidR="00F45539" w:rsidP="001746F2" w:rsidRDefault="00F45539">
          <w:pPr>
            <w:rPr>
              <w:lang w:val="nl-NL"/>
            </w:rPr>
          </w:pPr>
        </w:p>
        <w:p w:rsidR="00F45539" w:rsidP="001746F2" w:rsidRDefault="00F45539">
          <w:pPr>
            <w:rPr>
              <w:rFonts w:asciiTheme="majorHAnsi" w:hAnsiTheme="majorHAnsi" w:eastAsiaTheme="majorEastAsia" w:cstheme="majorBidi"/>
              <w:b/>
              <w:bCs/>
              <w:color w:val="365F91" w:themeColor="accent1" w:themeShade="BF"/>
              <w:sz w:val="28"/>
              <w:szCs w:val="28"/>
              <w:lang w:val="nl-NL"/>
            </w:rPr>
          </w:pPr>
          <w:r>
            <w:rPr>
              <w:lang w:val="nl-NL"/>
            </w:rPr>
            <w:br w:type="page"/>
          </w:r>
        </w:p>
      </w:sdtContent>
    </w:sdt>
    <w:p w:rsidR="00D074C8" w:rsidP="00DA26B9" w:rsidRDefault="00ED72ED">
      <w:pPr>
        <w:pStyle w:val="Kop1"/>
        <w:jc w:val="both"/>
        <w:rPr>
          <w:lang w:val="nl-NL"/>
        </w:rPr>
      </w:pPr>
      <w:bookmarkStart w:name="_Toc441139999" w:id="0"/>
      <w:r>
        <w:rPr>
          <w:lang w:val="nl-NL"/>
        </w:rPr>
        <w:lastRenderedPageBreak/>
        <w:t>Inleiding</w:t>
      </w:r>
      <w:bookmarkEnd w:id="0"/>
    </w:p>
    <w:p w:rsidR="00ED72ED" w:rsidP="00DA26B9" w:rsidRDefault="00ED72ED">
      <w:pPr>
        <w:jc w:val="both"/>
        <w:rPr>
          <w:lang w:val="nl-NL"/>
        </w:rPr>
      </w:pPr>
      <w:r>
        <w:rPr>
          <w:lang w:val="nl-NL"/>
        </w:rPr>
        <w:t xml:space="preserve">Op verzoek van de Tweede Kamer is </w:t>
      </w:r>
      <w:r w:rsidR="005D2E21">
        <w:rPr>
          <w:lang w:val="nl-NL"/>
        </w:rPr>
        <w:t>onder</w:t>
      </w:r>
      <w:r w:rsidR="001746F2">
        <w:rPr>
          <w:lang w:val="nl-NL"/>
        </w:rPr>
        <w:t>ge</w:t>
      </w:r>
      <w:r w:rsidR="005D2E21">
        <w:rPr>
          <w:lang w:val="nl-NL"/>
        </w:rPr>
        <w:t xml:space="preserve">tekende </w:t>
      </w:r>
      <w:r>
        <w:rPr>
          <w:lang w:val="nl-NL"/>
        </w:rPr>
        <w:t>gevraagd om zijn inzicht te geven in de mogelijkheden omtrent de v</w:t>
      </w:r>
      <w:r w:rsidR="00833414">
        <w:rPr>
          <w:lang w:val="nl-NL"/>
        </w:rPr>
        <w:t xml:space="preserve">ervolging en berechting van (mogelijke) </w:t>
      </w:r>
      <w:r w:rsidR="00D074C8">
        <w:rPr>
          <w:lang w:val="nl-NL"/>
        </w:rPr>
        <w:t>daders</w:t>
      </w:r>
      <w:r w:rsidR="00833414">
        <w:rPr>
          <w:lang w:val="nl-NL"/>
        </w:rPr>
        <w:t xml:space="preserve"> die verantwoordelijk zijn voor het neerhalen van het passagiersvliegtuig vlucht MH17 op 17 juli 2014.</w:t>
      </w:r>
      <w:r w:rsidR="009B608B">
        <w:rPr>
          <w:lang w:val="nl-NL"/>
        </w:rPr>
        <w:t xml:space="preserve"> </w:t>
      </w:r>
      <w:r w:rsidR="00032F44">
        <w:rPr>
          <w:lang w:val="nl-NL"/>
        </w:rPr>
        <w:t xml:space="preserve">Wat </w:t>
      </w:r>
      <w:r w:rsidR="0094340F">
        <w:rPr>
          <w:lang w:val="nl-NL"/>
        </w:rPr>
        <w:t>zal volgen</w:t>
      </w:r>
      <w:r w:rsidR="00032F44">
        <w:rPr>
          <w:lang w:val="nl-NL"/>
        </w:rPr>
        <w:t xml:space="preserve"> is een beknopte uitleg van de</w:t>
      </w:r>
      <w:r w:rsidR="009B608B">
        <w:rPr>
          <w:lang w:val="nl-NL"/>
        </w:rPr>
        <w:t xml:space="preserve"> verschillende mogelijkheden van berechting</w:t>
      </w:r>
      <w:r w:rsidR="00A7578F">
        <w:rPr>
          <w:lang w:val="nl-NL"/>
        </w:rPr>
        <w:t xml:space="preserve"> (Deel 1)</w:t>
      </w:r>
      <w:r w:rsidR="009B608B">
        <w:rPr>
          <w:lang w:val="nl-NL"/>
        </w:rPr>
        <w:t xml:space="preserve">, gevolgd door een analyse van de </w:t>
      </w:r>
      <w:r w:rsidR="005853F3">
        <w:rPr>
          <w:lang w:val="nl-NL"/>
        </w:rPr>
        <w:t>mogelijke bewijsrechtelijke</w:t>
      </w:r>
      <w:r w:rsidR="00A7578F">
        <w:rPr>
          <w:lang w:val="nl-NL"/>
        </w:rPr>
        <w:t xml:space="preserve"> implicaties </w:t>
      </w:r>
      <w:r w:rsidR="005853F3">
        <w:rPr>
          <w:lang w:val="nl-NL"/>
        </w:rPr>
        <w:t>(Deel 2), een korte bescho</w:t>
      </w:r>
      <w:r w:rsidR="001746F2">
        <w:rPr>
          <w:lang w:val="nl-NL"/>
        </w:rPr>
        <w:t>uwing van enkele internationaal</w:t>
      </w:r>
      <w:r w:rsidR="005853F3">
        <w:rPr>
          <w:lang w:val="nl-NL"/>
        </w:rPr>
        <w:t xml:space="preserve">rechtelijke implicaties van de kwestie </w:t>
      </w:r>
      <w:r w:rsidR="001746F2">
        <w:rPr>
          <w:lang w:val="nl-NL"/>
        </w:rPr>
        <w:t xml:space="preserve">omtrent </w:t>
      </w:r>
      <w:r w:rsidR="005853F3">
        <w:rPr>
          <w:lang w:val="nl-NL"/>
        </w:rPr>
        <w:t>de radarbeelden (Deel 3)</w:t>
      </w:r>
      <w:r w:rsidR="009B608B">
        <w:rPr>
          <w:lang w:val="nl-NL"/>
        </w:rPr>
        <w:t xml:space="preserve">. </w:t>
      </w:r>
    </w:p>
    <w:p w:rsidR="00F46F29" w:rsidP="00DA26B9" w:rsidRDefault="00223E8A">
      <w:pPr>
        <w:pStyle w:val="Kop1"/>
        <w:jc w:val="both"/>
        <w:rPr>
          <w:lang w:val="nl-NL"/>
        </w:rPr>
      </w:pPr>
      <w:bookmarkStart w:name="_Toc441140000" w:id="1"/>
      <w:r>
        <w:rPr>
          <w:lang w:val="nl-NL"/>
        </w:rPr>
        <w:t xml:space="preserve">Deel 1: </w:t>
      </w:r>
      <w:r w:rsidR="005D2E21">
        <w:rPr>
          <w:lang w:val="nl-NL"/>
        </w:rPr>
        <w:t>Strafrechtelijke procesgang</w:t>
      </w:r>
      <w:bookmarkEnd w:id="1"/>
    </w:p>
    <w:p w:rsidR="00D91591" w:rsidP="00DA26B9" w:rsidRDefault="004C544B">
      <w:pPr>
        <w:jc w:val="both"/>
        <w:rPr>
          <w:lang w:val="nl-NL"/>
        </w:rPr>
      </w:pPr>
      <w:r>
        <w:rPr>
          <w:lang w:val="nl-NL"/>
        </w:rPr>
        <w:t>In theorie zijn er</w:t>
      </w:r>
      <w:r w:rsidR="00D91591">
        <w:rPr>
          <w:lang w:val="nl-NL"/>
        </w:rPr>
        <w:t xml:space="preserve"> verschillende </w:t>
      </w:r>
      <w:r w:rsidR="00E6174F">
        <w:rPr>
          <w:lang w:val="nl-NL"/>
        </w:rPr>
        <w:t>juridische</w:t>
      </w:r>
      <w:r w:rsidR="005903CE">
        <w:rPr>
          <w:lang w:val="nl-NL"/>
        </w:rPr>
        <w:t xml:space="preserve"> fora</w:t>
      </w:r>
      <w:r w:rsidR="00032D67">
        <w:rPr>
          <w:lang w:val="nl-NL"/>
        </w:rPr>
        <w:t xml:space="preserve"> denkbaar waarvoor de verantwoordelijke</w:t>
      </w:r>
      <w:r w:rsidR="001746F2">
        <w:rPr>
          <w:lang w:val="nl-NL"/>
        </w:rPr>
        <w:t>n</w:t>
      </w:r>
      <w:r w:rsidR="00032D67">
        <w:rPr>
          <w:lang w:val="nl-NL"/>
        </w:rPr>
        <w:t xml:space="preserve"> voor het neerhalen van de MH17 vervolgd </w:t>
      </w:r>
      <w:r w:rsidR="005853F3">
        <w:rPr>
          <w:lang w:val="nl-NL"/>
        </w:rPr>
        <w:t xml:space="preserve">zouden </w:t>
      </w:r>
      <w:r w:rsidR="00032D67">
        <w:rPr>
          <w:lang w:val="nl-NL"/>
        </w:rPr>
        <w:t>kunnen worden</w:t>
      </w:r>
      <w:r w:rsidR="009343F5">
        <w:rPr>
          <w:lang w:val="nl-NL"/>
        </w:rPr>
        <w:t>.</w:t>
      </w:r>
      <w:r w:rsidR="00032D67">
        <w:rPr>
          <w:lang w:val="nl-NL"/>
        </w:rPr>
        <w:t xml:space="preserve"> Een aantal opties dienen zich aan:</w:t>
      </w:r>
    </w:p>
    <w:p w:rsidR="009343F5" w:rsidP="00DA26B9" w:rsidRDefault="009343F5">
      <w:pPr>
        <w:jc w:val="both"/>
        <w:rPr>
          <w:lang w:val="nl-NL"/>
        </w:rPr>
      </w:pPr>
    </w:p>
    <w:p w:rsidR="009343F5" w:rsidP="00DA26B9" w:rsidRDefault="009343F5">
      <w:pPr>
        <w:pStyle w:val="Kop2"/>
        <w:numPr>
          <w:ilvl w:val="0"/>
          <w:numId w:val="1"/>
        </w:numPr>
        <w:jc w:val="both"/>
        <w:rPr>
          <w:lang w:val="nl-NL"/>
        </w:rPr>
      </w:pPr>
      <w:bookmarkStart w:name="_Toc441140001" w:id="2"/>
      <w:r>
        <w:rPr>
          <w:lang w:val="nl-NL"/>
        </w:rPr>
        <w:t>Internationaal tribunaal</w:t>
      </w:r>
      <w:r w:rsidR="00EE3747">
        <w:rPr>
          <w:lang w:val="nl-NL"/>
        </w:rPr>
        <w:t xml:space="preserve"> </w:t>
      </w:r>
      <w:r w:rsidR="00032D67">
        <w:rPr>
          <w:lang w:val="nl-NL"/>
        </w:rPr>
        <w:t>via</w:t>
      </w:r>
      <w:r w:rsidR="00EE3747">
        <w:rPr>
          <w:lang w:val="nl-NL"/>
        </w:rPr>
        <w:t xml:space="preserve"> de Verenigde Naties</w:t>
      </w:r>
      <w:bookmarkEnd w:id="2"/>
      <w:r w:rsidR="006C69DB">
        <w:rPr>
          <w:lang w:val="nl-NL"/>
        </w:rPr>
        <w:t xml:space="preserve"> (VN)</w:t>
      </w:r>
    </w:p>
    <w:p w:rsidR="009343F5" w:rsidP="00DA26B9" w:rsidRDefault="009343F5">
      <w:pPr>
        <w:pStyle w:val="Lijstalinea"/>
        <w:numPr>
          <w:ilvl w:val="0"/>
          <w:numId w:val="2"/>
        </w:numPr>
        <w:jc w:val="both"/>
        <w:rPr>
          <w:lang w:val="nl-NL"/>
        </w:rPr>
      </w:pPr>
      <w:r w:rsidRPr="009606D0">
        <w:rPr>
          <w:lang w:val="nl-NL"/>
        </w:rPr>
        <w:t>Het oprichten van een ad hoc tribunaal is al voorgesteld door Maleisië aan de VN Veiligheidsraad. Echter</w:t>
      </w:r>
      <w:r w:rsidR="001746F2">
        <w:rPr>
          <w:lang w:val="nl-NL"/>
        </w:rPr>
        <w:t>,</w:t>
      </w:r>
      <w:r w:rsidRPr="009606D0">
        <w:rPr>
          <w:lang w:val="nl-NL"/>
        </w:rPr>
        <w:t xml:space="preserve"> zoals is vastgesteld in de brief van 12 oktober 2015 van de minister is deze resolutie niet aangenomen in door de Veiligheidsraad </w:t>
      </w:r>
      <w:r w:rsidRPr="009606D0" w:rsidR="00A37B86">
        <w:rPr>
          <w:lang w:val="nl-NL"/>
        </w:rPr>
        <w:t>vanwege het Russische veto</w:t>
      </w:r>
      <w:r w:rsidR="001746F2">
        <w:rPr>
          <w:lang w:val="nl-NL"/>
        </w:rPr>
        <w:t xml:space="preserve"> dat daartegen werd uitgesproken</w:t>
      </w:r>
      <w:r w:rsidRPr="009606D0" w:rsidR="00A37B86">
        <w:rPr>
          <w:lang w:val="nl-NL"/>
        </w:rPr>
        <w:t xml:space="preserve">. De kans is klein dat een oprichting van een vergelijkbaar tribunaal binnen </w:t>
      </w:r>
      <w:r w:rsidR="001746F2">
        <w:rPr>
          <w:lang w:val="nl-NL"/>
        </w:rPr>
        <w:t>af</w:t>
      </w:r>
      <w:r w:rsidR="005853F3">
        <w:rPr>
          <w:lang w:val="nl-NL"/>
        </w:rPr>
        <w:t xml:space="preserve">zienbare tijd alsnog zal plaatsvinden ofschoon de </w:t>
      </w:r>
      <w:r w:rsidR="0043558E">
        <w:rPr>
          <w:lang w:val="nl-NL"/>
        </w:rPr>
        <w:t xml:space="preserve">plaatsvervangende </w:t>
      </w:r>
      <w:r w:rsidR="005853F3">
        <w:rPr>
          <w:lang w:val="nl-NL"/>
        </w:rPr>
        <w:t xml:space="preserve">Russische ambassadeur </w:t>
      </w:r>
      <w:r w:rsidR="002E3BB8">
        <w:rPr>
          <w:lang w:val="nl-NL"/>
        </w:rPr>
        <w:t xml:space="preserve">in Nederland in </w:t>
      </w:r>
      <w:r w:rsidR="0043558E">
        <w:rPr>
          <w:lang w:val="nl-NL"/>
        </w:rPr>
        <w:t xml:space="preserve">juli </w:t>
      </w:r>
      <w:r w:rsidR="002E3BB8">
        <w:rPr>
          <w:lang w:val="nl-NL"/>
        </w:rPr>
        <w:t>2015 de deur naar een dergelijk tribunaal niet definitief sloot.</w:t>
      </w:r>
    </w:p>
    <w:p w:rsidRPr="009606D0" w:rsidR="00142240" w:rsidP="00DA26B9" w:rsidRDefault="00142240">
      <w:pPr>
        <w:pStyle w:val="Lijstalinea"/>
        <w:jc w:val="both"/>
        <w:rPr>
          <w:lang w:val="nl-NL"/>
        </w:rPr>
      </w:pPr>
    </w:p>
    <w:p w:rsidRPr="009606D0" w:rsidR="00A37B86" w:rsidP="00DA26B9" w:rsidRDefault="00A37B86">
      <w:pPr>
        <w:pStyle w:val="Lijstalinea"/>
        <w:numPr>
          <w:ilvl w:val="0"/>
          <w:numId w:val="2"/>
        </w:numPr>
        <w:spacing w:before="240"/>
        <w:jc w:val="both"/>
        <w:rPr>
          <w:lang w:val="nl-NL"/>
        </w:rPr>
      </w:pPr>
      <w:r w:rsidRPr="009606D0">
        <w:rPr>
          <w:lang w:val="nl-NL"/>
        </w:rPr>
        <w:t xml:space="preserve">Het </w:t>
      </w:r>
      <w:r w:rsidRPr="009606D0" w:rsidR="009606D0">
        <w:rPr>
          <w:lang w:val="nl-NL"/>
        </w:rPr>
        <w:t>is ook mogelijk dat niet de VN V</w:t>
      </w:r>
      <w:r w:rsidRPr="009606D0">
        <w:rPr>
          <w:lang w:val="nl-NL"/>
        </w:rPr>
        <w:t>eiligheidsraad een tribunaal opzet</w:t>
      </w:r>
      <w:r w:rsidR="001746F2">
        <w:rPr>
          <w:lang w:val="nl-NL"/>
        </w:rPr>
        <w:t>,</w:t>
      </w:r>
      <w:r w:rsidRPr="009606D0">
        <w:rPr>
          <w:lang w:val="nl-NL"/>
        </w:rPr>
        <w:t xml:space="preserve"> maar</w:t>
      </w:r>
      <w:r w:rsidR="009606D0">
        <w:rPr>
          <w:lang w:val="nl-NL"/>
        </w:rPr>
        <w:t xml:space="preserve"> </w:t>
      </w:r>
      <w:r w:rsidR="001746F2">
        <w:rPr>
          <w:lang w:val="nl-NL"/>
        </w:rPr>
        <w:t xml:space="preserve">dat </w:t>
      </w:r>
      <w:r w:rsidR="009606D0">
        <w:rPr>
          <w:lang w:val="nl-NL"/>
        </w:rPr>
        <w:t xml:space="preserve">dit wordt opgezet door </w:t>
      </w:r>
      <w:r w:rsidRPr="009606D0">
        <w:rPr>
          <w:lang w:val="nl-NL"/>
        </w:rPr>
        <w:t>de Algemene Vergadering van de VN</w:t>
      </w:r>
      <w:r w:rsidR="004C544B">
        <w:rPr>
          <w:lang w:val="nl-NL"/>
        </w:rPr>
        <w:t xml:space="preserve"> (twee derde </w:t>
      </w:r>
      <w:r w:rsidR="00ED2703">
        <w:rPr>
          <w:lang w:val="nl-NL"/>
        </w:rPr>
        <w:t>stemmen van de leden</w:t>
      </w:r>
      <w:r w:rsidR="004C544B">
        <w:rPr>
          <w:lang w:val="nl-NL"/>
        </w:rPr>
        <w:t xml:space="preserve"> nodig) dan wel op grond van een specifiek ve</w:t>
      </w:r>
      <w:r w:rsidR="00ED2703">
        <w:rPr>
          <w:lang w:val="nl-NL"/>
        </w:rPr>
        <w:t>rdrag tussen een aantal (belanghebbende</w:t>
      </w:r>
      <w:r w:rsidR="004C544B">
        <w:rPr>
          <w:lang w:val="nl-NL"/>
        </w:rPr>
        <w:t>) staten</w:t>
      </w:r>
      <w:r w:rsidRPr="009606D0">
        <w:rPr>
          <w:lang w:val="nl-NL"/>
        </w:rPr>
        <w:t>.</w:t>
      </w:r>
      <w:r w:rsidR="009606D0">
        <w:rPr>
          <w:lang w:val="nl-NL"/>
        </w:rPr>
        <w:t xml:space="preserve"> Anders dan een tribunaal opgericht door middel van een Veiligheidsraadresolutie</w:t>
      </w:r>
      <w:r w:rsidRPr="009606D0" w:rsidR="00A22FE2">
        <w:rPr>
          <w:lang w:val="nl-NL"/>
        </w:rPr>
        <w:t xml:space="preserve"> </w:t>
      </w:r>
      <w:r w:rsidR="00ED2703">
        <w:rPr>
          <w:lang w:val="nl-NL"/>
        </w:rPr>
        <w:t>zouden</w:t>
      </w:r>
      <w:r w:rsidRPr="009606D0" w:rsidR="00A22FE2">
        <w:rPr>
          <w:lang w:val="nl-NL"/>
        </w:rPr>
        <w:t xml:space="preserve"> </w:t>
      </w:r>
      <w:r w:rsidR="004C544B">
        <w:rPr>
          <w:lang w:val="nl-NL"/>
        </w:rPr>
        <w:t xml:space="preserve">echter </w:t>
      </w:r>
      <w:r w:rsidR="00ED2703">
        <w:rPr>
          <w:lang w:val="nl-NL"/>
        </w:rPr>
        <w:t>een dergelijk</w:t>
      </w:r>
      <w:r w:rsidR="009606D0">
        <w:rPr>
          <w:lang w:val="nl-NL"/>
        </w:rPr>
        <w:t xml:space="preserve"> tribuna</w:t>
      </w:r>
      <w:r w:rsidR="00ED2703">
        <w:rPr>
          <w:lang w:val="nl-NL"/>
        </w:rPr>
        <w:t>a</w:t>
      </w:r>
      <w:r w:rsidR="004C544B">
        <w:rPr>
          <w:lang w:val="nl-NL"/>
        </w:rPr>
        <w:t>l</w:t>
      </w:r>
      <w:r w:rsidR="002E3BB8">
        <w:rPr>
          <w:lang w:val="nl-NL"/>
        </w:rPr>
        <w:t xml:space="preserve"> wel</w:t>
      </w:r>
      <w:r w:rsidR="009606D0">
        <w:rPr>
          <w:lang w:val="nl-NL"/>
        </w:rPr>
        <w:t xml:space="preserve"> de juridische grondslag </w:t>
      </w:r>
      <w:r w:rsidR="00ED2703">
        <w:rPr>
          <w:lang w:val="nl-NL"/>
        </w:rPr>
        <w:t xml:space="preserve">missen </w:t>
      </w:r>
      <w:r w:rsidR="009606D0">
        <w:rPr>
          <w:lang w:val="nl-NL"/>
        </w:rPr>
        <w:t>die maakt dat landen verplicht zijn tot</w:t>
      </w:r>
      <w:r w:rsidRPr="009606D0" w:rsidR="00A22FE2">
        <w:rPr>
          <w:lang w:val="nl-NL"/>
        </w:rPr>
        <w:t xml:space="preserve"> samenwerking</w:t>
      </w:r>
      <w:r w:rsidR="004C544B">
        <w:rPr>
          <w:lang w:val="nl-NL"/>
        </w:rPr>
        <w:t xml:space="preserve"> met</w:t>
      </w:r>
      <w:r w:rsidRPr="009606D0" w:rsidR="00A22FE2">
        <w:rPr>
          <w:lang w:val="nl-NL"/>
        </w:rPr>
        <w:t xml:space="preserve"> en uitlevering van verdachten</w:t>
      </w:r>
      <w:r w:rsidR="00172F99">
        <w:rPr>
          <w:lang w:val="nl-NL"/>
        </w:rPr>
        <w:t xml:space="preserve"> aan dit tribunaal</w:t>
      </w:r>
      <w:r w:rsidRPr="009606D0" w:rsidR="00A22FE2">
        <w:rPr>
          <w:lang w:val="nl-NL"/>
        </w:rPr>
        <w:t xml:space="preserve">. </w:t>
      </w:r>
    </w:p>
    <w:p w:rsidRPr="00067143" w:rsidR="004C7942" w:rsidP="00DA26B9" w:rsidRDefault="004C7942">
      <w:pPr>
        <w:jc w:val="both"/>
        <w:rPr>
          <w:lang w:val="nl-NL"/>
        </w:rPr>
      </w:pPr>
    </w:p>
    <w:p w:rsidRPr="00EE3747" w:rsidR="004C7942" w:rsidP="00DA26B9" w:rsidRDefault="00EE3747">
      <w:pPr>
        <w:pStyle w:val="Kop2"/>
        <w:numPr>
          <w:ilvl w:val="0"/>
          <w:numId w:val="1"/>
        </w:numPr>
        <w:jc w:val="both"/>
        <w:rPr>
          <w:lang w:val="nl-NL"/>
        </w:rPr>
      </w:pPr>
      <w:bookmarkStart w:name="_Toc441140002" w:id="3"/>
      <w:r w:rsidRPr="00EE3747">
        <w:rPr>
          <w:lang w:val="nl-NL"/>
        </w:rPr>
        <w:t>Internationaal Strafhof</w:t>
      </w:r>
      <w:bookmarkEnd w:id="3"/>
    </w:p>
    <w:p w:rsidR="00B64C7B" w:rsidP="00DA26B9" w:rsidRDefault="004C544B">
      <w:pPr>
        <w:jc w:val="both"/>
        <w:rPr>
          <w:lang w:val="nl-NL"/>
        </w:rPr>
      </w:pPr>
      <w:r>
        <w:rPr>
          <w:lang w:val="nl-NL"/>
        </w:rPr>
        <w:t>De mogelijkheid tot het inroepen van de jurisdictie van het</w:t>
      </w:r>
      <w:r w:rsidR="00EE3747">
        <w:rPr>
          <w:lang w:val="nl-NL"/>
        </w:rPr>
        <w:t xml:space="preserve"> Internationaal Strafhof</w:t>
      </w:r>
      <w:r>
        <w:rPr>
          <w:lang w:val="nl-NL"/>
        </w:rPr>
        <w:t xml:space="preserve"> lijk</w:t>
      </w:r>
      <w:r w:rsidR="00ED2703">
        <w:rPr>
          <w:lang w:val="nl-NL"/>
        </w:rPr>
        <w:t>t</w:t>
      </w:r>
      <w:r>
        <w:rPr>
          <w:lang w:val="nl-NL"/>
        </w:rPr>
        <w:t xml:space="preserve"> beperkt</w:t>
      </w:r>
      <w:r w:rsidR="00EE3747">
        <w:rPr>
          <w:lang w:val="nl-NL"/>
        </w:rPr>
        <w:t xml:space="preserve">. </w:t>
      </w:r>
      <w:r w:rsidRPr="00EE3747" w:rsidR="00EE3747">
        <w:rPr>
          <w:lang w:val="nl-NL"/>
        </w:rPr>
        <w:t xml:space="preserve">Tot op heden </w:t>
      </w:r>
      <w:r w:rsidR="00B64C7B">
        <w:rPr>
          <w:lang w:val="nl-NL"/>
        </w:rPr>
        <w:t>heeft</w:t>
      </w:r>
      <w:r w:rsidR="00EE3747">
        <w:rPr>
          <w:lang w:val="nl-NL"/>
        </w:rPr>
        <w:t xml:space="preserve"> </w:t>
      </w:r>
      <w:r w:rsidRPr="00EE3747" w:rsidR="00EE3747">
        <w:rPr>
          <w:lang w:val="nl-NL"/>
        </w:rPr>
        <w:t xml:space="preserve">Oekraïne </w:t>
      </w:r>
      <w:r w:rsidR="00D73C9B">
        <w:rPr>
          <w:lang w:val="nl-NL"/>
        </w:rPr>
        <w:t xml:space="preserve">het Statuut van Rome niet geratificeerd. Wel heeft Oekraïne op 17 April 2014 een verklaring krachtens artikel 12 </w:t>
      </w:r>
      <w:r w:rsidR="00544320">
        <w:rPr>
          <w:lang w:val="nl-NL"/>
        </w:rPr>
        <w:t xml:space="preserve">lid </w:t>
      </w:r>
      <w:r w:rsidR="00D73C9B">
        <w:rPr>
          <w:lang w:val="nl-NL"/>
        </w:rPr>
        <w:t xml:space="preserve">3 van het Statuut ondertekend die de aanklager van het Strafhof de bevoegdheid geeft om </w:t>
      </w:r>
      <w:r w:rsidR="00B64C7B">
        <w:rPr>
          <w:lang w:val="nl-NL"/>
        </w:rPr>
        <w:t xml:space="preserve">internationale misdrijven </w:t>
      </w:r>
      <w:r w:rsidR="001746F2">
        <w:rPr>
          <w:lang w:val="nl-NL"/>
        </w:rPr>
        <w:t>in</w:t>
      </w:r>
      <w:r w:rsidR="00B64C7B">
        <w:rPr>
          <w:lang w:val="nl-NL"/>
        </w:rPr>
        <w:t xml:space="preserve"> de periode </w:t>
      </w:r>
      <w:r w:rsidR="00295384">
        <w:rPr>
          <w:lang w:val="nl-NL"/>
        </w:rPr>
        <w:t xml:space="preserve">van 21 november 2013 tot 22 februari 2014 </w:t>
      </w:r>
      <w:r w:rsidR="00B64C7B">
        <w:rPr>
          <w:lang w:val="nl-NL"/>
        </w:rPr>
        <w:t>gepleegd</w:t>
      </w:r>
      <w:r w:rsidR="00D73C9B">
        <w:rPr>
          <w:lang w:val="nl-NL"/>
        </w:rPr>
        <w:t xml:space="preserve"> op </w:t>
      </w:r>
      <w:r w:rsidR="002E3BB8">
        <w:rPr>
          <w:lang w:val="nl-NL"/>
        </w:rPr>
        <w:t>het</w:t>
      </w:r>
      <w:r w:rsidR="00D73C9B">
        <w:rPr>
          <w:lang w:val="nl-NL"/>
        </w:rPr>
        <w:t xml:space="preserve"> grondgebied </w:t>
      </w:r>
      <w:r w:rsidR="002E3BB8">
        <w:rPr>
          <w:lang w:val="nl-NL"/>
        </w:rPr>
        <w:t xml:space="preserve">van Oekraïne </w:t>
      </w:r>
      <w:r w:rsidR="00D73C9B">
        <w:rPr>
          <w:lang w:val="nl-NL"/>
        </w:rPr>
        <w:t xml:space="preserve">te onderzoeken. </w:t>
      </w:r>
      <w:r w:rsidR="00F33915">
        <w:rPr>
          <w:lang w:val="nl-NL"/>
        </w:rPr>
        <w:t>Een vergelijkbare verklaring heeft Oekraïne nogmaal</w:t>
      </w:r>
      <w:r w:rsidR="002E3BB8">
        <w:rPr>
          <w:lang w:val="nl-NL"/>
        </w:rPr>
        <w:t>s afgelegd op 8 September 2015 waarbij deze bevoegdheid werd uitgebreid voor de</w:t>
      </w:r>
      <w:r w:rsidR="00F33915">
        <w:rPr>
          <w:lang w:val="nl-NL"/>
        </w:rPr>
        <w:t xml:space="preserve"> periode na 20 februari 2014.</w:t>
      </w:r>
    </w:p>
    <w:p w:rsidRPr="00EE3747" w:rsidR="00D73C9B" w:rsidP="00DA26B9" w:rsidRDefault="00B64C7B">
      <w:pPr>
        <w:jc w:val="both"/>
        <w:rPr>
          <w:lang w:val="nl-NL"/>
        </w:rPr>
      </w:pPr>
      <w:r>
        <w:rPr>
          <w:lang w:val="nl-NL"/>
        </w:rPr>
        <w:t>Een situatie kan ook via de VN Veiligheidsraad</w:t>
      </w:r>
      <w:r w:rsidR="00D73C9B">
        <w:rPr>
          <w:lang w:val="nl-NL"/>
        </w:rPr>
        <w:t xml:space="preserve"> </w:t>
      </w:r>
      <w:r>
        <w:rPr>
          <w:lang w:val="nl-NL"/>
        </w:rPr>
        <w:t xml:space="preserve">aan het Strafhof worden voorgelegd. In </w:t>
      </w:r>
      <w:r w:rsidR="001746F2">
        <w:rPr>
          <w:lang w:val="nl-NL"/>
        </w:rPr>
        <w:t>dat</w:t>
      </w:r>
      <w:r>
        <w:rPr>
          <w:lang w:val="nl-NL"/>
        </w:rPr>
        <w:t xml:space="preserve"> geval zou dan </w:t>
      </w:r>
      <w:r w:rsidR="00D73C9B">
        <w:rPr>
          <w:lang w:val="nl-NL"/>
        </w:rPr>
        <w:t xml:space="preserve">de VN Veiligheidsraad </w:t>
      </w:r>
      <w:r w:rsidR="00844204">
        <w:rPr>
          <w:lang w:val="nl-NL"/>
        </w:rPr>
        <w:t>de situatie in Oekraïne</w:t>
      </w:r>
      <w:r w:rsidR="00E80912">
        <w:rPr>
          <w:lang w:val="nl-NL"/>
        </w:rPr>
        <w:t xml:space="preserve"> naar het Strafhof </w:t>
      </w:r>
      <w:r w:rsidR="002E3BB8">
        <w:rPr>
          <w:lang w:val="nl-NL"/>
        </w:rPr>
        <w:t>kunnen</w:t>
      </w:r>
      <w:r>
        <w:rPr>
          <w:lang w:val="nl-NL"/>
        </w:rPr>
        <w:t xml:space="preserve"> </w:t>
      </w:r>
      <w:r w:rsidR="00E80912">
        <w:rPr>
          <w:lang w:val="nl-NL"/>
        </w:rPr>
        <w:t>verwij</w:t>
      </w:r>
      <w:r>
        <w:rPr>
          <w:lang w:val="nl-NL"/>
        </w:rPr>
        <w:t>zen</w:t>
      </w:r>
      <w:r w:rsidR="00E80912">
        <w:rPr>
          <w:lang w:val="nl-NL"/>
        </w:rPr>
        <w:t xml:space="preserve">. </w:t>
      </w:r>
      <w:r w:rsidR="002E3BB8">
        <w:rPr>
          <w:lang w:val="nl-NL"/>
        </w:rPr>
        <w:t>In</w:t>
      </w:r>
      <w:r w:rsidR="00E80912">
        <w:rPr>
          <w:lang w:val="nl-NL"/>
        </w:rPr>
        <w:t xml:space="preserve"> deze constructie is </w:t>
      </w:r>
      <w:r w:rsidR="00844204">
        <w:rPr>
          <w:lang w:val="nl-NL"/>
        </w:rPr>
        <w:t xml:space="preserve">echter de kans groot dat Rusland ook in dit geval gebruik zal maken van </w:t>
      </w:r>
      <w:r w:rsidR="002E3BB8">
        <w:rPr>
          <w:lang w:val="nl-NL"/>
        </w:rPr>
        <w:t>haar</w:t>
      </w:r>
      <w:r w:rsidR="00844204">
        <w:rPr>
          <w:lang w:val="nl-NL"/>
        </w:rPr>
        <w:t xml:space="preserve"> vetorecht. </w:t>
      </w:r>
    </w:p>
    <w:p w:rsidR="003D0E31" w:rsidP="00DA26B9" w:rsidRDefault="00295384">
      <w:pPr>
        <w:jc w:val="both"/>
        <w:rPr>
          <w:lang w:val="nl-NL"/>
        </w:rPr>
      </w:pPr>
      <w:r>
        <w:rPr>
          <w:lang w:val="nl-NL"/>
        </w:rPr>
        <w:lastRenderedPageBreak/>
        <w:t xml:space="preserve">De aanklager van het </w:t>
      </w:r>
      <w:r w:rsidR="00F66AB7">
        <w:rPr>
          <w:lang w:val="nl-NL"/>
        </w:rPr>
        <w:t>Strafhof kan echter</w:t>
      </w:r>
      <w:r w:rsidR="002E3BB8">
        <w:rPr>
          <w:lang w:val="nl-NL"/>
        </w:rPr>
        <w:t xml:space="preserve"> in relatie tot de MH17</w:t>
      </w:r>
      <w:r w:rsidR="00F66AB7">
        <w:rPr>
          <w:lang w:val="nl-NL"/>
        </w:rPr>
        <w:t xml:space="preserve"> alleen e</w:t>
      </w:r>
      <w:r>
        <w:rPr>
          <w:lang w:val="nl-NL"/>
        </w:rPr>
        <w:t xml:space="preserve">en </w:t>
      </w:r>
      <w:r w:rsidR="002E3BB8">
        <w:rPr>
          <w:lang w:val="nl-NL"/>
        </w:rPr>
        <w:t>“</w:t>
      </w:r>
      <w:r>
        <w:rPr>
          <w:lang w:val="nl-NL"/>
        </w:rPr>
        <w:t>situatie</w:t>
      </w:r>
      <w:r w:rsidR="002E3BB8">
        <w:rPr>
          <w:lang w:val="nl-NL"/>
        </w:rPr>
        <w:t>”</w:t>
      </w:r>
      <w:r>
        <w:rPr>
          <w:lang w:val="nl-NL"/>
        </w:rPr>
        <w:t xml:space="preserve"> onderzoeken </w:t>
      </w:r>
      <w:r w:rsidR="002E3BB8">
        <w:rPr>
          <w:lang w:val="nl-NL"/>
        </w:rPr>
        <w:t xml:space="preserve">indien men het neerhalen van de MH17 zou </w:t>
      </w:r>
      <w:r w:rsidR="0079138E">
        <w:rPr>
          <w:lang w:val="nl-NL"/>
        </w:rPr>
        <w:t xml:space="preserve">kunnen </w:t>
      </w:r>
      <w:r w:rsidR="002E3BB8">
        <w:rPr>
          <w:lang w:val="nl-NL"/>
        </w:rPr>
        <w:t xml:space="preserve">kwalificeren als </w:t>
      </w:r>
      <w:r>
        <w:rPr>
          <w:lang w:val="nl-NL"/>
        </w:rPr>
        <w:t>een oorlogsmisdrijf</w:t>
      </w:r>
      <w:r w:rsidR="00F66AB7">
        <w:rPr>
          <w:lang w:val="nl-NL"/>
        </w:rPr>
        <w:t>.</w:t>
      </w:r>
      <w:r>
        <w:rPr>
          <w:lang w:val="nl-NL"/>
        </w:rPr>
        <w:t xml:space="preserve"> H</w:t>
      </w:r>
      <w:r w:rsidR="00F66AB7">
        <w:rPr>
          <w:lang w:val="nl-NL"/>
        </w:rPr>
        <w:t xml:space="preserve">et neerhalen van een passagiersvliegtuig is echter niet zonder meer een oorlogsmisdrijf. Volgens </w:t>
      </w:r>
      <w:r w:rsidR="00D705DF">
        <w:rPr>
          <w:lang w:val="nl-NL"/>
        </w:rPr>
        <w:t xml:space="preserve">het Statuut van het Strafhof is een enkel incident </w:t>
      </w:r>
      <w:r w:rsidR="002E3BB8">
        <w:rPr>
          <w:lang w:val="nl-NL"/>
        </w:rPr>
        <w:t xml:space="preserve">tijdens een internationaal of intern gewapend conflict </w:t>
      </w:r>
      <w:r w:rsidR="00D705DF">
        <w:rPr>
          <w:lang w:val="nl-NL"/>
        </w:rPr>
        <w:t xml:space="preserve">nog geen oorlogsmisdrijf. Het Statuut gaat ervan uit dat een dergelijk misdrijf onderdeel dient te zijn van een “plan or policy” of deel van een “large </w:t>
      </w:r>
      <w:proofErr w:type="spellStart"/>
      <w:r w:rsidR="00D705DF">
        <w:rPr>
          <w:lang w:val="nl-NL"/>
        </w:rPr>
        <w:t>scale</w:t>
      </w:r>
      <w:proofErr w:type="spellEnd"/>
      <w:r w:rsidR="00D705DF">
        <w:rPr>
          <w:lang w:val="nl-NL"/>
        </w:rPr>
        <w:t>” (</w:t>
      </w:r>
      <w:r w:rsidR="00076AD9">
        <w:rPr>
          <w:lang w:val="nl-NL"/>
        </w:rPr>
        <w:t xml:space="preserve">aan </w:t>
      </w:r>
      <w:r w:rsidR="00D705DF">
        <w:rPr>
          <w:lang w:val="nl-NL"/>
        </w:rPr>
        <w:t xml:space="preserve">oorlogsmisdrijven) dient </w:t>
      </w:r>
      <w:r w:rsidR="001746F2">
        <w:rPr>
          <w:lang w:val="nl-NL"/>
        </w:rPr>
        <w:t xml:space="preserve">te </w:t>
      </w:r>
      <w:r w:rsidR="00D705DF">
        <w:rPr>
          <w:lang w:val="nl-NL"/>
        </w:rPr>
        <w:t>zijn.</w:t>
      </w:r>
    </w:p>
    <w:p w:rsidR="00D705DF" w:rsidP="00DA26B9" w:rsidRDefault="00D705DF">
      <w:pPr>
        <w:jc w:val="both"/>
        <w:rPr>
          <w:lang w:val="nl-NL"/>
        </w:rPr>
      </w:pPr>
      <w:r>
        <w:rPr>
          <w:lang w:val="nl-NL"/>
        </w:rPr>
        <w:t xml:space="preserve">Dit laatste vereiste kan bewijsrechtelijk problematisch zijn. </w:t>
      </w:r>
      <w:r w:rsidR="00076AD9">
        <w:rPr>
          <w:lang w:val="nl-NL"/>
        </w:rPr>
        <w:t>Betoogd kan worden dat het eenmalig</w:t>
      </w:r>
      <w:r>
        <w:rPr>
          <w:lang w:val="nl-NL"/>
        </w:rPr>
        <w:t xml:space="preserve"> neerhalen van </w:t>
      </w:r>
      <w:r w:rsidR="001746F2">
        <w:rPr>
          <w:lang w:val="nl-NL"/>
        </w:rPr>
        <w:t>een</w:t>
      </w:r>
      <w:r>
        <w:rPr>
          <w:lang w:val="nl-NL"/>
        </w:rPr>
        <w:t xml:space="preserve"> passagiersvliegtuig eerder </w:t>
      </w:r>
      <w:r w:rsidR="00076AD9">
        <w:rPr>
          <w:lang w:val="nl-NL"/>
        </w:rPr>
        <w:t xml:space="preserve">als </w:t>
      </w:r>
      <w:r>
        <w:rPr>
          <w:lang w:val="nl-NL"/>
        </w:rPr>
        <w:t xml:space="preserve">een </w:t>
      </w:r>
      <w:r w:rsidR="00076AD9">
        <w:rPr>
          <w:lang w:val="nl-NL"/>
        </w:rPr>
        <w:t xml:space="preserve">losstaand </w:t>
      </w:r>
      <w:r>
        <w:rPr>
          <w:lang w:val="nl-NL"/>
        </w:rPr>
        <w:t>incident</w:t>
      </w:r>
      <w:r w:rsidR="00076AD9">
        <w:rPr>
          <w:lang w:val="nl-NL"/>
        </w:rPr>
        <w:t xml:space="preserve"> kan worden gezien</w:t>
      </w:r>
      <w:r>
        <w:rPr>
          <w:lang w:val="nl-NL"/>
        </w:rPr>
        <w:t xml:space="preserve"> </w:t>
      </w:r>
      <w:r w:rsidR="001746F2">
        <w:rPr>
          <w:lang w:val="nl-NL"/>
        </w:rPr>
        <w:t>als</w:t>
      </w:r>
      <w:r>
        <w:rPr>
          <w:lang w:val="nl-NL"/>
        </w:rPr>
        <w:t xml:space="preserve"> </w:t>
      </w:r>
      <w:r w:rsidR="00076AD9">
        <w:rPr>
          <w:lang w:val="nl-NL"/>
        </w:rPr>
        <w:t xml:space="preserve">onderdeel van een </w:t>
      </w:r>
      <w:r>
        <w:rPr>
          <w:lang w:val="nl-NL"/>
        </w:rPr>
        <w:t xml:space="preserve">plan of een beleid. Het is pas mogelijk om hier inhoudelijk meer over te zeggen als hierover meer bewijs </w:t>
      </w:r>
      <w:r w:rsidR="00076AD9">
        <w:rPr>
          <w:lang w:val="nl-NL"/>
        </w:rPr>
        <w:t>beschikbaar is</w:t>
      </w:r>
      <w:r>
        <w:rPr>
          <w:lang w:val="nl-NL"/>
        </w:rPr>
        <w:t>.</w:t>
      </w:r>
      <w:r w:rsidR="00295384">
        <w:rPr>
          <w:lang w:val="nl-NL"/>
        </w:rPr>
        <w:t xml:space="preserve"> Daarnaast is het Strafhof gebonden aan het principe van “</w:t>
      </w:r>
      <w:proofErr w:type="spellStart"/>
      <w:r w:rsidR="00295384">
        <w:rPr>
          <w:lang w:val="nl-NL"/>
        </w:rPr>
        <w:t>complementarity</w:t>
      </w:r>
      <w:proofErr w:type="spellEnd"/>
      <w:r w:rsidR="00295384">
        <w:rPr>
          <w:lang w:val="nl-NL"/>
        </w:rPr>
        <w:t xml:space="preserve">” en zal </w:t>
      </w:r>
      <w:r w:rsidR="00434C45">
        <w:rPr>
          <w:lang w:val="nl-NL"/>
        </w:rPr>
        <w:t xml:space="preserve">de aanklager geen onderzoek instellen indien Oekraïne zelf het neerhalen van de MH17 </w:t>
      </w:r>
      <w:r w:rsidR="00076AD9">
        <w:rPr>
          <w:lang w:val="nl-NL"/>
        </w:rPr>
        <w:t>kan</w:t>
      </w:r>
      <w:r w:rsidR="00434C45">
        <w:rPr>
          <w:lang w:val="nl-NL"/>
        </w:rPr>
        <w:t xml:space="preserve"> onderzoeken</w:t>
      </w:r>
      <w:r w:rsidR="00076AD9">
        <w:rPr>
          <w:lang w:val="nl-NL"/>
        </w:rPr>
        <w:t xml:space="preserve"> of vervolgen</w:t>
      </w:r>
      <w:r w:rsidR="00434C45">
        <w:rPr>
          <w:lang w:val="nl-NL"/>
        </w:rPr>
        <w:t xml:space="preserve">. </w:t>
      </w:r>
    </w:p>
    <w:p w:rsidR="00F66AB7" w:rsidP="00DA26B9" w:rsidRDefault="00F66AB7">
      <w:pPr>
        <w:jc w:val="both"/>
        <w:rPr>
          <w:lang w:val="nl-NL"/>
        </w:rPr>
      </w:pPr>
    </w:p>
    <w:p w:rsidR="00544320" w:rsidP="00DA26B9" w:rsidRDefault="00544320">
      <w:pPr>
        <w:pStyle w:val="Kop2"/>
        <w:numPr>
          <w:ilvl w:val="0"/>
          <w:numId w:val="1"/>
        </w:numPr>
        <w:jc w:val="both"/>
        <w:rPr>
          <w:lang w:val="nl-NL"/>
        </w:rPr>
      </w:pPr>
      <w:bookmarkStart w:name="_Toc441140003" w:id="4"/>
      <w:r>
        <w:rPr>
          <w:lang w:val="nl-NL"/>
        </w:rPr>
        <w:t>Internationaal Gerechtshof</w:t>
      </w:r>
      <w:bookmarkEnd w:id="4"/>
    </w:p>
    <w:p w:rsidRPr="00820563" w:rsidR="00820563" w:rsidP="00DA26B9" w:rsidRDefault="0043558E">
      <w:pPr>
        <w:jc w:val="both"/>
        <w:rPr>
          <w:lang w:val="nl-NL"/>
        </w:rPr>
      </w:pPr>
      <w:r>
        <w:rPr>
          <w:lang w:val="nl-NL"/>
        </w:rPr>
        <w:t>Indien het gaat om staatsaansprakelijkheid is</w:t>
      </w:r>
      <w:r w:rsidR="001746F2">
        <w:rPr>
          <w:lang w:val="nl-NL"/>
        </w:rPr>
        <w:t xml:space="preserve"> het</w:t>
      </w:r>
      <w:r>
        <w:rPr>
          <w:lang w:val="nl-NL"/>
        </w:rPr>
        <w:t xml:space="preserve"> de vraag of </w:t>
      </w:r>
      <w:r w:rsidR="00F26FB4">
        <w:rPr>
          <w:lang w:val="nl-NL"/>
        </w:rPr>
        <w:t xml:space="preserve">Nederland een zaak aanhangig </w:t>
      </w:r>
      <w:r w:rsidR="0079138E">
        <w:rPr>
          <w:lang w:val="nl-NL"/>
        </w:rPr>
        <w:t xml:space="preserve">zou kunnen </w:t>
      </w:r>
      <w:r w:rsidR="00F26FB4">
        <w:rPr>
          <w:lang w:val="nl-NL"/>
        </w:rPr>
        <w:t xml:space="preserve">maken bij het Internationaal Gerechtshof tegen een andere staat. </w:t>
      </w:r>
      <w:r w:rsidR="0079138E">
        <w:rPr>
          <w:lang w:val="nl-NL"/>
        </w:rPr>
        <w:t xml:space="preserve">Ook hier gaat het om slechts theoretische opties omdat er nog geen </w:t>
      </w:r>
      <w:r w:rsidR="00ED2703">
        <w:rPr>
          <w:lang w:val="nl-NL"/>
        </w:rPr>
        <w:t xml:space="preserve">concrete </w:t>
      </w:r>
      <w:r w:rsidR="0079138E">
        <w:rPr>
          <w:lang w:val="nl-NL"/>
        </w:rPr>
        <w:t xml:space="preserve">onderzoeksgegevens bekend zijn die in deze richting wijzen. </w:t>
      </w:r>
      <w:r w:rsidR="00820563">
        <w:rPr>
          <w:lang w:val="nl-NL"/>
        </w:rPr>
        <w:t>Het moet volgens artikel 36 lid 2 sub c van het Statuut van het Internationaal Gerechtshof dan wel gaan om “</w:t>
      </w:r>
      <w:r w:rsidRPr="00820563" w:rsidR="00820563">
        <w:rPr>
          <w:lang w:val="nl-NL"/>
        </w:rPr>
        <w:t xml:space="preserve">the </w:t>
      </w:r>
      <w:proofErr w:type="spellStart"/>
      <w:r w:rsidRPr="00820563" w:rsidR="00820563">
        <w:rPr>
          <w:lang w:val="nl-NL"/>
        </w:rPr>
        <w:t>existence</w:t>
      </w:r>
      <w:proofErr w:type="spellEnd"/>
      <w:r w:rsidRPr="00820563" w:rsidR="00820563">
        <w:rPr>
          <w:lang w:val="nl-NL"/>
        </w:rPr>
        <w:t xml:space="preserve"> of </w:t>
      </w:r>
      <w:proofErr w:type="spellStart"/>
      <w:r w:rsidRPr="00820563" w:rsidR="00820563">
        <w:rPr>
          <w:lang w:val="nl-NL"/>
        </w:rPr>
        <w:t>any</w:t>
      </w:r>
      <w:proofErr w:type="spellEnd"/>
      <w:r w:rsidRPr="00820563" w:rsidR="00820563">
        <w:rPr>
          <w:lang w:val="nl-NL"/>
        </w:rPr>
        <w:t xml:space="preserve"> </w:t>
      </w:r>
      <w:proofErr w:type="spellStart"/>
      <w:r w:rsidRPr="00820563" w:rsidR="00820563">
        <w:rPr>
          <w:lang w:val="nl-NL"/>
        </w:rPr>
        <w:t>fact</w:t>
      </w:r>
      <w:proofErr w:type="spellEnd"/>
      <w:r w:rsidRPr="00820563" w:rsidR="00820563">
        <w:rPr>
          <w:lang w:val="nl-NL"/>
        </w:rPr>
        <w:t xml:space="preserve"> </w:t>
      </w:r>
      <w:proofErr w:type="spellStart"/>
      <w:r w:rsidRPr="00820563" w:rsidR="00820563">
        <w:rPr>
          <w:lang w:val="nl-NL"/>
        </w:rPr>
        <w:t>which</w:t>
      </w:r>
      <w:proofErr w:type="spellEnd"/>
      <w:r w:rsidRPr="00820563" w:rsidR="00820563">
        <w:rPr>
          <w:lang w:val="nl-NL"/>
        </w:rPr>
        <w:t xml:space="preserve">, </w:t>
      </w:r>
      <w:proofErr w:type="spellStart"/>
      <w:r w:rsidRPr="00820563" w:rsidR="00820563">
        <w:rPr>
          <w:lang w:val="nl-NL"/>
        </w:rPr>
        <w:t>if</w:t>
      </w:r>
      <w:proofErr w:type="spellEnd"/>
      <w:r w:rsidRPr="00820563" w:rsidR="00820563">
        <w:rPr>
          <w:lang w:val="nl-NL"/>
        </w:rPr>
        <w:t xml:space="preserve"> </w:t>
      </w:r>
      <w:proofErr w:type="spellStart"/>
      <w:r w:rsidRPr="00820563" w:rsidR="00820563">
        <w:rPr>
          <w:lang w:val="nl-NL"/>
        </w:rPr>
        <w:t>established</w:t>
      </w:r>
      <w:proofErr w:type="spellEnd"/>
      <w:r w:rsidRPr="00820563" w:rsidR="00820563">
        <w:rPr>
          <w:lang w:val="nl-NL"/>
        </w:rPr>
        <w:t xml:space="preserve">, </w:t>
      </w:r>
      <w:proofErr w:type="spellStart"/>
      <w:r w:rsidRPr="00820563" w:rsidR="00820563">
        <w:rPr>
          <w:lang w:val="nl-NL"/>
        </w:rPr>
        <w:t>would</w:t>
      </w:r>
      <w:proofErr w:type="spellEnd"/>
      <w:r w:rsidRPr="00820563" w:rsidR="00820563">
        <w:rPr>
          <w:lang w:val="nl-NL"/>
        </w:rPr>
        <w:t xml:space="preserve"> </w:t>
      </w:r>
      <w:proofErr w:type="spellStart"/>
      <w:r w:rsidRPr="00820563" w:rsidR="00820563">
        <w:rPr>
          <w:lang w:val="nl-NL"/>
        </w:rPr>
        <w:t>constitute</w:t>
      </w:r>
      <w:proofErr w:type="spellEnd"/>
      <w:r w:rsidRPr="00820563" w:rsidR="00820563">
        <w:rPr>
          <w:lang w:val="nl-NL"/>
        </w:rPr>
        <w:t xml:space="preserve"> a </w:t>
      </w:r>
      <w:proofErr w:type="spellStart"/>
      <w:r w:rsidRPr="00820563" w:rsidR="00820563">
        <w:rPr>
          <w:lang w:val="nl-NL"/>
        </w:rPr>
        <w:t>breach</w:t>
      </w:r>
      <w:proofErr w:type="spellEnd"/>
      <w:r w:rsidRPr="00820563" w:rsidR="00820563">
        <w:rPr>
          <w:lang w:val="nl-NL"/>
        </w:rPr>
        <w:t xml:space="preserve"> of </w:t>
      </w:r>
      <w:proofErr w:type="spellStart"/>
      <w:r w:rsidRPr="00820563" w:rsidR="00820563">
        <w:rPr>
          <w:lang w:val="nl-NL"/>
        </w:rPr>
        <w:t>an</w:t>
      </w:r>
      <w:proofErr w:type="spellEnd"/>
      <w:r w:rsidRPr="00820563" w:rsidR="00820563">
        <w:rPr>
          <w:lang w:val="nl-NL"/>
        </w:rPr>
        <w:t xml:space="preserve"> </w:t>
      </w:r>
      <w:proofErr w:type="spellStart"/>
      <w:r w:rsidRPr="00820563" w:rsidR="00820563">
        <w:rPr>
          <w:lang w:val="nl-NL"/>
        </w:rPr>
        <w:t>international</w:t>
      </w:r>
      <w:proofErr w:type="spellEnd"/>
      <w:r w:rsidRPr="00820563" w:rsidR="00820563">
        <w:rPr>
          <w:lang w:val="nl-NL"/>
        </w:rPr>
        <w:t xml:space="preserve"> </w:t>
      </w:r>
      <w:proofErr w:type="spellStart"/>
      <w:r w:rsidRPr="00820563" w:rsidR="00820563">
        <w:rPr>
          <w:lang w:val="nl-NL"/>
        </w:rPr>
        <w:t>obligation</w:t>
      </w:r>
      <w:proofErr w:type="spellEnd"/>
      <w:r w:rsidR="00820563">
        <w:rPr>
          <w:lang w:val="nl-NL"/>
        </w:rPr>
        <w:t xml:space="preserve">”. </w:t>
      </w:r>
      <w:r w:rsidR="00ED2703">
        <w:rPr>
          <w:lang w:val="nl-NL"/>
        </w:rPr>
        <w:t xml:space="preserve">De vraag is of deze kwalificatie (te zijner tijd) aangetoond kan worden ten aanzien van de MH17. </w:t>
      </w:r>
    </w:p>
    <w:p w:rsidR="00544320" w:rsidP="00DA26B9" w:rsidRDefault="00ED2703">
      <w:pPr>
        <w:jc w:val="both"/>
        <w:rPr>
          <w:lang w:val="nl-NL"/>
        </w:rPr>
      </w:pPr>
      <w:r>
        <w:rPr>
          <w:lang w:val="nl-NL"/>
        </w:rPr>
        <w:t xml:space="preserve">Gesteld dat dit het geval zou zijn, zou </w:t>
      </w:r>
      <w:r w:rsidR="00477596">
        <w:rPr>
          <w:lang w:val="nl-NL"/>
        </w:rPr>
        <w:t>Nederland bijvoorbeeld een aanklacht</w:t>
      </w:r>
      <w:r>
        <w:rPr>
          <w:lang w:val="nl-NL"/>
        </w:rPr>
        <w:t xml:space="preserve"> kunnen</w:t>
      </w:r>
      <w:r w:rsidR="00477596">
        <w:rPr>
          <w:lang w:val="nl-NL"/>
        </w:rPr>
        <w:t xml:space="preserve"> indienen tegen Oekraïne wegens het niet voorkomen dat de MH17 </w:t>
      </w:r>
      <w:r w:rsidR="001746F2">
        <w:rPr>
          <w:lang w:val="nl-NL"/>
        </w:rPr>
        <w:t>werd</w:t>
      </w:r>
      <w:r w:rsidR="00477596">
        <w:rPr>
          <w:lang w:val="nl-NL"/>
        </w:rPr>
        <w:t xml:space="preserve"> neergehaald in </w:t>
      </w:r>
      <w:r w:rsidR="001746F2">
        <w:rPr>
          <w:lang w:val="nl-NL"/>
        </w:rPr>
        <w:t>haar</w:t>
      </w:r>
      <w:r w:rsidR="00477596">
        <w:rPr>
          <w:lang w:val="nl-NL"/>
        </w:rPr>
        <w:t xml:space="preserve"> luchtruim. Dit is enkel mogelijk indien er kan worden aangetoond dat Oekraïne “rechtstreekse verantwoordelijkheid” </w:t>
      </w:r>
      <w:r>
        <w:rPr>
          <w:lang w:val="nl-NL"/>
        </w:rPr>
        <w:t xml:space="preserve">zou dragen </w:t>
      </w:r>
      <w:r w:rsidR="004B0D50">
        <w:rPr>
          <w:lang w:val="nl-NL"/>
        </w:rPr>
        <w:t xml:space="preserve">voor het neerhalen van de MH17 en dat </w:t>
      </w:r>
      <w:r w:rsidR="00C11A59">
        <w:rPr>
          <w:lang w:val="nl-NL"/>
        </w:rPr>
        <w:t>Oekraïne</w:t>
      </w:r>
      <w:r w:rsidR="004B0D50">
        <w:rPr>
          <w:lang w:val="nl-NL"/>
        </w:rPr>
        <w:t xml:space="preserve"> </w:t>
      </w:r>
      <w:r w:rsidR="00391446">
        <w:rPr>
          <w:lang w:val="nl-NL"/>
        </w:rPr>
        <w:t xml:space="preserve">dit </w:t>
      </w:r>
      <w:r w:rsidR="004B0D50">
        <w:rPr>
          <w:lang w:val="nl-NL"/>
        </w:rPr>
        <w:t xml:space="preserve">risico </w:t>
      </w:r>
      <w:r w:rsidR="00C11A59">
        <w:rPr>
          <w:lang w:val="nl-NL"/>
        </w:rPr>
        <w:t xml:space="preserve">had kunnen </w:t>
      </w:r>
      <w:r w:rsidR="00391446">
        <w:rPr>
          <w:lang w:val="nl-NL"/>
        </w:rPr>
        <w:t xml:space="preserve">of moeten </w:t>
      </w:r>
      <w:r w:rsidR="00C11A59">
        <w:rPr>
          <w:lang w:val="nl-NL"/>
        </w:rPr>
        <w:t xml:space="preserve">voorzien. Oekraïne had rond de periode </w:t>
      </w:r>
      <w:r w:rsidR="00D50C76">
        <w:rPr>
          <w:lang w:val="nl-NL"/>
        </w:rPr>
        <w:t xml:space="preserve">van de ramp </w:t>
      </w:r>
      <w:r w:rsidR="00C11A59">
        <w:rPr>
          <w:lang w:val="nl-NL"/>
        </w:rPr>
        <w:t>al zijn luchtruim tot 32.000 voet gesloten</w:t>
      </w:r>
      <w:r w:rsidR="00391446">
        <w:rPr>
          <w:lang w:val="nl-NL"/>
        </w:rPr>
        <w:t xml:space="preserve"> in verband met het conflict</w:t>
      </w:r>
      <w:r w:rsidR="00C11A59">
        <w:rPr>
          <w:lang w:val="nl-NL"/>
        </w:rPr>
        <w:t>.</w:t>
      </w:r>
    </w:p>
    <w:p w:rsidR="00C11A59" w:rsidP="00DA26B9" w:rsidRDefault="00C11A59">
      <w:pPr>
        <w:jc w:val="both"/>
        <w:rPr>
          <w:lang w:val="nl-NL"/>
        </w:rPr>
      </w:pPr>
      <w:r>
        <w:rPr>
          <w:lang w:val="nl-NL"/>
        </w:rPr>
        <w:t>Mogelijkerwijs kan Nederland</w:t>
      </w:r>
      <w:r w:rsidR="00ED2703">
        <w:rPr>
          <w:lang w:val="nl-NL"/>
        </w:rPr>
        <w:t xml:space="preserve"> in deze constellatie (i.e. artikel 36 lid 2 sub c Statuut van het Internationaal Gerechtshof) dan </w:t>
      </w:r>
      <w:r>
        <w:rPr>
          <w:lang w:val="nl-NL"/>
        </w:rPr>
        <w:t>een zaak aanhangig maken tegen Rusland</w:t>
      </w:r>
      <w:r w:rsidR="0043558E">
        <w:rPr>
          <w:lang w:val="nl-NL"/>
        </w:rPr>
        <w:t xml:space="preserve"> voor het, indien dit </w:t>
      </w:r>
      <w:r w:rsidR="00391446">
        <w:rPr>
          <w:lang w:val="nl-NL"/>
        </w:rPr>
        <w:t xml:space="preserve">rechtens </w:t>
      </w:r>
      <w:r w:rsidR="0043558E">
        <w:rPr>
          <w:lang w:val="nl-NL"/>
        </w:rPr>
        <w:t xml:space="preserve">zou </w:t>
      </w:r>
      <w:r w:rsidR="00391446">
        <w:rPr>
          <w:lang w:val="nl-NL"/>
        </w:rPr>
        <w:t xml:space="preserve">kunnen </w:t>
      </w:r>
      <w:r w:rsidR="0043558E">
        <w:rPr>
          <w:lang w:val="nl-NL"/>
        </w:rPr>
        <w:t xml:space="preserve">worden aangetoond, </w:t>
      </w:r>
      <w:r w:rsidR="00ED2703">
        <w:rPr>
          <w:lang w:val="nl-NL"/>
        </w:rPr>
        <w:t>“faciliteren”</w:t>
      </w:r>
      <w:r>
        <w:rPr>
          <w:lang w:val="nl-NL"/>
        </w:rPr>
        <w:t xml:space="preserve"> </w:t>
      </w:r>
      <w:r w:rsidR="0043558E">
        <w:rPr>
          <w:lang w:val="nl-NL"/>
        </w:rPr>
        <w:t xml:space="preserve">van </w:t>
      </w:r>
      <w:r w:rsidR="00ED238D">
        <w:rPr>
          <w:lang w:val="nl-NL"/>
        </w:rPr>
        <w:t xml:space="preserve">het neerhalen van de MH17. Hierbij </w:t>
      </w:r>
      <w:r w:rsidR="00391446">
        <w:rPr>
          <w:lang w:val="nl-NL"/>
        </w:rPr>
        <w:t>zou dan moeten worden</w:t>
      </w:r>
      <w:r w:rsidR="00ED238D">
        <w:rPr>
          <w:lang w:val="nl-NL"/>
        </w:rPr>
        <w:t xml:space="preserve"> aangetoond dat het proje</w:t>
      </w:r>
      <w:r w:rsidR="0043558E">
        <w:rPr>
          <w:lang w:val="nl-NL"/>
        </w:rPr>
        <w:t xml:space="preserve">ctiel geleverd </w:t>
      </w:r>
      <w:r w:rsidR="00391446">
        <w:rPr>
          <w:lang w:val="nl-NL"/>
        </w:rPr>
        <w:t xml:space="preserve">zou zijn </w:t>
      </w:r>
      <w:r w:rsidR="0043558E">
        <w:rPr>
          <w:lang w:val="nl-NL"/>
        </w:rPr>
        <w:t xml:space="preserve">door Rusland en Rusland wist of kon weten dat hiermee het internationale recht geschonden zou worden. </w:t>
      </w:r>
    </w:p>
    <w:p w:rsidRPr="00544320" w:rsidR="00C11A59" w:rsidP="00DA26B9" w:rsidRDefault="00C11A59">
      <w:pPr>
        <w:jc w:val="both"/>
        <w:rPr>
          <w:lang w:val="nl-NL"/>
        </w:rPr>
      </w:pPr>
      <w:r>
        <w:rPr>
          <w:lang w:val="nl-NL"/>
        </w:rPr>
        <w:t xml:space="preserve">Zowel Oekraïne als Rusland hebben </w:t>
      </w:r>
      <w:r w:rsidR="005E38FD">
        <w:rPr>
          <w:lang w:val="nl-NL"/>
        </w:rPr>
        <w:t xml:space="preserve">echter geen verklaring afgelegd krachtens artikel 36 lid 2 van het Statuut van </w:t>
      </w:r>
      <w:r>
        <w:rPr>
          <w:lang w:val="nl-NL"/>
        </w:rPr>
        <w:t>het Internationaal Gerechtshof</w:t>
      </w:r>
      <w:r w:rsidR="005E38FD">
        <w:rPr>
          <w:lang w:val="nl-NL"/>
        </w:rPr>
        <w:t xml:space="preserve"> waarbij </w:t>
      </w:r>
      <w:r w:rsidR="00391446">
        <w:rPr>
          <w:lang w:val="nl-NL"/>
        </w:rPr>
        <w:t>een land</w:t>
      </w:r>
      <w:r w:rsidR="005E38FD">
        <w:rPr>
          <w:lang w:val="nl-NL"/>
        </w:rPr>
        <w:t xml:space="preserve"> </w:t>
      </w:r>
      <w:r w:rsidR="0079077C">
        <w:rPr>
          <w:lang w:val="nl-NL"/>
        </w:rPr>
        <w:t xml:space="preserve">zonder bijzondere overeenkomst de rechtsmacht van het Gerechtshof </w:t>
      </w:r>
      <w:r w:rsidR="00ED2703">
        <w:rPr>
          <w:lang w:val="nl-NL"/>
        </w:rPr>
        <w:t xml:space="preserve">zonder meer </w:t>
      </w:r>
      <w:r w:rsidR="0079077C">
        <w:rPr>
          <w:lang w:val="nl-NL"/>
        </w:rPr>
        <w:t>aanvaardt</w:t>
      </w:r>
      <w:r>
        <w:rPr>
          <w:lang w:val="nl-NL"/>
        </w:rPr>
        <w:t xml:space="preserve">. Het is daarom enkel mogelijk om een zaak aanhangig te maken als </w:t>
      </w:r>
      <w:r w:rsidR="00391446">
        <w:rPr>
          <w:lang w:val="nl-NL"/>
        </w:rPr>
        <w:t>men in dit kader</w:t>
      </w:r>
      <w:r w:rsidR="0079077C">
        <w:rPr>
          <w:lang w:val="nl-NL"/>
        </w:rPr>
        <w:t xml:space="preserve"> een </w:t>
      </w:r>
      <w:r w:rsidR="00391446">
        <w:rPr>
          <w:lang w:val="nl-NL"/>
        </w:rPr>
        <w:t xml:space="preserve">bijzondere overeenkomst sluit </w:t>
      </w:r>
      <w:r w:rsidR="0079077C">
        <w:rPr>
          <w:lang w:val="nl-NL"/>
        </w:rPr>
        <w:t xml:space="preserve">met Nederland </w:t>
      </w:r>
      <w:r w:rsidR="00391446">
        <w:rPr>
          <w:lang w:val="nl-NL"/>
        </w:rPr>
        <w:t xml:space="preserve">waarbij de rechtsmacht van het </w:t>
      </w:r>
      <w:r w:rsidR="0079077C">
        <w:rPr>
          <w:lang w:val="nl-NL"/>
        </w:rPr>
        <w:t xml:space="preserve">Gerechtshof </w:t>
      </w:r>
      <w:r w:rsidR="00391446">
        <w:rPr>
          <w:lang w:val="nl-NL"/>
        </w:rPr>
        <w:t>wordt erkend</w:t>
      </w:r>
      <w:r w:rsidR="0079077C">
        <w:rPr>
          <w:lang w:val="nl-NL"/>
        </w:rPr>
        <w:t xml:space="preserve"> om een specifieke zaak te beslechten</w:t>
      </w:r>
      <w:r>
        <w:rPr>
          <w:lang w:val="nl-NL"/>
        </w:rPr>
        <w:t>.</w:t>
      </w:r>
    </w:p>
    <w:p w:rsidR="00544320" w:rsidP="00DA26B9" w:rsidRDefault="00D705DF">
      <w:pPr>
        <w:pStyle w:val="Kop2"/>
        <w:numPr>
          <w:ilvl w:val="0"/>
          <w:numId w:val="1"/>
        </w:numPr>
        <w:jc w:val="both"/>
        <w:rPr>
          <w:lang w:val="nl-NL"/>
        </w:rPr>
      </w:pPr>
      <w:bookmarkStart w:name="_Toc441140004" w:id="5"/>
      <w:r>
        <w:rPr>
          <w:lang w:val="nl-NL"/>
        </w:rPr>
        <w:t>Nationale strafrechtelijk berechting</w:t>
      </w:r>
      <w:bookmarkEnd w:id="5"/>
    </w:p>
    <w:p w:rsidRPr="00D705DF" w:rsidR="00D705DF" w:rsidP="00DA26B9" w:rsidRDefault="00391446">
      <w:pPr>
        <w:jc w:val="both"/>
        <w:rPr>
          <w:lang w:val="nl-NL"/>
        </w:rPr>
      </w:pPr>
      <w:r>
        <w:rPr>
          <w:lang w:val="nl-NL"/>
        </w:rPr>
        <w:t>Voor een mogelijke berechting in Nederland</w:t>
      </w:r>
      <w:r w:rsidR="00584A41">
        <w:rPr>
          <w:lang w:val="nl-NL"/>
        </w:rPr>
        <w:t xml:space="preserve"> kan wellicht </w:t>
      </w:r>
      <w:r>
        <w:rPr>
          <w:lang w:val="nl-NL"/>
        </w:rPr>
        <w:t xml:space="preserve">een </w:t>
      </w:r>
      <w:r w:rsidR="00584A41">
        <w:rPr>
          <w:lang w:val="nl-NL"/>
        </w:rPr>
        <w:t xml:space="preserve">beroep </w:t>
      </w:r>
      <w:r>
        <w:rPr>
          <w:lang w:val="nl-NL"/>
        </w:rPr>
        <w:t xml:space="preserve">worden </w:t>
      </w:r>
      <w:r w:rsidR="00584A41">
        <w:rPr>
          <w:lang w:val="nl-NL"/>
        </w:rPr>
        <w:t>gedaan op de speciale kamer die onderdeel is van de rechtbank in Den Haag</w:t>
      </w:r>
      <w:r w:rsidR="00ED2703">
        <w:rPr>
          <w:lang w:val="nl-NL"/>
        </w:rPr>
        <w:t xml:space="preserve"> nu Nederland (</w:t>
      </w:r>
      <w:proofErr w:type="spellStart"/>
      <w:r w:rsidR="00D714FE">
        <w:rPr>
          <w:lang w:val="nl-NL"/>
        </w:rPr>
        <w:t>originaire</w:t>
      </w:r>
      <w:proofErr w:type="spellEnd"/>
      <w:r w:rsidR="00D714FE">
        <w:rPr>
          <w:lang w:val="nl-NL"/>
        </w:rPr>
        <w:t>) rechtsmacht heeft</w:t>
      </w:r>
      <w:r w:rsidR="00584A41">
        <w:rPr>
          <w:lang w:val="nl-NL"/>
        </w:rPr>
        <w:t xml:space="preserve">. </w:t>
      </w:r>
      <w:r w:rsidR="00584A41">
        <w:rPr>
          <w:lang w:val="nl-NL"/>
        </w:rPr>
        <w:lastRenderedPageBreak/>
        <w:t>Deze “WIM kamer” (vernoemd naar de Wet Internationale Misdrijven</w:t>
      </w:r>
      <w:r w:rsidR="0079077C">
        <w:rPr>
          <w:lang w:val="nl-NL"/>
        </w:rPr>
        <w:t xml:space="preserve"> uit 2003</w:t>
      </w:r>
      <w:r w:rsidR="00584A41">
        <w:rPr>
          <w:lang w:val="nl-NL"/>
        </w:rPr>
        <w:t xml:space="preserve">) heeft zich gespecialiseerd in </w:t>
      </w:r>
      <w:r w:rsidR="00190975">
        <w:rPr>
          <w:lang w:val="nl-NL"/>
        </w:rPr>
        <w:t xml:space="preserve">het berechten van internationale misdrijven. </w:t>
      </w:r>
      <w:r w:rsidR="00F33915">
        <w:rPr>
          <w:lang w:val="nl-NL"/>
        </w:rPr>
        <w:t>Het is mogelijk dat</w:t>
      </w:r>
      <w:r w:rsidR="0079077C">
        <w:rPr>
          <w:lang w:val="nl-NL"/>
        </w:rPr>
        <w:t xml:space="preserve"> het OM</w:t>
      </w:r>
      <w:r w:rsidR="00DE5CDE">
        <w:rPr>
          <w:lang w:val="nl-NL"/>
        </w:rPr>
        <w:t>, na afsluiting van haar onderzoek,</w:t>
      </w:r>
      <w:r w:rsidR="0079077C">
        <w:rPr>
          <w:lang w:val="nl-NL"/>
        </w:rPr>
        <w:t xml:space="preserve"> aan </w:t>
      </w:r>
      <w:r>
        <w:rPr>
          <w:lang w:val="nl-NL"/>
        </w:rPr>
        <w:t>die</w:t>
      </w:r>
      <w:r w:rsidR="00F33915">
        <w:rPr>
          <w:lang w:val="nl-NL"/>
        </w:rPr>
        <w:t xml:space="preserve"> kamer de vraag </w:t>
      </w:r>
      <w:r w:rsidR="0079077C">
        <w:rPr>
          <w:lang w:val="nl-NL"/>
        </w:rPr>
        <w:t xml:space="preserve">voorlegt </w:t>
      </w:r>
      <w:r w:rsidR="00F33915">
        <w:rPr>
          <w:lang w:val="nl-NL"/>
        </w:rPr>
        <w:t xml:space="preserve">of het neerhalen van de MH17 gekwalificeerd kan worden als een oorlogsmisdrijf </w:t>
      </w:r>
      <w:r w:rsidR="00D714FE">
        <w:rPr>
          <w:lang w:val="nl-NL"/>
        </w:rPr>
        <w:t>en v</w:t>
      </w:r>
      <w:r w:rsidR="0079077C">
        <w:rPr>
          <w:lang w:val="nl-NL"/>
        </w:rPr>
        <w:t xml:space="preserve">oor </w:t>
      </w:r>
      <w:r w:rsidR="00DE5CDE">
        <w:rPr>
          <w:lang w:val="nl-NL"/>
        </w:rPr>
        <w:t xml:space="preserve">die </w:t>
      </w:r>
      <w:r w:rsidR="0079077C">
        <w:rPr>
          <w:lang w:val="nl-NL"/>
        </w:rPr>
        <w:t xml:space="preserve">kamer de </w:t>
      </w:r>
      <w:r w:rsidR="00F33915">
        <w:rPr>
          <w:lang w:val="nl-NL"/>
        </w:rPr>
        <w:t>mogelijke verantwoordelijken</w:t>
      </w:r>
      <w:r w:rsidR="0079077C">
        <w:rPr>
          <w:lang w:val="nl-NL"/>
        </w:rPr>
        <w:t xml:space="preserve"> te doen vervolgen.</w:t>
      </w:r>
      <w:r>
        <w:rPr>
          <w:lang w:val="nl-NL"/>
        </w:rPr>
        <w:t xml:space="preserve"> </w:t>
      </w:r>
    </w:p>
    <w:p w:rsidR="00544320" w:rsidP="00DA26B9" w:rsidRDefault="00544320">
      <w:pPr>
        <w:pStyle w:val="Kop2"/>
        <w:numPr>
          <w:ilvl w:val="0"/>
          <w:numId w:val="1"/>
        </w:numPr>
        <w:jc w:val="both"/>
        <w:rPr>
          <w:lang w:val="nl-NL"/>
        </w:rPr>
      </w:pPr>
      <w:bookmarkStart w:name="_Toc441140005" w:id="6"/>
      <w:r>
        <w:rPr>
          <w:lang w:val="nl-NL"/>
        </w:rPr>
        <w:t>Europees Hof van de Rechten van de Mens</w:t>
      </w:r>
      <w:bookmarkEnd w:id="6"/>
    </w:p>
    <w:p w:rsidR="00B83BB1" w:rsidP="00DA26B9" w:rsidRDefault="0079077C">
      <w:pPr>
        <w:jc w:val="both"/>
        <w:rPr>
          <w:lang w:val="nl-NL"/>
        </w:rPr>
      </w:pPr>
      <w:r>
        <w:rPr>
          <w:lang w:val="nl-NL"/>
        </w:rPr>
        <w:t xml:space="preserve">Indien het gaat om de mensenrechtelijke </w:t>
      </w:r>
      <w:r w:rsidR="00DE5CDE">
        <w:rPr>
          <w:lang w:val="nl-NL"/>
        </w:rPr>
        <w:t>dimensie</w:t>
      </w:r>
      <w:r>
        <w:rPr>
          <w:lang w:val="nl-NL"/>
        </w:rPr>
        <w:t>, kunnen k</w:t>
      </w:r>
      <w:r w:rsidR="00544320">
        <w:rPr>
          <w:lang w:val="nl-NL"/>
        </w:rPr>
        <w:t>rachtens artikel 34 van het Europees Verdrag van de Rechten van de Mens slachtoffers een verzoekschrift</w:t>
      </w:r>
      <w:r w:rsidR="00A85C32">
        <w:rPr>
          <w:lang w:val="nl-NL"/>
        </w:rPr>
        <w:t xml:space="preserve"> wegens schending van mensenrechten</w:t>
      </w:r>
      <w:r w:rsidR="00544320">
        <w:rPr>
          <w:lang w:val="nl-NL"/>
        </w:rPr>
        <w:t xml:space="preserve"> indienen tegen de verantwoordelijke staat</w:t>
      </w:r>
      <w:r w:rsidR="00E31EB7">
        <w:rPr>
          <w:lang w:val="nl-NL"/>
        </w:rPr>
        <w:t>, maar niet tegen een persoon</w:t>
      </w:r>
      <w:r w:rsidR="00544320">
        <w:rPr>
          <w:lang w:val="nl-NL"/>
        </w:rPr>
        <w:t xml:space="preserve">. De families van de slachtoffers </w:t>
      </w:r>
      <w:r w:rsidR="00DE5CDE">
        <w:rPr>
          <w:lang w:val="nl-NL"/>
        </w:rPr>
        <w:t xml:space="preserve">zouden </w:t>
      </w:r>
      <w:r w:rsidR="00544320">
        <w:rPr>
          <w:lang w:val="nl-NL"/>
        </w:rPr>
        <w:t xml:space="preserve">wellicht </w:t>
      </w:r>
      <w:r w:rsidR="00DE5CDE">
        <w:rPr>
          <w:lang w:val="nl-NL"/>
        </w:rPr>
        <w:t xml:space="preserve">kunnen </w:t>
      </w:r>
      <w:r w:rsidR="00544320">
        <w:rPr>
          <w:lang w:val="nl-NL"/>
        </w:rPr>
        <w:t xml:space="preserve">beargumenteren dat </w:t>
      </w:r>
      <w:r w:rsidR="00E31EB7">
        <w:rPr>
          <w:lang w:val="nl-NL"/>
        </w:rPr>
        <w:t>Oekraïne</w:t>
      </w:r>
      <w:r w:rsidR="00544320">
        <w:rPr>
          <w:lang w:val="nl-NL"/>
        </w:rPr>
        <w:t xml:space="preserve"> verantwoordelijk is voor het schenden van </w:t>
      </w:r>
      <w:r w:rsidR="00E31EB7">
        <w:rPr>
          <w:lang w:val="nl-NL"/>
        </w:rPr>
        <w:t xml:space="preserve">het recht op leven zoals te vinden in artikel 2 EVRM. Oekraïne </w:t>
      </w:r>
      <w:r w:rsidR="00DE5CDE">
        <w:rPr>
          <w:lang w:val="nl-NL"/>
        </w:rPr>
        <w:t xml:space="preserve">zou in deze optie </w:t>
      </w:r>
      <w:r w:rsidR="00E31EB7">
        <w:rPr>
          <w:lang w:val="nl-NL"/>
        </w:rPr>
        <w:t xml:space="preserve">aangewezen </w:t>
      </w:r>
      <w:r w:rsidR="00DE5CDE">
        <w:rPr>
          <w:lang w:val="nl-NL"/>
        </w:rPr>
        <w:t xml:space="preserve">dienen te </w:t>
      </w:r>
      <w:r w:rsidR="00E31EB7">
        <w:rPr>
          <w:lang w:val="nl-NL"/>
        </w:rPr>
        <w:t>worden als zijnde verantwoordelijk</w:t>
      </w:r>
      <w:r w:rsidR="00D50C76">
        <w:rPr>
          <w:lang w:val="nl-NL"/>
        </w:rPr>
        <w:t>,</w:t>
      </w:r>
      <w:r w:rsidR="00E31EB7">
        <w:rPr>
          <w:lang w:val="nl-NL"/>
        </w:rPr>
        <w:t xml:space="preserve"> nu het passagiersvliegtuig </w:t>
      </w:r>
      <w:r w:rsidR="00D50C76">
        <w:rPr>
          <w:lang w:val="nl-NL"/>
        </w:rPr>
        <w:t>boven</w:t>
      </w:r>
      <w:r w:rsidR="00E31EB7">
        <w:rPr>
          <w:lang w:val="nl-NL"/>
        </w:rPr>
        <w:t xml:space="preserve"> het grondgebied van Oekraïne is neergehaald</w:t>
      </w:r>
      <w:r w:rsidR="00DE5CDE">
        <w:rPr>
          <w:lang w:val="nl-NL"/>
        </w:rPr>
        <w:t xml:space="preserve"> en Oekraïne onvoldoende heeft gedaan dit te voorkomen.</w:t>
      </w:r>
      <w:r w:rsidR="00E31EB7">
        <w:rPr>
          <w:lang w:val="nl-NL"/>
        </w:rPr>
        <w:t xml:space="preserve"> </w:t>
      </w:r>
    </w:p>
    <w:p w:rsidR="00B83BB1" w:rsidP="00DA26B9" w:rsidRDefault="00DE5CDE">
      <w:pPr>
        <w:jc w:val="both"/>
        <w:rPr>
          <w:lang w:val="nl-NL"/>
        </w:rPr>
      </w:pPr>
      <w:r>
        <w:rPr>
          <w:lang w:val="nl-NL"/>
        </w:rPr>
        <w:t>In theorie zou het</w:t>
      </w:r>
      <w:r w:rsidR="00E31EB7">
        <w:rPr>
          <w:lang w:val="nl-NL"/>
        </w:rPr>
        <w:t xml:space="preserve"> ook mogelijk </w:t>
      </w:r>
      <w:r>
        <w:rPr>
          <w:lang w:val="nl-NL"/>
        </w:rPr>
        <w:t xml:space="preserve">zijn </w:t>
      </w:r>
      <w:r w:rsidR="00E31EB7">
        <w:rPr>
          <w:lang w:val="nl-NL"/>
        </w:rPr>
        <w:t xml:space="preserve">om </w:t>
      </w:r>
      <w:r w:rsidR="0079077C">
        <w:rPr>
          <w:lang w:val="nl-NL"/>
        </w:rPr>
        <w:t>tegen</w:t>
      </w:r>
      <w:r w:rsidR="00A85C32">
        <w:rPr>
          <w:lang w:val="nl-NL"/>
        </w:rPr>
        <w:t xml:space="preserve"> </w:t>
      </w:r>
      <w:r w:rsidR="00E31EB7">
        <w:rPr>
          <w:lang w:val="nl-NL"/>
        </w:rPr>
        <w:t xml:space="preserve">Rusland </w:t>
      </w:r>
      <w:r w:rsidR="00A85C32">
        <w:rPr>
          <w:lang w:val="nl-NL"/>
        </w:rPr>
        <w:t xml:space="preserve">een mensenrechten klacht in te dienen </w:t>
      </w:r>
      <w:r w:rsidR="0079077C">
        <w:rPr>
          <w:lang w:val="nl-NL"/>
        </w:rPr>
        <w:t xml:space="preserve">indien aangetoond wordt </w:t>
      </w:r>
      <w:r w:rsidR="00E31EB7">
        <w:rPr>
          <w:lang w:val="nl-NL"/>
        </w:rPr>
        <w:t xml:space="preserve">dat Rusland direct betrokken is bij het </w:t>
      </w:r>
      <w:r>
        <w:rPr>
          <w:lang w:val="nl-NL"/>
        </w:rPr>
        <w:t>conflict dat in Oekraïne speelt,</w:t>
      </w:r>
      <w:r w:rsidR="00E31EB7">
        <w:rPr>
          <w:lang w:val="nl-NL"/>
        </w:rPr>
        <w:t xml:space="preserve"> </w:t>
      </w:r>
      <w:r>
        <w:rPr>
          <w:lang w:val="nl-NL"/>
        </w:rPr>
        <w:t>i</w:t>
      </w:r>
      <w:r w:rsidR="0079077C">
        <w:rPr>
          <w:lang w:val="nl-NL"/>
        </w:rPr>
        <w:t>n d</w:t>
      </w:r>
      <w:r w:rsidR="00D50C76">
        <w:rPr>
          <w:lang w:val="nl-NL"/>
        </w:rPr>
        <w:t>i</w:t>
      </w:r>
      <w:r w:rsidR="0079077C">
        <w:rPr>
          <w:lang w:val="nl-NL"/>
        </w:rPr>
        <w:t>e zin</w:t>
      </w:r>
      <w:r w:rsidR="00E31EB7">
        <w:rPr>
          <w:lang w:val="nl-NL"/>
        </w:rPr>
        <w:t xml:space="preserve"> dat Rusland </w:t>
      </w:r>
      <w:r w:rsidR="00A85C32">
        <w:rPr>
          <w:lang w:val="nl-NL"/>
        </w:rPr>
        <w:t xml:space="preserve">het </w:t>
      </w:r>
      <w:r w:rsidR="00E31EB7">
        <w:rPr>
          <w:lang w:val="nl-NL"/>
        </w:rPr>
        <w:t>effectieve gezag had ove</w:t>
      </w:r>
      <w:r w:rsidR="00D50C76">
        <w:rPr>
          <w:lang w:val="nl-NL"/>
        </w:rPr>
        <w:t>r het desbetreffende gebied in O</w:t>
      </w:r>
      <w:r w:rsidR="00E31EB7">
        <w:rPr>
          <w:lang w:val="nl-NL"/>
        </w:rPr>
        <w:t xml:space="preserve">ost Oekraïne. </w:t>
      </w:r>
      <w:r w:rsidR="00533C49">
        <w:rPr>
          <w:lang w:val="nl-NL"/>
        </w:rPr>
        <w:t xml:space="preserve">In dit geval moet </w:t>
      </w:r>
      <w:r w:rsidR="0079077C">
        <w:rPr>
          <w:lang w:val="nl-NL"/>
        </w:rPr>
        <w:t>bovendien worden aangetoond</w:t>
      </w:r>
      <w:r w:rsidR="00533C49">
        <w:rPr>
          <w:lang w:val="nl-NL"/>
        </w:rPr>
        <w:t xml:space="preserve"> dat het </w:t>
      </w:r>
      <w:r w:rsidR="0079077C">
        <w:rPr>
          <w:lang w:val="nl-NL"/>
        </w:rPr>
        <w:t>veiligheids</w:t>
      </w:r>
      <w:r w:rsidR="00533C49">
        <w:rPr>
          <w:lang w:val="nl-NL"/>
        </w:rPr>
        <w:t xml:space="preserve">risico voor passagiersvliegtuigen om te vliegen boven het desbetreffende gebied in Oekraïne voorzienbaar was. </w:t>
      </w:r>
      <w:r>
        <w:rPr>
          <w:lang w:val="nl-NL"/>
        </w:rPr>
        <w:t>Daarnaast</w:t>
      </w:r>
      <w:r w:rsidR="0079077C">
        <w:rPr>
          <w:lang w:val="nl-NL"/>
        </w:rPr>
        <w:t>: v</w:t>
      </w:r>
      <w:r w:rsidR="00734504">
        <w:rPr>
          <w:lang w:val="nl-NL"/>
        </w:rPr>
        <w:t>oordat een zaak aanhangig gemaakt kan worden bij het EHRM moeten wel alle nationale remedies zijn doorlopen.</w:t>
      </w:r>
    </w:p>
    <w:p w:rsidR="00B83BB1" w:rsidP="00DA26B9" w:rsidRDefault="00B83BB1">
      <w:pPr>
        <w:jc w:val="both"/>
        <w:rPr>
          <w:lang w:val="nl-NL"/>
        </w:rPr>
      </w:pPr>
      <w:r>
        <w:rPr>
          <w:lang w:val="nl-NL"/>
        </w:rPr>
        <w:t>Daarnaast is het</w:t>
      </w:r>
      <w:r w:rsidR="00D714FE">
        <w:rPr>
          <w:lang w:val="nl-NL"/>
        </w:rPr>
        <w:t xml:space="preserve"> –wederom in theorie-</w:t>
      </w:r>
      <w:r>
        <w:rPr>
          <w:lang w:val="nl-NL"/>
        </w:rPr>
        <w:t xml:space="preserve"> o</w:t>
      </w:r>
      <w:r w:rsidR="00022968">
        <w:rPr>
          <w:lang w:val="nl-NL"/>
        </w:rPr>
        <w:t>ok mogelijk dat de Nederlandse s</w:t>
      </w:r>
      <w:r>
        <w:rPr>
          <w:lang w:val="nl-NL"/>
        </w:rPr>
        <w:t xml:space="preserve">taat een </w:t>
      </w:r>
      <w:r w:rsidR="009B3BAB">
        <w:rPr>
          <w:lang w:val="nl-NL"/>
        </w:rPr>
        <w:t>zogeheten Statenklacht indient</w:t>
      </w:r>
      <w:r w:rsidR="00022968">
        <w:rPr>
          <w:lang w:val="nl-NL"/>
        </w:rPr>
        <w:t xml:space="preserve"> tegen een </w:t>
      </w:r>
      <w:r>
        <w:rPr>
          <w:lang w:val="nl-NL"/>
        </w:rPr>
        <w:t xml:space="preserve">andere staat </w:t>
      </w:r>
      <w:r w:rsidR="00B664AF">
        <w:rPr>
          <w:lang w:val="nl-NL"/>
        </w:rPr>
        <w:t>die</w:t>
      </w:r>
      <w:r>
        <w:rPr>
          <w:lang w:val="nl-NL"/>
        </w:rPr>
        <w:t xml:space="preserve"> lid is van het EVRM </w:t>
      </w:r>
      <w:r w:rsidR="00022968">
        <w:rPr>
          <w:lang w:val="nl-NL"/>
        </w:rPr>
        <w:t xml:space="preserve">(zoals Oekraïne </w:t>
      </w:r>
      <w:r w:rsidR="00D50C76">
        <w:rPr>
          <w:lang w:val="nl-NL"/>
        </w:rPr>
        <w:t>en</w:t>
      </w:r>
      <w:r w:rsidR="00022968">
        <w:rPr>
          <w:lang w:val="nl-NL"/>
        </w:rPr>
        <w:t xml:space="preserve"> Rusland) volgens artikel 33 EVRM. De eis die hieraan gesteld wordt is dat de aangeklaagde staat zijn verplichtingen </w:t>
      </w:r>
      <w:r w:rsidR="00B664AF">
        <w:rPr>
          <w:lang w:val="nl-NL"/>
        </w:rPr>
        <w:t>volgens</w:t>
      </w:r>
      <w:r w:rsidR="00022968">
        <w:rPr>
          <w:lang w:val="nl-NL"/>
        </w:rPr>
        <w:t xml:space="preserve"> het EVRM niet is nagekomen. </w:t>
      </w:r>
      <w:r w:rsidR="00D714FE">
        <w:rPr>
          <w:lang w:val="nl-NL"/>
        </w:rPr>
        <w:t>Een voorbeeld is indien een</w:t>
      </w:r>
      <w:r w:rsidR="00022968">
        <w:rPr>
          <w:lang w:val="nl-NL"/>
        </w:rPr>
        <w:t xml:space="preserve"> staat zich niet heeft ingezet om het recht op leven te beschermen.</w:t>
      </w:r>
      <w:r w:rsidR="00DE5CDE">
        <w:rPr>
          <w:lang w:val="nl-NL"/>
        </w:rPr>
        <w:t xml:space="preserve"> Ook hier gaat het om theoretische opties die nader onderzoek vereisen.</w:t>
      </w:r>
    </w:p>
    <w:p w:rsidR="0079077C" w:rsidP="00DA26B9" w:rsidRDefault="0079077C">
      <w:pPr>
        <w:pStyle w:val="Kop2"/>
        <w:jc w:val="both"/>
        <w:rPr>
          <w:lang w:val="nl-NL"/>
        </w:rPr>
      </w:pPr>
      <w:bookmarkStart w:name="_Toc441140006" w:id="7"/>
      <w:r>
        <w:rPr>
          <w:lang w:val="nl-NL"/>
        </w:rPr>
        <w:t>Conclusie:</w:t>
      </w:r>
      <w:bookmarkEnd w:id="7"/>
    </w:p>
    <w:p w:rsidRPr="00544320" w:rsidR="0079077C" w:rsidP="00DA26B9" w:rsidRDefault="00745538">
      <w:pPr>
        <w:jc w:val="both"/>
        <w:rPr>
          <w:lang w:val="nl-NL"/>
        </w:rPr>
      </w:pPr>
      <w:r>
        <w:rPr>
          <w:lang w:val="nl-NL"/>
        </w:rPr>
        <w:t>De procedurele opties I</w:t>
      </w:r>
      <w:r w:rsidR="0079077C">
        <w:rPr>
          <w:lang w:val="nl-NL"/>
        </w:rPr>
        <w:t xml:space="preserve"> tot en met </w:t>
      </w:r>
      <w:r>
        <w:rPr>
          <w:lang w:val="nl-NL"/>
        </w:rPr>
        <w:t>V</w:t>
      </w:r>
      <w:r w:rsidR="0079077C">
        <w:rPr>
          <w:lang w:val="nl-NL"/>
        </w:rPr>
        <w:t xml:space="preserve"> lijken op voorhand op meerdere procedurele obstakels te stuiten. </w:t>
      </w:r>
      <w:r>
        <w:rPr>
          <w:lang w:val="nl-NL"/>
        </w:rPr>
        <w:t>Gaat het om de strafrechtelijke</w:t>
      </w:r>
      <w:r w:rsidR="00D714FE">
        <w:rPr>
          <w:lang w:val="nl-NL"/>
        </w:rPr>
        <w:t xml:space="preserve"> dimensie,</w:t>
      </w:r>
      <w:r>
        <w:rPr>
          <w:lang w:val="nl-NL"/>
        </w:rPr>
        <w:t xml:space="preserve"> lijkt optie IV nog </w:t>
      </w:r>
      <w:r w:rsidR="00DE5CDE">
        <w:rPr>
          <w:lang w:val="nl-NL"/>
        </w:rPr>
        <w:t xml:space="preserve">het </w:t>
      </w:r>
      <w:r>
        <w:rPr>
          <w:lang w:val="nl-NL"/>
        </w:rPr>
        <w:t>meest binnen bereik (los van de bewijsrechtelijke implicaties</w:t>
      </w:r>
      <w:r w:rsidR="009B3BAB">
        <w:rPr>
          <w:lang w:val="nl-NL"/>
        </w:rPr>
        <w:t>; zie Deel 2</w:t>
      </w:r>
      <w:r>
        <w:rPr>
          <w:lang w:val="nl-NL"/>
        </w:rPr>
        <w:t>). Mogelijk nadeel is hierbij dat Nederland “slachtoffer” land is en derhalve vanuit de buiten</w:t>
      </w:r>
      <w:r w:rsidR="0090225A">
        <w:rPr>
          <w:lang w:val="nl-NL"/>
        </w:rPr>
        <w:t>wereld</w:t>
      </w:r>
      <w:r>
        <w:rPr>
          <w:lang w:val="nl-NL"/>
        </w:rPr>
        <w:t xml:space="preserve"> het </w:t>
      </w:r>
      <w:r w:rsidR="009B3BAB">
        <w:rPr>
          <w:lang w:val="nl-NL"/>
        </w:rPr>
        <w:t>predicaat</w:t>
      </w:r>
      <w:r>
        <w:rPr>
          <w:lang w:val="nl-NL"/>
        </w:rPr>
        <w:t xml:space="preserve"> “niet onbevangen” kan </w:t>
      </w:r>
      <w:r w:rsidR="00A51BF5">
        <w:rPr>
          <w:lang w:val="nl-NL"/>
        </w:rPr>
        <w:t xml:space="preserve">krijgen hetgeen naar de </w:t>
      </w:r>
      <w:r w:rsidR="00D714FE">
        <w:rPr>
          <w:lang w:val="nl-NL"/>
        </w:rPr>
        <w:t>“</w:t>
      </w:r>
      <w:proofErr w:type="spellStart"/>
      <w:r w:rsidR="00D714FE">
        <w:rPr>
          <w:lang w:val="nl-NL"/>
        </w:rPr>
        <w:t>fairness</w:t>
      </w:r>
      <w:proofErr w:type="spellEnd"/>
      <w:r w:rsidR="00D714FE">
        <w:rPr>
          <w:lang w:val="nl-NL"/>
        </w:rPr>
        <w:t xml:space="preserve">” van de </w:t>
      </w:r>
      <w:r w:rsidR="009B3BAB">
        <w:rPr>
          <w:lang w:val="nl-NL"/>
        </w:rPr>
        <w:t>rechtsgang</w:t>
      </w:r>
      <w:r w:rsidR="00A51BF5">
        <w:rPr>
          <w:lang w:val="nl-NL"/>
        </w:rPr>
        <w:t xml:space="preserve"> </w:t>
      </w:r>
      <w:r w:rsidR="00D714FE">
        <w:rPr>
          <w:lang w:val="nl-NL"/>
        </w:rPr>
        <w:t xml:space="preserve">kan </w:t>
      </w:r>
      <w:r w:rsidR="00A51BF5">
        <w:rPr>
          <w:lang w:val="nl-NL"/>
        </w:rPr>
        <w:t xml:space="preserve">doorwerken. </w:t>
      </w:r>
      <w:r w:rsidR="001A27D6">
        <w:rPr>
          <w:lang w:val="nl-NL"/>
        </w:rPr>
        <w:t xml:space="preserve">Bovendien dient zich dan het leerstuk van een mogelijke </w:t>
      </w:r>
      <w:r w:rsidR="00D714FE">
        <w:rPr>
          <w:lang w:val="nl-NL"/>
        </w:rPr>
        <w:t>berechting</w:t>
      </w:r>
      <w:r w:rsidR="001A27D6">
        <w:rPr>
          <w:lang w:val="nl-NL"/>
        </w:rPr>
        <w:t xml:space="preserve"> bij verstek </w:t>
      </w:r>
      <w:r w:rsidR="00B664AF">
        <w:rPr>
          <w:lang w:val="nl-NL"/>
        </w:rPr>
        <w:t xml:space="preserve">aan </w:t>
      </w:r>
      <w:r w:rsidR="001A27D6">
        <w:rPr>
          <w:lang w:val="nl-NL"/>
        </w:rPr>
        <w:t>indien men rekening houdt met buitenlandse “verdachten”</w:t>
      </w:r>
      <w:r w:rsidR="0066259B">
        <w:rPr>
          <w:lang w:val="nl-NL"/>
        </w:rPr>
        <w:t>, die hier geen vaste woonplaats hebben en</w:t>
      </w:r>
      <w:r w:rsidR="001A27D6">
        <w:rPr>
          <w:lang w:val="nl-NL"/>
        </w:rPr>
        <w:t xml:space="preserve"> die mogelijkerwijs niet vrijwillig op een zitting in Nederland zullen verschijnen. In beginsel zal </w:t>
      </w:r>
      <w:r w:rsidR="00B664AF">
        <w:rPr>
          <w:lang w:val="nl-NL"/>
        </w:rPr>
        <w:t xml:space="preserve">het </w:t>
      </w:r>
      <w:r w:rsidR="001A27D6">
        <w:rPr>
          <w:lang w:val="nl-NL"/>
        </w:rPr>
        <w:t xml:space="preserve">niet zonder meer mogelijk zijn om ter zake internationale misdrijven een persoon bij verstek te berechten. </w:t>
      </w:r>
      <w:r w:rsidR="00A51BF5">
        <w:rPr>
          <w:lang w:val="nl-NL"/>
        </w:rPr>
        <w:t xml:space="preserve">Het lijkt </w:t>
      </w:r>
      <w:r w:rsidR="001A27D6">
        <w:rPr>
          <w:lang w:val="nl-NL"/>
        </w:rPr>
        <w:t xml:space="preserve">in ieder geval </w:t>
      </w:r>
      <w:r w:rsidR="00B664AF">
        <w:rPr>
          <w:lang w:val="nl-NL"/>
        </w:rPr>
        <w:t>aanbevelen</w:t>
      </w:r>
      <w:r w:rsidR="00A51BF5">
        <w:rPr>
          <w:lang w:val="nl-NL"/>
        </w:rPr>
        <w:t>swaardig om eerst het OM</w:t>
      </w:r>
      <w:r w:rsidR="00B664AF">
        <w:rPr>
          <w:lang w:val="nl-NL"/>
        </w:rPr>
        <w:t>-</w:t>
      </w:r>
      <w:r w:rsidR="00A51BF5">
        <w:rPr>
          <w:lang w:val="nl-NL"/>
        </w:rPr>
        <w:t xml:space="preserve">onderzoek af te wachten alvorens de mogelijke vervolgingsroute </w:t>
      </w:r>
      <w:r w:rsidR="00D714FE">
        <w:rPr>
          <w:lang w:val="nl-NL"/>
        </w:rPr>
        <w:t>nader te determineren</w:t>
      </w:r>
      <w:r w:rsidR="00A51BF5">
        <w:rPr>
          <w:lang w:val="nl-NL"/>
        </w:rPr>
        <w:t xml:space="preserve">. </w:t>
      </w:r>
    </w:p>
    <w:p w:rsidRPr="00EE3747" w:rsidR="00E05187" w:rsidP="00DA26B9" w:rsidRDefault="00E05187">
      <w:pPr>
        <w:jc w:val="both"/>
        <w:rPr>
          <w:lang w:val="nl-NL"/>
        </w:rPr>
      </w:pPr>
    </w:p>
    <w:p w:rsidRPr="00D32FB9" w:rsidR="00BC514A" w:rsidP="00DA26B9" w:rsidRDefault="005C4A4E">
      <w:pPr>
        <w:pStyle w:val="Kop1"/>
        <w:jc w:val="both"/>
        <w:rPr>
          <w:lang w:val="nl-NL"/>
        </w:rPr>
      </w:pPr>
      <w:bookmarkStart w:name="_Toc441140007" w:id="8"/>
      <w:r>
        <w:rPr>
          <w:lang w:val="nl-NL"/>
        </w:rPr>
        <w:t xml:space="preserve">Deel 2: </w:t>
      </w:r>
      <w:r w:rsidRPr="005227C8" w:rsidR="00BC514A">
        <w:rPr>
          <w:lang w:val="nl-NL"/>
        </w:rPr>
        <w:t>Bewijsrechtelijke</w:t>
      </w:r>
      <w:r w:rsidRPr="00D32FB9" w:rsidR="00BC514A">
        <w:rPr>
          <w:lang w:val="nl-NL"/>
        </w:rPr>
        <w:t xml:space="preserve"> </w:t>
      </w:r>
      <w:r w:rsidRPr="005227C8" w:rsidR="00BC514A">
        <w:rPr>
          <w:lang w:val="nl-NL"/>
        </w:rPr>
        <w:t>implicaties</w:t>
      </w:r>
      <w:bookmarkEnd w:id="8"/>
      <w:r w:rsidRPr="00D32FB9" w:rsidR="00BC514A">
        <w:rPr>
          <w:lang w:val="nl-NL"/>
        </w:rPr>
        <w:t xml:space="preserve"> </w:t>
      </w:r>
    </w:p>
    <w:p w:rsidR="00547AF0" w:rsidP="00DA26B9" w:rsidRDefault="0010658E">
      <w:pPr>
        <w:jc w:val="both"/>
        <w:rPr>
          <w:lang w:val="nl-NL"/>
        </w:rPr>
      </w:pPr>
      <w:r>
        <w:rPr>
          <w:lang w:val="nl-NL"/>
        </w:rPr>
        <w:t xml:space="preserve">In deze paragraaf zal worden ingegaan op een aantal bewijsrechtelijke implicaties van een eventuele strafrechtelijke vervolging. </w:t>
      </w:r>
    </w:p>
    <w:p w:rsidR="00F90584" w:rsidP="00DA26B9" w:rsidRDefault="00F90584">
      <w:pPr>
        <w:pStyle w:val="Kop2"/>
        <w:jc w:val="both"/>
        <w:rPr>
          <w:lang w:val="nl-NL"/>
        </w:rPr>
      </w:pPr>
    </w:p>
    <w:p w:rsidR="00D32FB9" w:rsidP="00DA26B9" w:rsidRDefault="0010658E">
      <w:pPr>
        <w:pStyle w:val="Kop2"/>
        <w:numPr>
          <w:ilvl w:val="0"/>
          <w:numId w:val="3"/>
        </w:numPr>
        <w:jc w:val="both"/>
        <w:rPr>
          <w:lang w:val="nl-NL"/>
        </w:rPr>
      </w:pPr>
      <w:bookmarkStart w:name="_Toc441140008" w:id="9"/>
      <w:r>
        <w:rPr>
          <w:lang w:val="nl-NL"/>
        </w:rPr>
        <w:t>Inleiding</w:t>
      </w:r>
      <w:bookmarkEnd w:id="9"/>
    </w:p>
    <w:p w:rsidR="0007113D" w:rsidP="00DA26B9" w:rsidRDefault="00F90584">
      <w:pPr>
        <w:jc w:val="both"/>
        <w:rPr>
          <w:lang w:val="nl-NL"/>
        </w:rPr>
      </w:pPr>
      <w:r>
        <w:rPr>
          <w:lang w:val="nl-NL"/>
        </w:rPr>
        <w:t xml:space="preserve">Feiten die </w:t>
      </w:r>
      <w:r w:rsidR="00773EB8">
        <w:rPr>
          <w:lang w:val="nl-NL"/>
        </w:rPr>
        <w:t>nu</w:t>
      </w:r>
      <w:r w:rsidR="00C9705D">
        <w:rPr>
          <w:lang w:val="nl-NL"/>
        </w:rPr>
        <w:t xml:space="preserve"> (publiekelijk)</w:t>
      </w:r>
      <w:r w:rsidR="00773EB8">
        <w:rPr>
          <w:lang w:val="nl-NL"/>
        </w:rPr>
        <w:t xml:space="preserve"> beschikbaar zijn</w:t>
      </w:r>
      <w:r w:rsidR="00B664AF">
        <w:rPr>
          <w:lang w:val="nl-NL"/>
        </w:rPr>
        <w:t>, zijn</w:t>
      </w:r>
      <w:r w:rsidR="00773EB8">
        <w:rPr>
          <w:lang w:val="nl-NL"/>
        </w:rPr>
        <w:t xml:space="preserve"> erg beperkt. Volgens de </w:t>
      </w:r>
      <w:proofErr w:type="spellStart"/>
      <w:r w:rsidR="00773EB8">
        <w:rPr>
          <w:lang w:val="nl-NL"/>
        </w:rPr>
        <w:t>Onderzoeksraad</w:t>
      </w:r>
      <w:proofErr w:type="spellEnd"/>
      <w:r w:rsidR="00773EB8">
        <w:rPr>
          <w:lang w:val="nl-NL"/>
        </w:rPr>
        <w:t xml:space="preserve"> voor Veiligheid </w:t>
      </w:r>
      <w:r w:rsidR="001A27D6">
        <w:rPr>
          <w:lang w:val="nl-NL"/>
        </w:rPr>
        <w:t xml:space="preserve">(OVV) </w:t>
      </w:r>
      <w:r w:rsidR="00773EB8">
        <w:rPr>
          <w:lang w:val="nl-NL"/>
        </w:rPr>
        <w:t xml:space="preserve">is het projectiel dat de MH17 </w:t>
      </w:r>
      <w:r w:rsidR="00E05187">
        <w:rPr>
          <w:lang w:val="nl-NL"/>
        </w:rPr>
        <w:t>neerhaalde een Buk raket.</w:t>
      </w:r>
      <w:r w:rsidR="00D91591">
        <w:rPr>
          <w:rStyle w:val="Voetnootmarkering"/>
          <w:lang w:val="nl-NL"/>
        </w:rPr>
        <w:footnoteReference w:id="1"/>
      </w:r>
      <w:r w:rsidR="00E05187">
        <w:rPr>
          <w:lang w:val="nl-NL"/>
        </w:rPr>
        <w:t xml:space="preserve"> </w:t>
      </w:r>
      <w:r w:rsidR="0007113D">
        <w:rPr>
          <w:lang w:val="nl-NL"/>
        </w:rPr>
        <w:t xml:space="preserve">Daarnaast heeft de </w:t>
      </w:r>
      <w:proofErr w:type="spellStart"/>
      <w:r w:rsidR="0007113D">
        <w:rPr>
          <w:lang w:val="nl-NL"/>
        </w:rPr>
        <w:t>Onderzoeksraad</w:t>
      </w:r>
      <w:proofErr w:type="spellEnd"/>
      <w:r w:rsidR="0007113D">
        <w:rPr>
          <w:lang w:val="nl-NL"/>
        </w:rPr>
        <w:t xml:space="preserve"> voor de Veiligheid</w:t>
      </w:r>
      <w:r w:rsidR="001A27D6">
        <w:rPr>
          <w:lang w:val="nl-NL"/>
        </w:rPr>
        <w:t xml:space="preserve"> </w:t>
      </w:r>
      <w:r w:rsidR="000B709A">
        <w:rPr>
          <w:lang w:val="nl-NL"/>
        </w:rPr>
        <w:t xml:space="preserve"> ingeschat</w:t>
      </w:r>
      <w:r w:rsidR="0007113D">
        <w:rPr>
          <w:lang w:val="nl-NL"/>
        </w:rPr>
        <w:t xml:space="preserve"> </w:t>
      </w:r>
      <w:r w:rsidR="00D212F9">
        <w:rPr>
          <w:lang w:val="nl-NL"/>
        </w:rPr>
        <w:t xml:space="preserve">dat deze </w:t>
      </w:r>
      <w:r w:rsidR="001A27D6">
        <w:rPr>
          <w:lang w:val="nl-NL"/>
        </w:rPr>
        <w:t>zou zijn</w:t>
      </w:r>
      <w:r w:rsidR="00D212F9">
        <w:rPr>
          <w:lang w:val="nl-NL"/>
        </w:rPr>
        <w:t xml:space="preserve"> afgevuurd vanuit een gebied </w:t>
      </w:r>
      <w:r w:rsidR="000B709A">
        <w:rPr>
          <w:lang w:val="nl-NL"/>
        </w:rPr>
        <w:t xml:space="preserve">ter </w:t>
      </w:r>
      <w:r w:rsidR="00D212F9">
        <w:rPr>
          <w:lang w:val="nl-NL"/>
        </w:rPr>
        <w:t>gro</w:t>
      </w:r>
      <w:r w:rsidR="00B664AF">
        <w:rPr>
          <w:lang w:val="nl-NL"/>
        </w:rPr>
        <w:t>ot</w:t>
      </w:r>
      <w:r w:rsidR="00D212F9">
        <w:rPr>
          <w:lang w:val="nl-NL"/>
        </w:rPr>
        <w:t xml:space="preserve">te van </w:t>
      </w:r>
      <w:r w:rsidR="000B709A">
        <w:rPr>
          <w:lang w:val="nl-NL"/>
        </w:rPr>
        <w:t xml:space="preserve">ongeveer </w:t>
      </w:r>
      <w:r w:rsidR="00D212F9">
        <w:rPr>
          <w:lang w:val="nl-NL"/>
        </w:rPr>
        <w:t>320 km².</w:t>
      </w:r>
      <w:r w:rsidR="00D91591">
        <w:rPr>
          <w:rStyle w:val="Voetnootmarkering"/>
          <w:lang w:val="nl-NL"/>
        </w:rPr>
        <w:footnoteReference w:id="2"/>
      </w:r>
    </w:p>
    <w:p w:rsidR="00F90584" w:rsidP="00DA26B9" w:rsidRDefault="004C4864">
      <w:pPr>
        <w:jc w:val="both"/>
        <w:rPr>
          <w:lang w:val="nl-NL"/>
        </w:rPr>
      </w:pPr>
      <w:r>
        <w:rPr>
          <w:lang w:val="nl-NL"/>
        </w:rPr>
        <w:t xml:space="preserve">Zoals de OVV zelf ook aangeeft </w:t>
      </w:r>
      <w:r w:rsidR="001A27D6">
        <w:rPr>
          <w:lang w:val="nl-NL"/>
        </w:rPr>
        <w:t>dient er eerst</w:t>
      </w:r>
      <w:r>
        <w:rPr>
          <w:lang w:val="nl-NL"/>
        </w:rPr>
        <w:t xml:space="preserve"> nader forensisch onderzoek </w:t>
      </w:r>
      <w:r w:rsidR="001A27D6">
        <w:rPr>
          <w:lang w:val="nl-NL"/>
        </w:rPr>
        <w:t xml:space="preserve">plaats te vinden alvorens </w:t>
      </w:r>
      <w:r w:rsidR="000F7D70">
        <w:rPr>
          <w:lang w:val="nl-NL"/>
        </w:rPr>
        <w:t>de kwesties</w:t>
      </w:r>
      <w:r>
        <w:rPr>
          <w:lang w:val="nl-NL"/>
        </w:rPr>
        <w:t xml:space="preserve"> van daderschap en </w:t>
      </w:r>
      <w:r w:rsidR="000F7D70">
        <w:rPr>
          <w:lang w:val="nl-NL"/>
        </w:rPr>
        <w:t xml:space="preserve">mogelijke </w:t>
      </w:r>
      <w:r>
        <w:rPr>
          <w:lang w:val="nl-NL"/>
        </w:rPr>
        <w:t>vervolging</w:t>
      </w:r>
      <w:r w:rsidR="00D052C1">
        <w:rPr>
          <w:lang w:val="nl-NL"/>
        </w:rPr>
        <w:t xml:space="preserve"> beantwoord kunnen worden</w:t>
      </w:r>
      <w:r>
        <w:rPr>
          <w:lang w:val="nl-NL"/>
        </w:rPr>
        <w:t>.</w:t>
      </w:r>
      <w:r w:rsidR="000F7D70">
        <w:rPr>
          <w:lang w:val="nl-NL"/>
        </w:rPr>
        <w:t xml:space="preserve"> Het analyseren van bestaande</w:t>
      </w:r>
      <w:r>
        <w:rPr>
          <w:lang w:val="nl-NL"/>
        </w:rPr>
        <w:t xml:space="preserve"> radar- en satellietbeelden</w:t>
      </w:r>
      <w:r w:rsidR="000F7D70">
        <w:rPr>
          <w:lang w:val="nl-NL"/>
        </w:rPr>
        <w:t xml:space="preserve"> </w:t>
      </w:r>
      <w:r w:rsidR="00A51BF5">
        <w:rPr>
          <w:lang w:val="nl-NL"/>
        </w:rPr>
        <w:t xml:space="preserve">kan hierbij relevant zijn omdat </w:t>
      </w:r>
      <w:r w:rsidR="00D33A79">
        <w:rPr>
          <w:lang w:val="nl-NL"/>
        </w:rPr>
        <w:t xml:space="preserve">dit </w:t>
      </w:r>
      <w:r w:rsidR="00A51BF5">
        <w:rPr>
          <w:lang w:val="nl-NL"/>
        </w:rPr>
        <w:t xml:space="preserve">de precieze locatie in het gebied van 320 km² </w:t>
      </w:r>
      <w:r w:rsidR="00D33A79">
        <w:rPr>
          <w:lang w:val="nl-NL"/>
        </w:rPr>
        <w:t xml:space="preserve">nader kan concretiseren en derhalve de identiteit van de mogelijke eenheid of personen die het projectiel </w:t>
      </w:r>
      <w:r w:rsidR="00D052C1">
        <w:rPr>
          <w:lang w:val="nl-NL"/>
        </w:rPr>
        <w:t xml:space="preserve">zouden </w:t>
      </w:r>
      <w:r w:rsidR="00D33A79">
        <w:rPr>
          <w:lang w:val="nl-NL"/>
        </w:rPr>
        <w:t>hebben afgevuurd</w:t>
      </w:r>
      <w:r w:rsidR="00F90584">
        <w:rPr>
          <w:lang w:val="nl-NL"/>
        </w:rPr>
        <w:t>.</w:t>
      </w:r>
      <w:r w:rsidR="000F7D70">
        <w:rPr>
          <w:lang w:val="nl-NL"/>
        </w:rPr>
        <w:t xml:space="preserve"> </w:t>
      </w:r>
      <w:r w:rsidR="00D052C1">
        <w:rPr>
          <w:lang w:val="nl-NL"/>
        </w:rPr>
        <w:t xml:space="preserve">Dergelijk beeldmateriaal is in ieder geval relevant </w:t>
      </w:r>
      <w:r w:rsidR="000F7D70">
        <w:rPr>
          <w:lang w:val="nl-NL"/>
        </w:rPr>
        <w:t>om het gebied van waaruit de</w:t>
      </w:r>
      <w:r w:rsidR="00D714FE">
        <w:rPr>
          <w:lang w:val="nl-NL"/>
        </w:rPr>
        <w:t xml:space="preserve"> gesteld</w:t>
      </w:r>
      <w:r w:rsidR="00B664AF">
        <w:rPr>
          <w:lang w:val="nl-NL"/>
        </w:rPr>
        <w:t>e</w:t>
      </w:r>
      <w:r w:rsidR="000F7D70">
        <w:rPr>
          <w:lang w:val="nl-NL"/>
        </w:rPr>
        <w:t xml:space="preserve"> Buk raket is afgevuurd nauwkeuriger te bepalen</w:t>
      </w:r>
      <w:r w:rsidR="00D052C1">
        <w:rPr>
          <w:lang w:val="nl-NL"/>
        </w:rPr>
        <w:t xml:space="preserve"> hetgeen </w:t>
      </w:r>
      <w:r w:rsidR="00D714FE">
        <w:rPr>
          <w:lang w:val="nl-NL"/>
        </w:rPr>
        <w:t>in</w:t>
      </w:r>
      <w:r w:rsidR="00D052C1">
        <w:rPr>
          <w:lang w:val="nl-NL"/>
        </w:rPr>
        <w:t xml:space="preserve"> de potentiele bewijsketen (zie hierna) van belang is</w:t>
      </w:r>
      <w:r w:rsidR="000F7D70">
        <w:rPr>
          <w:lang w:val="nl-NL"/>
        </w:rPr>
        <w:t xml:space="preserve">. </w:t>
      </w:r>
    </w:p>
    <w:p w:rsidR="00E332A0" w:rsidP="00DA26B9" w:rsidRDefault="00A51BF5">
      <w:pPr>
        <w:pStyle w:val="Kop2"/>
        <w:numPr>
          <w:ilvl w:val="0"/>
          <w:numId w:val="3"/>
        </w:numPr>
        <w:jc w:val="both"/>
        <w:rPr>
          <w:lang w:val="nl-NL"/>
        </w:rPr>
      </w:pPr>
      <w:bookmarkStart w:name="_Toc441140009" w:id="10"/>
      <w:r>
        <w:rPr>
          <w:lang w:val="nl-NL"/>
        </w:rPr>
        <w:t xml:space="preserve">Chain of </w:t>
      </w:r>
      <w:proofErr w:type="spellStart"/>
      <w:r>
        <w:rPr>
          <w:lang w:val="nl-NL"/>
        </w:rPr>
        <w:t>Custody</w:t>
      </w:r>
      <w:proofErr w:type="spellEnd"/>
      <w:r>
        <w:rPr>
          <w:lang w:val="nl-NL"/>
        </w:rPr>
        <w:t xml:space="preserve"> (bewijsketen)</w:t>
      </w:r>
      <w:bookmarkEnd w:id="10"/>
    </w:p>
    <w:p w:rsidR="00E332A0" w:rsidP="00DA26B9" w:rsidRDefault="00E332A0">
      <w:pPr>
        <w:jc w:val="both"/>
        <w:rPr>
          <w:lang w:val="nl-NL"/>
        </w:rPr>
      </w:pPr>
      <w:r>
        <w:rPr>
          <w:lang w:val="nl-NL"/>
        </w:rPr>
        <w:t>Volgens het rapport van de OVV is er</w:t>
      </w:r>
      <w:r w:rsidR="00D052C1">
        <w:rPr>
          <w:lang w:val="nl-NL"/>
        </w:rPr>
        <w:t xml:space="preserve"> sprake van</w:t>
      </w:r>
      <w:r>
        <w:rPr>
          <w:lang w:val="nl-NL"/>
        </w:rPr>
        <w:t xml:space="preserve"> bewijs dat niet rechtstreeks door de </w:t>
      </w:r>
      <w:r w:rsidR="00231AA8">
        <w:rPr>
          <w:lang w:val="nl-NL"/>
        </w:rPr>
        <w:t xml:space="preserve">OVV zelf is </w:t>
      </w:r>
      <w:r w:rsidR="008D2EC0">
        <w:rPr>
          <w:lang w:val="nl-NL"/>
        </w:rPr>
        <w:t>veiliggesteld</w:t>
      </w:r>
      <w:r w:rsidR="00231AA8">
        <w:rPr>
          <w:lang w:val="nl-NL"/>
        </w:rPr>
        <w:t>. Er zijn meerdere</w:t>
      </w:r>
      <w:r w:rsidR="00E813B4">
        <w:rPr>
          <w:lang w:val="nl-NL"/>
        </w:rPr>
        <w:t xml:space="preserve"> gevallen genoteerd waarin de bewijs</w:t>
      </w:r>
      <w:r w:rsidR="00231AA8">
        <w:rPr>
          <w:lang w:val="nl-NL"/>
        </w:rPr>
        <w:t>stukken</w:t>
      </w:r>
      <w:r w:rsidR="00E813B4">
        <w:rPr>
          <w:lang w:val="nl-NL"/>
        </w:rPr>
        <w:t xml:space="preserve"> van hun oorspronkelijke plaats zijn verwijderd.</w:t>
      </w:r>
      <w:r w:rsidR="00E813B4">
        <w:rPr>
          <w:rStyle w:val="Voetnootmarkering"/>
          <w:lang w:val="nl-NL"/>
        </w:rPr>
        <w:footnoteReference w:id="3"/>
      </w:r>
      <w:r w:rsidR="00E813B4">
        <w:rPr>
          <w:lang w:val="nl-NL"/>
        </w:rPr>
        <w:t xml:space="preserve"> Het is daardoor mogelijk dat het bewijs</w:t>
      </w:r>
      <w:r w:rsidR="00D052C1">
        <w:rPr>
          <w:lang w:val="nl-NL"/>
        </w:rPr>
        <w:t xml:space="preserve"> </w:t>
      </w:r>
      <w:r w:rsidR="00E813B4">
        <w:rPr>
          <w:lang w:val="nl-NL"/>
        </w:rPr>
        <w:t xml:space="preserve">onvolledig of gecontamineerd is. Dit </w:t>
      </w:r>
      <w:r w:rsidR="00A51BF5">
        <w:rPr>
          <w:lang w:val="nl-NL"/>
        </w:rPr>
        <w:t xml:space="preserve">aspect verdient zorgvuldige </w:t>
      </w:r>
      <w:r w:rsidR="00D33A79">
        <w:rPr>
          <w:lang w:val="nl-NL"/>
        </w:rPr>
        <w:t>aandacht</w:t>
      </w:r>
      <w:r w:rsidR="00E813B4">
        <w:rPr>
          <w:lang w:val="nl-NL"/>
        </w:rPr>
        <w:t xml:space="preserve"> in</w:t>
      </w:r>
      <w:r w:rsidR="00191781">
        <w:rPr>
          <w:lang w:val="nl-NL"/>
        </w:rPr>
        <w:t xml:space="preserve"> het strafrechtelijk onderzoek nu in iedere strafrechtelijke vervolging deze “bewijsketen” onomstotelijk dient vast te staan</w:t>
      </w:r>
      <w:r w:rsidR="00D052C1">
        <w:rPr>
          <w:lang w:val="nl-NL"/>
        </w:rPr>
        <w:t xml:space="preserve"> wil men een vervolging verzekeren</w:t>
      </w:r>
      <w:r w:rsidR="00191781">
        <w:rPr>
          <w:lang w:val="nl-NL"/>
        </w:rPr>
        <w:t xml:space="preserve">. </w:t>
      </w:r>
      <w:r w:rsidR="0090225A">
        <w:rPr>
          <w:lang w:val="nl-NL"/>
        </w:rPr>
        <w:t xml:space="preserve">Doordat </w:t>
      </w:r>
      <w:r w:rsidR="00D052C1">
        <w:rPr>
          <w:lang w:val="nl-NL"/>
        </w:rPr>
        <w:t xml:space="preserve">bijvoorbeeld </w:t>
      </w:r>
      <w:r w:rsidR="00B664AF">
        <w:rPr>
          <w:lang w:val="nl-NL"/>
        </w:rPr>
        <w:t xml:space="preserve">na </w:t>
      </w:r>
      <w:r w:rsidR="0090225A">
        <w:rPr>
          <w:lang w:val="nl-NL"/>
        </w:rPr>
        <w:t xml:space="preserve"> het </w:t>
      </w:r>
      <w:proofErr w:type="spellStart"/>
      <w:r w:rsidR="0090225A">
        <w:rPr>
          <w:lang w:val="nl-NL"/>
        </w:rPr>
        <w:t>Lockerbie</w:t>
      </w:r>
      <w:proofErr w:type="spellEnd"/>
      <w:r w:rsidR="0090225A">
        <w:rPr>
          <w:lang w:val="nl-NL"/>
        </w:rPr>
        <w:t xml:space="preserve"> Incident in 1988 de Amerikaanse en Brits</w:t>
      </w:r>
      <w:r w:rsidR="00D052C1">
        <w:rPr>
          <w:lang w:val="nl-NL"/>
        </w:rPr>
        <w:t>e</w:t>
      </w:r>
      <w:r w:rsidR="0090225A">
        <w:rPr>
          <w:lang w:val="nl-NL"/>
        </w:rPr>
        <w:t xml:space="preserve"> onderzoekers direct ter plaatse konden komen, kon dit aspect in het </w:t>
      </w:r>
      <w:proofErr w:type="spellStart"/>
      <w:r w:rsidR="0090225A">
        <w:rPr>
          <w:lang w:val="nl-NL"/>
        </w:rPr>
        <w:t>Lockerbie</w:t>
      </w:r>
      <w:proofErr w:type="spellEnd"/>
      <w:r w:rsidR="0090225A">
        <w:rPr>
          <w:lang w:val="nl-NL"/>
        </w:rPr>
        <w:t xml:space="preserve"> proces</w:t>
      </w:r>
      <w:r w:rsidR="001B5CB5">
        <w:rPr>
          <w:lang w:val="nl-NL"/>
        </w:rPr>
        <w:t xml:space="preserve"> in 2000</w:t>
      </w:r>
      <w:r w:rsidR="0090225A">
        <w:rPr>
          <w:lang w:val="nl-NL"/>
        </w:rPr>
        <w:t xml:space="preserve"> geen</w:t>
      </w:r>
      <w:r w:rsidR="00D714FE">
        <w:rPr>
          <w:lang w:val="nl-NL"/>
        </w:rPr>
        <w:t xml:space="preserve"> voor het OM nadelige</w:t>
      </w:r>
      <w:r w:rsidR="0090225A">
        <w:rPr>
          <w:lang w:val="nl-NL"/>
        </w:rPr>
        <w:t xml:space="preserve"> rol meer spelen. </w:t>
      </w:r>
    </w:p>
    <w:p w:rsidR="003743B1" w:rsidP="00DA26B9" w:rsidRDefault="00142240">
      <w:pPr>
        <w:pStyle w:val="Kop2"/>
        <w:numPr>
          <w:ilvl w:val="0"/>
          <w:numId w:val="3"/>
        </w:numPr>
        <w:jc w:val="both"/>
        <w:rPr>
          <w:lang w:val="nl-NL"/>
        </w:rPr>
      </w:pPr>
      <w:bookmarkStart w:name="_Toc441140010" w:id="11"/>
      <w:r>
        <w:rPr>
          <w:lang w:val="nl-NL"/>
        </w:rPr>
        <w:t>Bewijsrechtelijke fasering</w:t>
      </w:r>
      <w:bookmarkEnd w:id="11"/>
    </w:p>
    <w:p w:rsidRPr="00142240" w:rsidR="00142240" w:rsidP="00DA26B9" w:rsidRDefault="00B664AF">
      <w:pPr>
        <w:jc w:val="both"/>
        <w:rPr>
          <w:lang w:val="nl-NL"/>
        </w:rPr>
      </w:pPr>
      <w:r>
        <w:rPr>
          <w:lang w:val="nl-NL"/>
        </w:rPr>
        <w:t xml:space="preserve">Afgezien van de </w:t>
      </w:r>
      <w:r w:rsidRPr="00B664AF" w:rsidR="00A51BF5">
        <w:rPr>
          <w:i/>
          <w:lang w:val="nl-NL"/>
        </w:rPr>
        <w:t xml:space="preserve">chain of </w:t>
      </w:r>
      <w:proofErr w:type="spellStart"/>
      <w:r w:rsidRPr="00B664AF" w:rsidR="00A51BF5">
        <w:rPr>
          <w:i/>
          <w:lang w:val="nl-NL"/>
        </w:rPr>
        <w:t>custody</w:t>
      </w:r>
      <w:proofErr w:type="spellEnd"/>
      <w:r w:rsidR="00A51BF5">
        <w:rPr>
          <w:lang w:val="nl-NL"/>
        </w:rPr>
        <w:t xml:space="preserve"> </w:t>
      </w:r>
      <w:r w:rsidR="00700275">
        <w:rPr>
          <w:lang w:val="nl-NL"/>
        </w:rPr>
        <w:t>(</w:t>
      </w:r>
      <w:r w:rsidR="00A51BF5">
        <w:rPr>
          <w:lang w:val="nl-NL"/>
        </w:rPr>
        <w:t>bewijsketen</w:t>
      </w:r>
      <w:r w:rsidR="00700275">
        <w:rPr>
          <w:lang w:val="nl-NL"/>
        </w:rPr>
        <w:t xml:space="preserve">) die hiervoor werd besproken, zullen de </w:t>
      </w:r>
      <w:r w:rsidR="00142240">
        <w:rPr>
          <w:lang w:val="nl-NL"/>
        </w:rPr>
        <w:t>volgende bewijsrechtelijke stadia moeten worden</w:t>
      </w:r>
      <w:r w:rsidR="00700275">
        <w:rPr>
          <w:lang w:val="nl-NL"/>
        </w:rPr>
        <w:t xml:space="preserve"> doorlopen</w:t>
      </w:r>
      <w:r w:rsidR="00142240">
        <w:rPr>
          <w:lang w:val="nl-NL"/>
        </w:rPr>
        <w:t xml:space="preserve"> om überhaupt “een bewijsbare” zaak te kunnen </w:t>
      </w:r>
      <w:r w:rsidR="00D714FE">
        <w:rPr>
          <w:lang w:val="nl-NL"/>
        </w:rPr>
        <w:t>presenteren</w:t>
      </w:r>
      <w:r w:rsidR="00142240">
        <w:rPr>
          <w:lang w:val="nl-NL"/>
        </w:rPr>
        <w:t xml:space="preserve">.  </w:t>
      </w:r>
    </w:p>
    <w:p w:rsidR="00B155DE" w:rsidP="00DA26B9" w:rsidRDefault="00B155DE">
      <w:pPr>
        <w:pStyle w:val="Lijstalinea"/>
        <w:numPr>
          <w:ilvl w:val="0"/>
          <w:numId w:val="4"/>
        </w:numPr>
        <w:jc w:val="both"/>
        <w:rPr>
          <w:lang w:val="nl-NL"/>
        </w:rPr>
      </w:pPr>
      <w:r>
        <w:rPr>
          <w:lang w:val="nl-NL"/>
        </w:rPr>
        <w:t>Forensisch technisch bewijs van het soort proj</w:t>
      </w:r>
      <w:r w:rsidR="00B664AF">
        <w:rPr>
          <w:lang w:val="nl-NL"/>
        </w:rPr>
        <w:t>ectiel dat de MH17 neerhaalde;</w:t>
      </w:r>
      <w:r w:rsidR="005C363A">
        <w:rPr>
          <w:rStyle w:val="Voetnootmarkering"/>
          <w:lang w:val="nl-NL"/>
        </w:rPr>
        <w:footnoteReference w:id="4"/>
      </w:r>
    </w:p>
    <w:p w:rsidR="00B155DE" w:rsidP="00DA26B9" w:rsidRDefault="00B155DE">
      <w:pPr>
        <w:pStyle w:val="Lijstalinea"/>
        <w:numPr>
          <w:ilvl w:val="0"/>
          <w:numId w:val="4"/>
        </w:numPr>
        <w:jc w:val="both"/>
        <w:rPr>
          <w:lang w:val="nl-NL"/>
        </w:rPr>
      </w:pPr>
      <w:r>
        <w:rPr>
          <w:lang w:val="nl-NL"/>
        </w:rPr>
        <w:t>Forensische technisch bewijs van het gebied van waaruit de MH17 werd neergehaald</w:t>
      </w:r>
      <w:r w:rsidR="00B664AF">
        <w:rPr>
          <w:lang w:val="nl-NL"/>
        </w:rPr>
        <w:t>;</w:t>
      </w:r>
    </w:p>
    <w:p w:rsidR="00B155DE" w:rsidP="00DA26B9" w:rsidRDefault="00B155DE">
      <w:pPr>
        <w:pStyle w:val="Lijstalinea"/>
        <w:numPr>
          <w:ilvl w:val="0"/>
          <w:numId w:val="4"/>
        </w:numPr>
        <w:jc w:val="both"/>
        <w:rPr>
          <w:lang w:val="nl-NL"/>
        </w:rPr>
      </w:pPr>
      <w:r>
        <w:rPr>
          <w:lang w:val="nl-NL"/>
        </w:rPr>
        <w:t xml:space="preserve">De </w:t>
      </w:r>
      <w:r w:rsidR="00FE2961">
        <w:rPr>
          <w:lang w:val="nl-NL"/>
        </w:rPr>
        <w:t xml:space="preserve">eenheid of persoon die </w:t>
      </w:r>
      <w:r w:rsidR="005C363A">
        <w:rPr>
          <w:lang w:val="nl-NL"/>
        </w:rPr>
        <w:t xml:space="preserve">in het betreffende gebied opereerde en die </w:t>
      </w:r>
      <w:r w:rsidR="00FE2961">
        <w:rPr>
          <w:lang w:val="nl-NL"/>
        </w:rPr>
        <w:t>het projectiel in dat gebied</w:t>
      </w:r>
      <w:r w:rsidR="005C363A">
        <w:rPr>
          <w:lang w:val="nl-NL"/>
        </w:rPr>
        <w:t xml:space="preserve"> kan hebben afgevuurd</w:t>
      </w:r>
      <w:r w:rsidR="00B664AF">
        <w:rPr>
          <w:lang w:val="nl-NL"/>
        </w:rPr>
        <w:t>;</w:t>
      </w:r>
    </w:p>
    <w:p w:rsidR="00FE2961" w:rsidP="00DA26B9" w:rsidRDefault="00FE2961">
      <w:pPr>
        <w:pStyle w:val="Lijstalinea"/>
        <w:numPr>
          <w:ilvl w:val="0"/>
          <w:numId w:val="4"/>
        </w:numPr>
        <w:jc w:val="both"/>
        <w:rPr>
          <w:lang w:val="nl-NL"/>
        </w:rPr>
      </w:pPr>
      <w:r>
        <w:rPr>
          <w:lang w:val="nl-NL"/>
        </w:rPr>
        <w:t xml:space="preserve">De superieur van deze </w:t>
      </w:r>
      <w:r w:rsidR="00B664AF">
        <w:rPr>
          <w:lang w:val="nl-NL"/>
        </w:rPr>
        <w:t>eenheid of persoon;</w:t>
      </w:r>
      <w:r w:rsidR="001921FF">
        <w:rPr>
          <w:lang w:val="nl-NL"/>
        </w:rPr>
        <w:t xml:space="preserve"> </w:t>
      </w:r>
    </w:p>
    <w:p w:rsidR="001921FF" w:rsidP="00DA26B9" w:rsidRDefault="00FE2961">
      <w:pPr>
        <w:pStyle w:val="Lijstalinea"/>
        <w:numPr>
          <w:ilvl w:val="0"/>
          <w:numId w:val="4"/>
        </w:numPr>
        <w:jc w:val="both"/>
        <w:rPr>
          <w:lang w:val="nl-NL"/>
        </w:rPr>
      </w:pPr>
      <w:r w:rsidRPr="0082755C">
        <w:rPr>
          <w:lang w:val="nl-NL"/>
        </w:rPr>
        <w:t>De event</w:t>
      </w:r>
      <w:r w:rsidR="00A51BF5">
        <w:rPr>
          <w:lang w:val="nl-NL"/>
        </w:rPr>
        <w:t>uele politiek verantwoordelijk</w:t>
      </w:r>
      <w:r w:rsidR="00B664AF">
        <w:rPr>
          <w:lang w:val="nl-NL"/>
        </w:rPr>
        <w:t>e voor deze eenheid of personen.</w:t>
      </w:r>
    </w:p>
    <w:p w:rsidR="0082755C" w:rsidP="00DA26B9" w:rsidRDefault="0082755C">
      <w:pPr>
        <w:jc w:val="both"/>
        <w:rPr>
          <w:lang w:val="nl-NL"/>
        </w:rPr>
      </w:pPr>
      <w:r>
        <w:rPr>
          <w:lang w:val="nl-NL"/>
        </w:rPr>
        <w:t xml:space="preserve">Bij </w:t>
      </w:r>
      <w:r w:rsidR="005C363A">
        <w:rPr>
          <w:lang w:val="nl-NL"/>
        </w:rPr>
        <w:t>onderdeel</w:t>
      </w:r>
      <w:r>
        <w:rPr>
          <w:lang w:val="nl-NL"/>
        </w:rPr>
        <w:t xml:space="preserve"> 4 en 5 </w:t>
      </w:r>
      <w:r w:rsidR="00B664AF">
        <w:rPr>
          <w:lang w:val="nl-NL"/>
        </w:rPr>
        <w:t>zou</w:t>
      </w:r>
      <w:r w:rsidR="001B5CB5">
        <w:rPr>
          <w:lang w:val="nl-NL"/>
        </w:rPr>
        <w:t xml:space="preserve"> aansluiting kunnen worden gezocht bij de </w:t>
      </w:r>
      <w:r>
        <w:rPr>
          <w:lang w:val="nl-NL"/>
        </w:rPr>
        <w:t>jurisprudentie</w:t>
      </w:r>
      <w:r w:rsidR="00B664AF">
        <w:rPr>
          <w:lang w:val="nl-NL"/>
        </w:rPr>
        <w:t>,</w:t>
      </w:r>
      <w:r>
        <w:rPr>
          <w:lang w:val="nl-NL"/>
        </w:rPr>
        <w:t xml:space="preserve"> </w:t>
      </w:r>
      <w:r w:rsidR="001B5CB5">
        <w:rPr>
          <w:lang w:val="nl-NL"/>
        </w:rPr>
        <w:t xml:space="preserve">van met name het </w:t>
      </w:r>
      <w:r w:rsidR="00C609C0">
        <w:rPr>
          <w:lang w:val="nl-NL"/>
        </w:rPr>
        <w:t>Joegoslavië Tribunaal</w:t>
      </w:r>
      <w:r w:rsidR="00B664AF">
        <w:rPr>
          <w:lang w:val="nl-NL"/>
        </w:rPr>
        <w:t>,</w:t>
      </w:r>
      <w:r w:rsidR="001B5CB5">
        <w:rPr>
          <w:lang w:val="nl-NL"/>
        </w:rPr>
        <w:t xml:space="preserve"> waar het leerstuk van de </w:t>
      </w:r>
      <w:r w:rsidR="00B664AF">
        <w:rPr>
          <w:lang w:val="nl-NL"/>
        </w:rPr>
        <w:t>“</w:t>
      </w:r>
      <w:r w:rsidR="001B5CB5">
        <w:rPr>
          <w:lang w:val="nl-NL"/>
        </w:rPr>
        <w:t>commandanten aansprakelijkheid</w:t>
      </w:r>
      <w:r w:rsidR="00B664AF">
        <w:rPr>
          <w:lang w:val="nl-NL"/>
        </w:rPr>
        <w:t>”</w:t>
      </w:r>
      <w:r w:rsidR="001B5CB5">
        <w:rPr>
          <w:lang w:val="nl-NL"/>
        </w:rPr>
        <w:t xml:space="preserve"> is ontwikkeld</w:t>
      </w:r>
      <w:r w:rsidR="00C609C0">
        <w:rPr>
          <w:lang w:val="nl-NL"/>
        </w:rPr>
        <w:t xml:space="preserve">. </w:t>
      </w:r>
      <w:r w:rsidR="006F17EC">
        <w:rPr>
          <w:lang w:val="nl-NL"/>
        </w:rPr>
        <w:lastRenderedPageBreak/>
        <w:t xml:space="preserve">Uit </w:t>
      </w:r>
      <w:r w:rsidR="005C363A">
        <w:rPr>
          <w:lang w:val="nl-NL"/>
        </w:rPr>
        <w:t xml:space="preserve">onder meer </w:t>
      </w:r>
      <w:r w:rsidR="006F17EC">
        <w:rPr>
          <w:lang w:val="nl-NL"/>
        </w:rPr>
        <w:t xml:space="preserve">de </w:t>
      </w:r>
      <w:proofErr w:type="spellStart"/>
      <w:r w:rsidR="006F17EC">
        <w:rPr>
          <w:i/>
          <w:lang w:val="nl-NL"/>
        </w:rPr>
        <w:t>Milutinovic</w:t>
      </w:r>
      <w:proofErr w:type="spellEnd"/>
      <w:r w:rsidR="006F17EC">
        <w:rPr>
          <w:i/>
          <w:lang w:val="nl-NL"/>
        </w:rPr>
        <w:t xml:space="preserve"> </w:t>
      </w:r>
      <w:r w:rsidR="006F17EC">
        <w:rPr>
          <w:lang w:val="nl-NL"/>
        </w:rPr>
        <w:t xml:space="preserve">zaak komt naar voren dat bij </w:t>
      </w:r>
      <w:r w:rsidR="00B664AF">
        <w:rPr>
          <w:lang w:val="nl-NL"/>
        </w:rPr>
        <w:t>“</w:t>
      </w:r>
      <w:r w:rsidR="006F17EC">
        <w:rPr>
          <w:lang w:val="nl-NL"/>
        </w:rPr>
        <w:t>commandanten aansprakelijkheid</w:t>
      </w:r>
      <w:r w:rsidR="00B664AF">
        <w:rPr>
          <w:lang w:val="nl-NL"/>
        </w:rPr>
        <w:t>”</w:t>
      </w:r>
      <w:r w:rsidR="00A7792B">
        <w:rPr>
          <w:lang w:val="nl-NL"/>
        </w:rPr>
        <w:t xml:space="preserve"> drie ver</w:t>
      </w:r>
      <w:r w:rsidR="004846D3">
        <w:rPr>
          <w:lang w:val="nl-NL"/>
        </w:rPr>
        <w:t>eisten moeten worden aangetoond:</w:t>
      </w:r>
    </w:p>
    <w:p w:rsidR="00A7792B" w:rsidP="00DA26B9" w:rsidRDefault="00A7792B">
      <w:pPr>
        <w:pStyle w:val="Lijstalinea"/>
        <w:numPr>
          <w:ilvl w:val="0"/>
          <w:numId w:val="6"/>
        </w:numPr>
        <w:jc w:val="both"/>
        <w:rPr>
          <w:lang w:val="nl-NL"/>
        </w:rPr>
      </w:pPr>
      <w:r>
        <w:rPr>
          <w:lang w:val="nl-NL"/>
        </w:rPr>
        <w:t>Er</w:t>
      </w:r>
      <w:r w:rsidR="00C63021">
        <w:rPr>
          <w:lang w:val="nl-NL"/>
        </w:rPr>
        <w:t xml:space="preserve"> moet sprake zijn van een superieur-onder</w:t>
      </w:r>
      <w:r w:rsidR="001B5CB5">
        <w:rPr>
          <w:lang w:val="nl-NL"/>
        </w:rPr>
        <w:t>ge</w:t>
      </w:r>
      <w:r w:rsidR="00C63021">
        <w:rPr>
          <w:lang w:val="nl-NL"/>
        </w:rPr>
        <w:t>schikte verhouding tussen verantwoordelijke en de pers</w:t>
      </w:r>
      <w:r w:rsidR="00B664AF">
        <w:rPr>
          <w:lang w:val="nl-NL"/>
        </w:rPr>
        <w:t>oon die het projectiel afvuurde;</w:t>
      </w:r>
      <w:r w:rsidR="00C63021">
        <w:rPr>
          <w:rStyle w:val="Voetnootmarkering"/>
          <w:lang w:val="nl-NL"/>
        </w:rPr>
        <w:footnoteReference w:id="5"/>
      </w:r>
    </w:p>
    <w:p w:rsidR="00C63021" w:rsidP="00DA26B9" w:rsidRDefault="00C63021">
      <w:pPr>
        <w:pStyle w:val="Lijstalinea"/>
        <w:numPr>
          <w:ilvl w:val="0"/>
          <w:numId w:val="6"/>
        </w:numPr>
        <w:jc w:val="both"/>
        <w:rPr>
          <w:lang w:val="nl-NL"/>
        </w:rPr>
      </w:pPr>
      <w:r>
        <w:rPr>
          <w:lang w:val="nl-NL"/>
        </w:rPr>
        <w:t>De verantwoordelijke</w:t>
      </w:r>
      <w:r w:rsidR="001B5CB5">
        <w:rPr>
          <w:lang w:val="nl-NL"/>
        </w:rPr>
        <w:t xml:space="preserve"> (superieur) wist of </w:t>
      </w:r>
      <w:r>
        <w:rPr>
          <w:lang w:val="nl-NL"/>
        </w:rPr>
        <w:t xml:space="preserve">had moeten weten dat </w:t>
      </w:r>
      <w:r w:rsidR="005C363A">
        <w:rPr>
          <w:lang w:val="nl-NL"/>
        </w:rPr>
        <w:t xml:space="preserve">dit afvuren een misdrijf was </w:t>
      </w:r>
      <w:r w:rsidR="00D714FE">
        <w:rPr>
          <w:lang w:val="nl-NL"/>
        </w:rPr>
        <w:t>en</w:t>
      </w:r>
      <w:r w:rsidR="005C363A">
        <w:rPr>
          <w:lang w:val="nl-NL"/>
        </w:rPr>
        <w:t xml:space="preserve"> </w:t>
      </w:r>
      <w:r w:rsidR="002252AF">
        <w:rPr>
          <w:lang w:val="nl-NL"/>
        </w:rPr>
        <w:t xml:space="preserve">dat dit </w:t>
      </w:r>
      <w:r w:rsidR="00D714FE">
        <w:rPr>
          <w:lang w:val="nl-NL"/>
        </w:rPr>
        <w:t xml:space="preserve">misdrijf plaatsvond of </w:t>
      </w:r>
      <w:r w:rsidR="001B5CB5">
        <w:rPr>
          <w:lang w:val="nl-NL"/>
        </w:rPr>
        <w:t>zou gaan plaatsvinden</w:t>
      </w:r>
      <w:r w:rsidR="00B664AF">
        <w:rPr>
          <w:lang w:val="nl-NL"/>
        </w:rPr>
        <w:t>;</w:t>
      </w:r>
      <w:r>
        <w:rPr>
          <w:rStyle w:val="Voetnootmarkering"/>
          <w:lang w:val="nl-NL"/>
        </w:rPr>
        <w:footnoteReference w:id="6"/>
      </w:r>
    </w:p>
    <w:p w:rsidR="00C63021" w:rsidP="00DA26B9" w:rsidRDefault="00C63021">
      <w:pPr>
        <w:pStyle w:val="Lijstalinea"/>
        <w:numPr>
          <w:ilvl w:val="0"/>
          <w:numId w:val="6"/>
        </w:numPr>
        <w:jc w:val="both"/>
        <w:rPr>
          <w:lang w:val="nl-NL"/>
        </w:rPr>
      </w:pPr>
      <w:r>
        <w:rPr>
          <w:lang w:val="nl-NL"/>
        </w:rPr>
        <w:t>De verantwoordelijk</w:t>
      </w:r>
      <w:r w:rsidR="002252AF">
        <w:rPr>
          <w:lang w:val="nl-NL"/>
        </w:rPr>
        <w:t>e</w:t>
      </w:r>
      <w:r>
        <w:rPr>
          <w:lang w:val="nl-NL"/>
        </w:rPr>
        <w:t xml:space="preserve"> </w:t>
      </w:r>
      <w:r w:rsidR="00D714FE">
        <w:rPr>
          <w:lang w:val="nl-NL"/>
        </w:rPr>
        <w:t xml:space="preserve">(superieur) </w:t>
      </w:r>
      <w:r>
        <w:rPr>
          <w:lang w:val="nl-NL"/>
        </w:rPr>
        <w:t xml:space="preserve">heeft geen passende maatregelen genomen om </w:t>
      </w:r>
      <w:r w:rsidR="002252AF">
        <w:rPr>
          <w:lang w:val="nl-NL"/>
        </w:rPr>
        <w:t>dit</w:t>
      </w:r>
      <w:r>
        <w:rPr>
          <w:lang w:val="nl-NL"/>
        </w:rPr>
        <w:t xml:space="preserve"> misdrijf te voorkomen of om</w:t>
      </w:r>
      <w:r w:rsidR="001B5CB5">
        <w:rPr>
          <w:lang w:val="nl-NL"/>
        </w:rPr>
        <w:t xml:space="preserve"> (nadien)</w:t>
      </w:r>
      <w:r>
        <w:rPr>
          <w:lang w:val="nl-NL"/>
        </w:rPr>
        <w:t xml:space="preserve"> zijn onder</w:t>
      </w:r>
      <w:r w:rsidR="00D714FE">
        <w:rPr>
          <w:lang w:val="nl-NL"/>
        </w:rPr>
        <w:t>ge</w:t>
      </w:r>
      <w:r>
        <w:rPr>
          <w:lang w:val="nl-NL"/>
        </w:rPr>
        <w:t>schikte te straffen.</w:t>
      </w:r>
      <w:r>
        <w:rPr>
          <w:rStyle w:val="Voetnootmarkering"/>
          <w:lang w:val="nl-NL"/>
        </w:rPr>
        <w:footnoteReference w:id="7"/>
      </w:r>
    </w:p>
    <w:p w:rsidR="004846D3" w:rsidP="00DA26B9" w:rsidRDefault="002252AF">
      <w:pPr>
        <w:jc w:val="both"/>
        <w:rPr>
          <w:lang w:val="nl-NL"/>
        </w:rPr>
      </w:pPr>
      <w:r>
        <w:rPr>
          <w:lang w:val="nl-NL"/>
        </w:rPr>
        <w:t>Bij dit leerstuk</w:t>
      </w:r>
      <w:r w:rsidR="004846D3">
        <w:rPr>
          <w:lang w:val="nl-NL"/>
        </w:rPr>
        <w:t xml:space="preserve"> moet </w:t>
      </w:r>
      <w:r>
        <w:rPr>
          <w:lang w:val="nl-NL"/>
        </w:rPr>
        <w:t xml:space="preserve">uiteindelijk </w:t>
      </w:r>
      <w:r w:rsidR="004846D3">
        <w:rPr>
          <w:lang w:val="nl-NL"/>
        </w:rPr>
        <w:t xml:space="preserve">de </w:t>
      </w:r>
      <w:r>
        <w:rPr>
          <w:lang w:val="nl-NL"/>
        </w:rPr>
        <w:t xml:space="preserve">“superieur” </w:t>
      </w:r>
      <w:r w:rsidR="004846D3">
        <w:rPr>
          <w:i/>
          <w:lang w:val="nl-NL"/>
        </w:rPr>
        <w:t xml:space="preserve">de </w:t>
      </w:r>
      <w:proofErr w:type="spellStart"/>
      <w:r w:rsidR="004846D3">
        <w:rPr>
          <w:i/>
          <w:lang w:val="nl-NL"/>
        </w:rPr>
        <w:t>jure</w:t>
      </w:r>
      <w:proofErr w:type="spellEnd"/>
      <w:r w:rsidR="004846D3">
        <w:rPr>
          <w:i/>
          <w:lang w:val="nl-NL"/>
        </w:rPr>
        <w:t xml:space="preserve"> </w:t>
      </w:r>
      <w:r w:rsidR="004846D3">
        <w:rPr>
          <w:lang w:val="nl-NL"/>
        </w:rPr>
        <w:t xml:space="preserve">en </w:t>
      </w:r>
      <w:r w:rsidR="004846D3">
        <w:rPr>
          <w:i/>
          <w:lang w:val="nl-NL"/>
        </w:rPr>
        <w:t xml:space="preserve">de facto </w:t>
      </w:r>
      <w:r w:rsidR="004846D3">
        <w:rPr>
          <w:lang w:val="nl-NL"/>
        </w:rPr>
        <w:t>controle hebben over de persoon of personen d</w:t>
      </w:r>
      <w:r w:rsidR="001B5CB5">
        <w:rPr>
          <w:lang w:val="nl-NL"/>
        </w:rPr>
        <w:t>ie het misdrijf hebben gepleegd, waarbij aangetoond moet w</w:t>
      </w:r>
      <w:r w:rsidR="00B664AF">
        <w:rPr>
          <w:lang w:val="nl-NL"/>
        </w:rPr>
        <w:t xml:space="preserve">orden dat de superieur de </w:t>
      </w:r>
      <w:proofErr w:type="spellStart"/>
      <w:r w:rsidRPr="00B664AF" w:rsidR="001B5CB5">
        <w:rPr>
          <w:i/>
          <w:lang w:val="nl-NL"/>
        </w:rPr>
        <w:t>material</w:t>
      </w:r>
      <w:proofErr w:type="spellEnd"/>
      <w:r w:rsidRPr="00B664AF" w:rsidR="001B5CB5">
        <w:rPr>
          <w:i/>
          <w:lang w:val="nl-NL"/>
        </w:rPr>
        <w:t xml:space="preserve"> </w:t>
      </w:r>
      <w:proofErr w:type="spellStart"/>
      <w:r w:rsidRPr="00B664AF" w:rsidR="001B5CB5">
        <w:rPr>
          <w:i/>
          <w:lang w:val="nl-NL"/>
        </w:rPr>
        <w:t>ability</w:t>
      </w:r>
      <w:proofErr w:type="spellEnd"/>
      <w:r w:rsidR="001B5CB5">
        <w:rPr>
          <w:lang w:val="nl-NL"/>
        </w:rPr>
        <w:t xml:space="preserve"> </w:t>
      </w:r>
      <w:r>
        <w:rPr>
          <w:lang w:val="nl-NL"/>
        </w:rPr>
        <w:t xml:space="preserve">had </w:t>
      </w:r>
      <w:r w:rsidR="001B5CB5">
        <w:rPr>
          <w:lang w:val="nl-NL"/>
        </w:rPr>
        <w:t xml:space="preserve"> om het </w:t>
      </w:r>
      <w:r>
        <w:rPr>
          <w:lang w:val="nl-NL"/>
        </w:rPr>
        <w:t>(</w:t>
      </w:r>
      <w:r w:rsidR="001B5CB5">
        <w:rPr>
          <w:lang w:val="nl-NL"/>
        </w:rPr>
        <w:t>eventuele</w:t>
      </w:r>
      <w:r>
        <w:rPr>
          <w:lang w:val="nl-NL"/>
        </w:rPr>
        <w:t>)</w:t>
      </w:r>
      <w:r w:rsidR="001B5CB5">
        <w:rPr>
          <w:lang w:val="nl-NL"/>
        </w:rPr>
        <w:t xml:space="preserve"> misdrijf te voorkomen.</w:t>
      </w:r>
    </w:p>
    <w:p w:rsidRPr="004846D3" w:rsidR="006523B8" w:rsidP="00DA26B9" w:rsidRDefault="006523B8">
      <w:pPr>
        <w:jc w:val="both"/>
        <w:rPr>
          <w:lang w:val="nl-NL"/>
        </w:rPr>
      </w:pPr>
      <w:r>
        <w:rPr>
          <w:lang w:val="nl-NL"/>
        </w:rPr>
        <w:t xml:space="preserve">Dit leerstuk kan volgens </w:t>
      </w:r>
      <w:r w:rsidR="00D714FE">
        <w:rPr>
          <w:lang w:val="nl-NL"/>
        </w:rPr>
        <w:t xml:space="preserve">internationale </w:t>
      </w:r>
      <w:r>
        <w:rPr>
          <w:lang w:val="nl-NL"/>
        </w:rPr>
        <w:t xml:space="preserve">rechtspraak ook worden toegepast op politici, en zelfs </w:t>
      </w:r>
      <w:r w:rsidR="00D714FE">
        <w:rPr>
          <w:lang w:val="nl-NL"/>
        </w:rPr>
        <w:t xml:space="preserve">op </w:t>
      </w:r>
      <w:r>
        <w:rPr>
          <w:lang w:val="nl-NL"/>
        </w:rPr>
        <w:t>een president van een land</w:t>
      </w:r>
      <w:r w:rsidR="00827342">
        <w:rPr>
          <w:lang w:val="nl-NL"/>
        </w:rPr>
        <w:t xml:space="preserve"> (</w:t>
      </w:r>
      <w:r w:rsidR="002252AF">
        <w:rPr>
          <w:lang w:val="nl-NL"/>
        </w:rPr>
        <w:t>vergelijk:</w:t>
      </w:r>
      <w:r w:rsidR="00827342">
        <w:rPr>
          <w:lang w:val="nl-NL"/>
        </w:rPr>
        <w:t xml:space="preserve"> de </w:t>
      </w:r>
      <w:r w:rsidR="002252AF">
        <w:rPr>
          <w:lang w:val="nl-NL"/>
        </w:rPr>
        <w:t xml:space="preserve">huidige </w:t>
      </w:r>
      <w:r w:rsidR="00827342">
        <w:rPr>
          <w:lang w:val="nl-NL"/>
        </w:rPr>
        <w:t>vervolging voor het Internationaal Strafhof van de voormalig president van Ivoorkust</w:t>
      </w:r>
      <w:r w:rsidR="002252AF">
        <w:rPr>
          <w:lang w:val="nl-NL"/>
        </w:rPr>
        <w:t xml:space="preserve"> </w:t>
      </w:r>
      <w:r w:rsidR="00D714FE">
        <w:rPr>
          <w:lang w:val="nl-NL"/>
        </w:rPr>
        <w:t xml:space="preserve">vindt </w:t>
      </w:r>
      <w:r w:rsidR="002252AF">
        <w:rPr>
          <w:lang w:val="nl-NL"/>
        </w:rPr>
        <w:t>mede op grond van dit leerstuk</w:t>
      </w:r>
      <w:r w:rsidR="00D714FE">
        <w:rPr>
          <w:lang w:val="nl-NL"/>
        </w:rPr>
        <w:t xml:space="preserve"> plaats</w:t>
      </w:r>
      <w:r w:rsidR="00827342">
        <w:rPr>
          <w:lang w:val="nl-NL"/>
        </w:rPr>
        <w:t>).</w:t>
      </w:r>
    </w:p>
    <w:p w:rsidR="001921FF" w:rsidP="00DA26B9" w:rsidRDefault="00CE4D1B">
      <w:pPr>
        <w:jc w:val="both"/>
        <w:rPr>
          <w:lang w:val="nl-NL"/>
        </w:rPr>
      </w:pPr>
      <w:r>
        <w:rPr>
          <w:lang w:val="nl-NL"/>
        </w:rPr>
        <w:t xml:space="preserve">Naast de </w:t>
      </w:r>
      <w:r w:rsidR="000939FA">
        <w:rPr>
          <w:lang w:val="nl-NL"/>
        </w:rPr>
        <w:t>vijf</w:t>
      </w:r>
      <w:r>
        <w:rPr>
          <w:lang w:val="nl-NL"/>
        </w:rPr>
        <w:t xml:space="preserve"> genoemde bewijsrechtelijke stadia rijst nog een andere bewijsrechtelijke </w:t>
      </w:r>
      <w:r w:rsidR="001921FF">
        <w:rPr>
          <w:lang w:val="nl-NL"/>
        </w:rPr>
        <w:t xml:space="preserve">implicatie: bewijs van (voorwaardelijk) opzet. </w:t>
      </w:r>
      <w:r>
        <w:rPr>
          <w:lang w:val="nl-NL"/>
        </w:rPr>
        <w:t>Met andere woorden: i</w:t>
      </w:r>
      <w:r w:rsidR="001921FF">
        <w:rPr>
          <w:lang w:val="nl-NL"/>
        </w:rPr>
        <w:t xml:space="preserve">ndien de fasen 1 tot en met 5 bewijsrechtelijk zijn doorlopen met een positief gevolg, zal </w:t>
      </w:r>
      <w:r w:rsidR="002252AF">
        <w:rPr>
          <w:lang w:val="nl-NL"/>
        </w:rPr>
        <w:t>bovendien</w:t>
      </w:r>
      <w:r w:rsidR="001921FF">
        <w:rPr>
          <w:lang w:val="nl-NL"/>
        </w:rPr>
        <w:t xml:space="preserve"> aangetoond moeten worden dat het neerhalen van de MH17 met</w:t>
      </w:r>
      <w:r w:rsidR="002252AF">
        <w:rPr>
          <w:lang w:val="nl-NL"/>
        </w:rPr>
        <w:t xml:space="preserve"> strafrechtelijk</w:t>
      </w:r>
      <w:r w:rsidR="001921FF">
        <w:rPr>
          <w:lang w:val="nl-NL"/>
        </w:rPr>
        <w:t xml:space="preserve"> opzet geschiedde. Opzet betekent </w:t>
      </w:r>
      <w:r w:rsidR="00C43D3D">
        <w:rPr>
          <w:lang w:val="nl-NL"/>
        </w:rPr>
        <w:t>in dit geval</w:t>
      </w:r>
      <w:r w:rsidR="001921FF">
        <w:rPr>
          <w:lang w:val="nl-NL"/>
        </w:rPr>
        <w:t xml:space="preserve"> dat de betreffende verdachte </w:t>
      </w:r>
      <w:r w:rsidR="009738DB">
        <w:rPr>
          <w:lang w:val="nl-NL"/>
        </w:rPr>
        <w:t>bewust</w:t>
      </w:r>
      <w:r w:rsidR="001921FF">
        <w:rPr>
          <w:lang w:val="nl-NL"/>
        </w:rPr>
        <w:t xml:space="preserve"> </w:t>
      </w:r>
      <w:r w:rsidR="002252AF">
        <w:rPr>
          <w:lang w:val="nl-NL"/>
        </w:rPr>
        <w:t>de</w:t>
      </w:r>
      <w:r w:rsidR="001921FF">
        <w:rPr>
          <w:lang w:val="nl-NL"/>
        </w:rPr>
        <w:t xml:space="preserve"> </w:t>
      </w:r>
      <w:r w:rsidR="00CB6267">
        <w:rPr>
          <w:lang w:val="nl-NL"/>
        </w:rPr>
        <w:t xml:space="preserve">aanmerkelijke kans </w:t>
      </w:r>
      <w:r w:rsidR="002252AF">
        <w:rPr>
          <w:lang w:val="nl-NL"/>
        </w:rPr>
        <w:t xml:space="preserve">moet hebben aanvaard </w:t>
      </w:r>
      <w:r w:rsidR="00CB6267">
        <w:rPr>
          <w:lang w:val="nl-NL"/>
        </w:rPr>
        <w:t xml:space="preserve">dat het afschieten van het projectiel een passagiersvliegtuig </w:t>
      </w:r>
      <w:r w:rsidR="002252AF">
        <w:rPr>
          <w:lang w:val="nl-NL"/>
        </w:rPr>
        <w:t xml:space="preserve">en geen gevechtsvliegtuig </w:t>
      </w:r>
      <w:r w:rsidR="00CB6267">
        <w:rPr>
          <w:lang w:val="nl-NL"/>
        </w:rPr>
        <w:t>zou raken.</w:t>
      </w:r>
      <w:r w:rsidR="00CB6267">
        <w:rPr>
          <w:rStyle w:val="Voetnootmarkering"/>
          <w:lang w:val="nl-NL"/>
        </w:rPr>
        <w:footnoteReference w:id="8"/>
      </w:r>
      <w:r w:rsidR="00FF1E06">
        <w:rPr>
          <w:lang w:val="nl-NL"/>
        </w:rPr>
        <w:t xml:space="preserve"> Deze vorm van voorwaardelijk opzet wordt gezien als de ondergrens van het begrip </w:t>
      </w:r>
      <w:r w:rsidR="002252AF">
        <w:rPr>
          <w:lang w:val="nl-NL"/>
        </w:rPr>
        <w:t>opzet</w:t>
      </w:r>
      <w:r w:rsidR="00FF1E06">
        <w:rPr>
          <w:lang w:val="nl-NL"/>
        </w:rPr>
        <w:t>.</w:t>
      </w:r>
      <w:r w:rsidR="00FF1E06">
        <w:rPr>
          <w:rStyle w:val="Voetnootmarkering"/>
          <w:lang w:val="nl-NL"/>
        </w:rPr>
        <w:footnoteReference w:id="9"/>
      </w:r>
    </w:p>
    <w:p w:rsidRPr="006F17EC" w:rsidR="006F17EC" w:rsidP="00DA26B9" w:rsidRDefault="006F17EC">
      <w:pPr>
        <w:jc w:val="both"/>
        <w:rPr>
          <w:lang w:val="nl-NL"/>
        </w:rPr>
      </w:pPr>
      <w:r>
        <w:rPr>
          <w:lang w:val="nl-NL"/>
        </w:rPr>
        <w:t xml:space="preserve">Deze vorm van opzet is echter </w:t>
      </w:r>
      <w:r w:rsidR="009738DB">
        <w:rPr>
          <w:lang w:val="nl-NL"/>
        </w:rPr>
        <w:t>omstreden</w:t>
      </w:r>
      <w:r>
        <w:rPr>
          <w:lang w:val="nl-NL"/>
        </w:rPr>
        <w:t xml:space="preserve"> in het internationaal strafrecht. Het vergelijkbare </w:t>
      </w:r>
      <w:r>
        <w:rPr>
          <w:i/>
          <w:lang w:val="nl-NL"/>
        </w:rPr>
        <w:t xml:space="preserve">dolus </w:t>
      </w:r>
      <w:proofErr w:type="spellStart"/>
      <w:r>
        <w:rPr>
          <w:i/>
          <w:lang w:val="nl-NL"/>
        </w:rPr>
        <w:t>eventualis</w:t>
      </w:r>
      <w:proofErr w:type="spellEnd"/>
      <w:r>
        <w:rPr>
          <w:i/>
          <w:lang w:val="nl-NL"/>
        </w:rPr>
        <w:t xml:space="preserve"> </w:t>
      </w:r>
      <w:r w:rsidR="002252AF">
        <w:rPr>
          <w:lang w:val="nl-NL"/>
        </w:rPr>
        <w:t xml:space="preserve">concept </w:t>
      </w:r>
      <w:r w:rsidR="009738DB">
        <w:rPr>
          <w:lang w:val="nl-NL"/>
        </w:rPr>
        <w:t>is niet alom</w:t>
      </w:r>
      <w:r>
        <w:rPr>
          <w:lang w:val="nl-NL"/>
        </w:rPr>
        <w:t xml:space="preserve"> ge</w:t>
      </w:r>
      <w:r w:rsidR="00593284">
        <w:rPr>
          <w:lang w:val="nl-NL"/>
        </w:rPr>
        <w:t xml:space="preserve">accepteerd in de jurisprudentie van het Internationaal Strafhof nu </w:t>
      </w:r>
      <w:r w:rsidR="00D07010">
        <w:rPr>
          <w:lang w:val="nl-NL"/>
        </w:rPr>
        <w:t>dit begrip niet te verenigen</w:t>
      </w:r>
      <w:r w:rsidR="009738DB">
        <w:rPr>
          <w:lang w:val="nl-NL"/>
        </w:rPr>
        <w:t xml:space="preserve"> zou zijn</w:t>
      </w:r>
      <w:r w:rsidR="00D07010">
        <w:rPr>
          <w:lang w:val="nl-NL"/>
        </w:rPr>
        <w:t xml:space="preserve"> met het Statuut van Rome</w:t>
      </w:r>
      <w:r w:rsidR="00593284">
        <w:rPr>
          <w:lang w:val="nl-NL"/>
        </w:rPr>
        <w:t>.</w:t>
      </w:r>
      <w:r w:rsidR="00593284">
        <w:rPr>
          <w:rStyle w:val="Voetnootmarkering"/>
          <w:lang w:val="nl-NL"/>
        </w:rPr>
        <w:footnoteReference w:id="10"/>
      </w:r>
    </w:p>
    <w:p w:rsidR="000E472D" w:rsidP="00DA26B9" w:rsidRDefault="000E472D">
      <w:pPr>
        <w:pStyle w:val="Kop1"/>
        <w:jc w:val="both"/>
        <w:rPr>
          <w:lang w:val="nl-NL"/>
        </w:rPr>
      </w:pPr>
    </w:p>
    <w:p w:rsidR="00EE45D1" w:rsidP="00DA26B9" w:rsidRDefault="000939FA">
      <w:pPr>
        <w:pStyle w:val="Kop1"/>
        <w:jc w:val="both"/>
        <w:rPr>
          <w:lang w:val="nl-NL"/>
        </w:rPr>
      </w:pPr>
      <w:bookmarkStart w:name="_Toc441140011" w:id="12"/>
      <w:r>
        <w:rPr>
          <w:lang w:val="nl-NL"/>
        </w:rPr>
        <w:t>Deel 3: Internationaalrechtelijke</w:t>
      </w:r>
      <w:r w:rsidR="00EE45D1">
        <w:rPr>
          <w:lang w:val="nl-NL"/>
        </w:rPr>
        <w:t xml:space="preserve"> implicaties</w:t>
      </w:r>
      <w:r>
        <w:rPr>
          <w:lang w:val="nl-NL"/>
        </w:rPr>
        <w:t xml:space="preserve"> primaire radarbeelden</w:t>
      </w:r>
      <w:bookmarkEnd w:id="12"/>
    </w:p>
    <w:p w:rsidR="00EE45D1" w:rsidP="00DA26B9" w:rsidRDefault="00EE45D1">
      <w:pPr>
        <w:jc w:val="both"/>
        <w:rPr>
          <w:lang w:val="nl-NL"/>
        </w:rPr>
      </w:pPr>
    </w:p>
    <w:p w:rsidR="000939FA" w:rsidP="00DA26B9" w:rsidRDefault="000939FA">
      <w:pPr>
        <w:pStyle w:val="Kop2"/>
        <w:numPr>
          <w:ilvl w:val="0"/>
          <w:numId w:val="8"/>
        </w:numPr>
        <w:jc w:val="both"/>
        <w:rPr>
          <w:lang w:val="nl-NL"/>
        </w:rPr>
      </w:pPr>
      <w:bookmarkStart w:name="_Toc441140012" w:id="13"/>
      <w:r>
        <w:rPr>
          <w:lang w:val="nl-NL"/>
        </w:rPr>
        <w:t>Heropening door OVV?</w:t>
      </w:r>
      <w:bookmarkEnd w:id="13"/>
    </w:p>
    <w:p w:rsidRPr="00827342" w:rsidR="00827342" w:rsidP="00DA26B9" w:rsidRDefault="00827342">
      <w:pPr>
        <w:jc w:val="both"/>
        <w:rPr>
          <w:lang w:val="nl-NL"/>
        </w:rPr>
      </w:pPr>
      <w:r>
        <w:rPr>
          <w:lang w:val="nl-NL"/>
        </w:rPr>
        <w:t>Gaat het om de vigerende discussie rondom de primaire radar</w:t>
      </w:r>
      <w:r w:rsidR="00B664AF">
        <w:rPr>
          <w:lang w:val="nl-NL"/>
        </w:rPr>
        <w:t xml:space="preserve">- en </w:t>
      </w:r>
      <w:r>
        <w:rPr>
          <w:lang w:val="nl-NL"/>
        </w:rPr>
        <w:t>satellietbeelden, rijst de vraag wat hiervan de mogelijke internationaalrechtelijk implicaties kunnen zijn</w:t>
      </w:r>
      <w:r w:rsidR="002252AF">
        <w:rPr>
          <w:lang w:val="nl-NL"/>
        </w:rPr>
        <w:t xml:space="preserve">; kan </w:t>
      </w:r>
      <w:r>
        <w:rPr>
          <w:lang w:val="nl-NL"/>
        </w:rPr>
        <w:t xml:space="preserve">bijvoorbeeld de OVV </w:t>
      </w:r>
      <w:r w:rsidR="002252AF">
        <w:rPr>
          <w:lang w:val="nl-NL"/>
        </w:rPr>
        <w:t xml:space="preserve">deze beelden </w:t>
      </w:r>
      <w:r w:rsidR="00D714FE">
        <w:rPr>
          <w:lang w:val="nl-NL"/>
        </w:rPr>
        <w:t xml:space="preserve">alsnog </w:t>
      </w:r>
      <w:r>
        <w:rPr>
          <w:lang w:val="nl-NL"/>
        </w:rPr>
        <w:t>doen verkrijgen?</w:t>
      </w:r>
    </w:p>
    <w:p w:rsidRPr="00B01791" w:rsidR="00EE45D1" w:rsidP="00DA26B9" w:rsidRDefault="005A455C">
      <w:pPr>
        <w:jc w:val="both"/>
        <w:rPr>
          <w:lang w:val="nl-NL"/>
        </w:rPr>
      </w:pPr>
      <w:r>
        <w:rPr>
          <w:lang w:val="nl-NL"/>
        </w:rPr>
        <w:lastRenderedPageBreak/>
        <w:t>Ofschoon het</w:t>
      </w:r>
      <w:r w:rsidR="001746F2">
        <w:rPr>
          <w:lang w:val="nl-NL"/>
        </w:rPr>
        <w:t xml:space="preserve"> betreffende</w:t>
      </w:r>
      <w:r>
        <w:rPr>
          <w:lang w:val="nl-NL"/>
        </w:rPr>
        <w:t xml:space="preserve"> convenant</w:t>
      </w:r>
      <w:r w:rsidR="001746F2">
        <w:rPr>
          <w:lang w:val="nl-NL"/>
        </w:rPr>
        <w:t xml:space="preserve"> tussen de OVV en Oekraïne</w:t>
      </w:r>
      <w:r>
        <w:rPr>
          <w:lang w:val="nl-NL"/>
        </w:rPr>
        <w:t xml:space="preserve"> hierover zwijgt</w:t>
      </w:r>
      <w:r w:rsidR="0066259B">
        <w:rPr>
          <w:lang w:val="nl-NL"/>
        </w:rPr>
        <w:t>.</w:t>
      </w:r>
      <w:r>
        <w:rPr>
          <w:lang w:val="nl-NL"/>
        </w:rPr>
        <w:t xml:space="preserve"> </w:t>
      </w:r>
      <w:r w:rsidR="001746F2">
        <w:rPr>
          <w:lang w:val="nl-NL"/>
        </w:rPr>
        <w:t xml:space="preserve"> </w:t>
      </w:r>
      <w:r w:rsidR="0066259B">
        <w:rPr>
          <w:lang w:val="nl-NL"/>
        </w:rPr>
        <w:t>H</w:t>
      </w:r>
      <w:r w:rsidRPr="00B01791" w:rsidR="002A7113">
        <w:rPr>
          <w:lang w:val="nl-NL"/>
        </w:rPr>
        <w:t xml:space="preserve">et </w:t>
      </w:r>
      <w:r w:rsidRPr="00B01791" w:rsidR="00BF0CDE">
        <w:rPr>
          <w:lang w:val="nl-NL"/>
        </w:rPr>
        <w:t>onderzoek</w:t>
      </w:r>
      <w:r w:rsidRPr="00B01791" w:rsidR="002A7113">
        <w:rPr>
          <w:lang w:val="nl-NL"/>
        </w:rPr>
        <w:t xml:space="preserve"> van de OVV is gesloten</w:t>
      </w:r>
      <w:r w:rsidRPr="00B01791" w:rsidR="00BF0CDE">
        <w:rPr>
          <w:lang w:val="nl-NL"/>
        </w:rPr>
        <w:t xml:space="preserve"> en overgedragen aan de Oekraïense </w:t>
      </w:r>
      <w:r w:rsidRPr="00B01791" w:rsidR="00231AA8">
        <w:rPr>
          <w:lang w:val="nl-NL"/>
        </w:rPr>
        <w:t>organisatie die belast is met de veiligheid</w:t>
      </w:r>
      <w:r w:rsidR="0066259B">
        <w:rPr>
          <w:lang w:val="nl-NL"/>
        </w:rPr>
        <w:t xml:space="preserve"> van het nationale luchtruim</w:t>
      </w:r>
      <w:r w:rsidRPr="00B01791" w:rsidR="00BF0CDE">
        <w:rPr>
          <w:lang w:val="nl-NL"/>
        </w:rPr>
        <w:t>.</w:t>
      </w:r>
      <w:r w:rsidRPr="00B01791" w:rsidR="00231AA8">
        <w:rPr>
          <w:lang w:val="nl-NL"/>
        </w:rPr>
        <w:t xml:space="preserve"> Volgens artikel 76 Rijkswet </w:t>
      </w:r>
      <w:proofErr w:type="spellStart"/>
      <w:r w:rsidR="002252AF">
        <w:rPr>
          <w:lang w:val="nl-NL"/>
        </w:rPr>
        <w:t>Onderzoeksraad</w:t>
      </w:r>
      <w:proofErr w:type="spellEnd"/>
      <w:r w:rsidR="002252AF">
        <w:rPr>
          <w:lang w:val="nl-NL"/>
        </w:rPr>
        <w:t xml:space="preserve"> voor V</w:t>
      </w:r>
      <w:r w:rsidRPr="00B01791" w:rsidR="00231AA8">
        <w:rPr>
          <w:lang w:val="nl-NL"/>
        </w:rPr>
        <w:t xml:space="preserve">eiligheid is het mogelijk om een vervolgonderzoek in te stellen om te controleren of alle aanbevelingen die zijn gedaan </w:t>
      </w:r>
      <w:r w:rsidRPr="00B01791" w:rsidR="00492696">
        <w:rPr>
          <w:lang w:val="nl-NL"/>
        </w:rPr>
        <w:t>zijn opgevolgd.</w:t>
      </w:r>
      <w:r w:rsidR="002252AF">
        <w:rPr>
          <w:lang w:val="nl-NL"/>
        </w:rPr>
        <w:t xml:space="preserve"> </w:t>
      </w:r>
      <w:r w:rsidR="001746F2">
        <w:rPr>
          <w:lang w:val="nl-NL"/>
        </w:rPr>
        <w:t xml:space="preserve">Dit artikel luidt: </w:t>
      </w:r>
      <w:r w:rsidR="002252AF">
        <w:rPr>
          <w:lang w:val="nl-NL"/>
        </w:rPr>
        <w:t>“</w:t>
      </w:r>
      <w:r w:rsidRPr="002252AF" w:rsidR="002252AF">
        <w:rPr>
          <w:lang w:val="nl-NL"/>
        </w:rPr>
        <w:t>De raad is bevoegd een onderzoek in te stellen naar de stand van zaken met betrekking tot de uitvoering van aanbevelingen die de raad in eerder onderzoek heeft gedaan.</w:t>
      </w:r>
      <w:r w:rsidR="002252AF">
        <w:rPr>
          <w:lang w:val="nl-NL"/>
        </w:rPr>
        <w:t>”</w:t>
      </w:r>
      <w:r w:rsidRPr="00B01791" w:rsidR="00492696">
        <w:rPr>
          <w:lang w:val="nl-NL"/>
        </w:rPr>
        <w:t xml:space="preserve"> Een </w:t>
      </w:r>
      <w:r w:rsidR="001746F2">
        <w:rPr>
          <w:lang w:val="nl-NL"/>
        </w:rPr>
        <w:t xml:space="preserve">dergelijk </w:t>
      </w:r>
      <w:r w:rsidRPr="00B01791" w:rsidR="00492696">
        <w:rPr>
          <w:lang w:val="nl-NL"/>
        </w:rPr>
        <w:t xml:space="preserve">vervolgonderzoek </w:t>
      </w:r>
      <w:r w:rsidR="001746F2">
        <w:rPr>
          <w:lang w:val="nl-NL"/>
        </w:rPr>
        <w:t xml:space="preserve">zou de </w:t>
      </w:r>
      <w:r w:rsidR="00827342">
        <w:rPr>
          <w:lang w:val="nl-NL"/>
        </w:rPr>
        <w:t xml:space="preserve">basis </w:t>
      </w:r>
      <w:r w:rsidR="001746F2">
        <w:rPr>
          <w:lang w:val="nl-NL"/>
        </w:rPr>
        <w:t xml:space="preserve">kunnen zijn </w:t>
      </w:r>
      <w:r w:rsidR="00827342">
        <w:rPr>
          <w:lang w:val="nl-NL"/>
        </w:rPr>
        <w:t>voor “heropening”</w:t>
      </w:r>
      <w:r w:rsidR="002E28D3">
        <w:rPr>
          <w:lang w:val="nl-NL"/>
        </w:rPr>
        <w:t xml:space="preserve"> </w:t>
      </w:r>
      <w:r w:rsidR="00827342">
        <w:rPr>
          <w:lang w:val="nl-NL"/>
        </w:rPr>
        <w:t>van het OVV onderzoek op dit punt. Echter, zal ook dan niet kunnen</w:t>
      </w:r>
      <w:r w:rsidRPr="00B01791" w:rsidR="00492696">
        <w:rPr>
          <w:lang w:val="nl-NL"/>
        </w:rPr>
        <w:t xml:space="preserve"> ingaan op de vraag van daderschap.</w:t>
      </w:r>
    </w:p>
    <w:p w:rsidR="006F5E07" w:rsidP="00DA26B9" w:rsidRDefault="006F5E07">
      <w:pPr>
        <w:pStyle w:val="Kop2"/>
        <w:numPr>
          <w:ilvl w:val="0"/>
          <w:numId w:val="8"/>
        </w:numPr>
        <w:jc w:val="both"/>
        <w:rPr>
          <w:lang w:val="nl-NL"/>
        </w:rPr>
      </w:pPr>
      <w:bookmarkStart w:name="_Toc441140013" w:id="14"/>
      <w:r>
        <w:rPr>
          <w:lang w:val="nl-NL"/>
        </w:rPr>
        <w:t>Reikwijdte Resolutie 2166</w:t>
      </w:r>
      <w:bookmarkEnd w:id="14"/>
    </w:p>
    <w:p w:rsidR="006F5E07" w:rsidP="00DA26B9" w:rsidRDefault="006F5E07">
      <w:pPr>
        <w:jc w:val="both"/>
        <w:rPr>
          <w:lang w:val="nl-NL"/>
        </w:rPr>
      </w:pPr>
      <w:r>
        <w:rPr>
          <w:lang w:val="nl-NL"/>
        </w:rPr>
        <w:t xml:space="preserve">Als het gaat om de interpretatie van Resolutie 2166 van de Veiligheidsraad van de </w:t>
      </w:r>
      <w:r w:rsidR="0066259B">
        <w:rPr>
          <w:lang w:val="nl-NL"/>
        </w:rPr>
        <w:t>VN</w:t>
      </w:r>
      <w:r>
        <w:rPr>
          <w:lang w:val="nl-NL"/>
        </w:rPr>
        <w:t xml:space="preserve">, rijst de vraag of Nederland </w:t>
      </w:r>
      <w:r w:rsidR="00A938EA">
        <w:rPr>
          <w:lang w:val="nl-NL"/>
        </w:rPr>
        <w:t>de Verenigde Staten</w:t>
      </w:r>
      <w:r w:rsidR="0066259B">
        <w:rPr>
          <w:lang w:val="nl-NL"/>
        </w:rPr>
        <w:t xml:space="preserve"> (VS)</w:t>
      </w:r>
      <w:r>
        <w:rPr>
          <w:lang w:val="nl-NL"/>
        </w:rPr>
        <w:t xml:space="preserve"> kan dwingen</w:t>
      </w:r>
      <w:r w:rsidR="001746F2">
        <w:rPr>
          <w:lang w:val="nl-NL"/>
        </w:rPr>
        <w:t xml:space="preserve"> de primaire radarbeeld</w:t>
      </w:r>
      <w:r>
        <w:rPr>
          <w:lang w:val="nl-NL"/>
        </w:rPr>
        <w:t xml:space="preserve"> af te staan. </w:t>
      </w:r>
      <w:r w:rsidR="001D5214">
        <w:rPr>
          <w:lang w:val="nl-NL"/>
        </w:rPr>
        <w:t>Blijkens paragraaf 4 moeten alle staten</w:t>
      </w:r>
      <w:r w:rsidR="001746F2">
        <w:rPr>
          <w:lang w:val="nl-NL"/>
        </w:rPr>
        <w:t xml:space="preserve"> meewerken</w:t>
      </w:r>
      <w:r w:rsidR="001D5214">
        <w:rPr>
          <w:lang w:val="nl-NL"/>
        </w:rPr>
        <w:t xml:space="preserve"> aan (civiel- en strafrechtelijke) onderzoeken </w:t>
      </w:r>
      <w:r w:rsidR="001746F2">
        <w:rPr>
          <w:lang w:val="nl-NL"/>
        </w:rPr>
        <w:t>terwijl</w:t>
      </w:r>
      <w:r w:rsidR="001D5214">
        <w:rPr>
          <w:lang w:val="nl-NL"/>
        </w:rPr>
        <w:t xml:space="preserve"> paragraaf 13 de mogelijkheid</w:t>
      </w:r>
      <w:r w:rsidR="002F7B3E">
        <w:rPr>
          <w:lang w:val="nl-NL"/>
        </w:rPr>
        <w:t xml:space="preserve"> biedt</w:t>
      </w:r>
      <w:r w:rsidR="001D5214">
        <w:rPr>
          <w:lang w:val="nl-NL"/>
        </w:rPr>
        <w:t xml:space="preserve"> dat Nederland zich tot de Secretaris-Generaal van de VN wendt om</w:t>
      </w:r>
      <w:r w:rsidR="001746F2">
        <w:rPr>
          <w:lang w:val="nl-NL"/>
        </w:rPr>
        <w:t xml:space="preserve"> deze</w:t>
      </w:r>
      <w:r w:rsidR="001D5214">
        <w:rPr>
          <w:lang w:val="nl-NL"/>
        </w:rPr>
        <w:t xml:space="preserve"> materialen te verkrijgen. </w:t>
      </w:r>
      <w:r w:rsidR="00A938EA">
        <w:rPr>
          <w:lang w:val="nl-NL"/>
        </w:rPr>
        <w:t xml:space="preserve">Indien kan worden aangetoond dat het niet leveren van de beelden een schending </w:t>
      </w:r>
      <w:r w:rsidR="001D5214">
        <w:rPr>
          <w:lang w:val="nl-NL"/>
        </w:rPr>
        <w:t>betekent</w:t>
      </w:r>
      <w:r w:rsidR="00A938EA">
        <w:rPr>
          <w:lang w:val="nl-NL"/>
        </w:rPr>
        <w:t xml:space="preserve"> van Resolutie 2166 dan </w:t>
      </w:r>
      <w:r w:rsidR="001D5214">
        <w:rPr>
          <w:lang w:val="nl-NL"/>
        </w:rPr>
        <w:t xml:space="preserve">zou via de Veiligheidsraad </w:t>
      </w:r>
      <w:r w:rsidR="00A938EA">
        <w:rPr>
          <w:lang w:val="nl-NL"/>
        </w:rPr>
        <w:t xml:space="preserve">druk </w:t>
      </w:r>
      <w:r w:rsidR="001D5214">
        <w:rPr>
          <w:lang w:val="nl-NL"/>
        </w:rPr>
        <w:t xml:space="preserve">kunnen worden uitgeoefend op de VS </w:t>
      </w:r>
      <w:r w:rsidR="00A938EA">
        <w:rPr>
          <w:lang w:val="nl-NL"/>
        </w:rPr>
        <w:t>en desnoods sancties</w:t>
      </w:r>
      <w:r w:rsidR="001D5214">
        <w:rPr>
          <w:lang w:val="nl-NL"/>
        </w:rPr>
        <w:t xml:space="preserve"> worden overwogen</w:t>
      </w:r>
      <w:r w:rsidR="00A938EA">
        <w:rPr>
          <w:lang w:val="nl-NL"/>
        </w:rPr>
        <w:t xml:space="preserve">. Nu </w:t>
      </w:r>
      <w:r w:rsidR="0066259B">
        <w:rPr>
          <w:lang w:val="nl-NL"/>
        </w:rPr>
        <w:t>de VS</w:t>
      </w:r>
      <w:r w:rsidR="00A938EA">
        <w:rPr>
          <w:lang w:val="nl-NL"/>
        </w:rPr>
        <w:t xml:space="preserve"> een vetorecht hebben in de Veiligheidsraad </w:t>
      </w:r>
      <w:r w:rsidR="001D5214">
        <w:rPr>
          <w:lang w:val="nl-NL"/>
        </w:rPr>
        <w:t xml:space="preserve">lijkt </w:t>
      </w:r>
      <w:r w:rsidR="00A938EA">
        <w:rPr>
          <w:lang w:val="nl-NL"/>
        </w:rPr>
        <w:t xml:space="preserve">deze weg </w:t>
      </w:r>
      <w:r w:rsidR="001D5214">
        <w:rPr>
          <w:lang w:val="nl-NL"/>
        </w:rPr>
        <w:t xml:space="preserve">weinig </w:t>
      </w:r>
      <w:r w:rsidR="00A938EA">
        <w:rPr>
          <w:lang w:val="nl-NL"/>
        </w:rPr>
        <w:t>kans van slagen</w:t>
      </w:r>
      <w:r w:rsidR="001D5214">
        <w:rPr>
          <w:lang w:val="nl-NL"/>
        </w:rPr>
        <w:t xml:space="preserve"> te hebben</w:t>
      </w:r>
      <w:r w:rsidR="00A938EA">
        <w:rPr>
          <w:lang w:val="nl-NL"/>
        </w:rPr>
        <w:t xml:space="preserve">. </w:t>
      </w:r>
    </w:p>
    <w:p w:rsidR="001D5214" w:rsidP="00DA26B9" w:rsidRDefault="001D5214">
      <w:pPr>
        <w:jc w:val="both"/>
        <w:rPr>
          <w:lang w:val="nl-NL"/>
        </w:rPr>
      </w:pPr>
      <w:r>
        <w:rPr>
          <w:lang w:val="nl-NL"/>
        </w:rPr>
        <w:t>In geval va</w:t>
      </w:r>
      <w:r w:rsidR="002F7B3E">
        <w:rPr>
          <w:lang w:val="nl-NL"/>
        </w:rPr>
        <w:t>n</w:t>
      </w:r>
      <w:r>
        <w:rPr>
          <w:lang w:val="nl-NL"/>
        </w:rPr>
        <w:t xml:space="preserve"> niet nakoming van de Resolutie kan Nederland mogelijk een geschil aanhangig maken bij het Internationaal Gerechtshof op grond van artikel 36 lid 2 sub c van het Statuut </w:t>
      </w:r>
      <w:r w:rsidR="0066259B">
        <w:rPr>
          <w:lang w:val="nl-NL"/>
        </w:rPr>
        <w:t xml:space="preserve">van het Internationaal Gerechtshof </w:t>
      </w:r>
      <w:r>
        <w:rPr>
          <w:lang w:val="nl-NL"/>
        </w:rPr>
        <w:t xml:space="preserve">(zie Deel 1 </w:t>
      </w:r>
      <w:r w:rsidR="00BC3BD3">
        <w:rPr>
          <w:lang w:val="nl-NL"/>
        </w:rPr>
        <w:t xml:space="preserve">onder kop 3). Nu de VS </w:t>
      </w:r>
      <w:r w:rsidR="002F7B3E">
        <w:rPr>
          <w:lang w:val="nl-NL"/>
        </w:rPr>
        <w:t>evenals</w:t>
      </w:r>
      <w:r w:rsidR="00BC3BD3">
        <w:rPr>
          <w:lang w:val="nl-NL"/>
        </w:rPr>
        <w:t xml:space="preserve"> Rusland en Oekraïne geen verklaring hebben afgelegd krachtens artikel 36 lid 2 van het Statuut van het Internationaal Gerechtshof, </w:t>
      </w:r>
      <w:r w:rsidR="002F7B3E">
        <w:rPr>
          <w:lang w:val="nl-NL"/>
        </w:rPr>
        <w:t>zal</w:t>
      </w:r>
      <w:r w:rsidR="00BC3BD3">
        <w:rPr>
          <w:lang w:val="nl-NL"/>
        </w:rPr>
        <w:t xml:space="preserve"> er een speciale overeenkomst opgemaakt </w:t>
      </w:r>
      <w:r w:rsidR="002F7B3E">
        <w:rPr>
          <w:lang w:val="nl-NL"/>
        </w:rPr>
        <w:t>vereist zijn</w:t>
      </w:r>
      <w:r w:rsidR="00BC3BD3">
        <w:rPr>
          <w:lang w:val="nl-NL"/>
        </w:rPr>
        <w:t xml:space="preserve"> deze rechtsgang te bewerkstelligen.</w:t>
      </w:r>
    </w:p>
    <w:p w:rsidRPr="006F5E07" w:rsidR="006F5E07" w:rsidP="00DA26B9" w:rsidRDefault="006F5E07">
      <w:pPr>
        <w:pStyle w:val="Kop2"/>
        <w:numPr>
          <w:ilvl w:val="0"/>
          <w:numId w:val="8"/>
        </w:numPr>
        <w:jc w:val="both"/>
        <w:rPr>
          <w:lang w:val="nl-NL"/>
        </w:rPr>
      </w:pPr>
      <w:bookmarkStart w:name="_Toc441140014" w:id="15"/>
      <w:r>
        <w:rPr>
          <w:lang w:val="nl-NL"/>
        </w:rPr>
        <w:t xml:space="preserve">Rechtshulpverdrag tussen Nederland en </w:t>
      </w:r>
      <w:r w:rsidR="006C69DB">
        <w:rPr>
          <w:lang w:val="nl-NL"/>
        </w:rPr>
        <w:t>de Verenigde Staten</w:t>
      </w:r>
      <w:r>
        <w:rPr>
          <w:lang w:val="nl-NL"/>
        </w:rPr>
        <w:t>: rol van het OM</w:t>
      </w:r>
      <w:bookmarkEnd w:id="15"/>
    </w:p>
    <w:p w:rsidR="00BC3BD3" w:rsidP="00DA26B9" w:rsidRDefault="006F5E07">
      <w:pPr>
        <w:jc w:val="both"/>
        <w:rPr>
          <w:lang w:val="nl-NL"/>
        </w:rPr>
      </w:pPr>
      <w:r>
        <w:rPr>
          <w:lang w:val="nl-NL"/>
        </w:rPr>
        <w:t xml:space="preserve">Een andere </w:t>
      </w:r>
      <w:r w:rsidR="001D5214">
        <w:rPr>
          <w:lang w:val="nl-NL"/>
        </w:rPr>
        <w:t>wijze</w:t>
      </w:r>
      <w:r>
        <w:rPr>
          <w:lang w:val="nl-NL"/>
        </w:rPr>
        <w:t xml:space="preserve"> om de primaire beelden van </w:t>
      </w:r>
      <w:r w:rsidR="006C69DB">
        <w:rPr>
          <w:lang w:val="nl-NL"/>
        </w:rPr>
        <w:t>de VS</w:t>
      </w:r>
      <w:r>
        <w:rPr>
          <w:lang w:val="nl-NL"/>
        </w:rPr>
        <w:t xml:space="preserve"> te verkrijgen kan gelegen zijn in het Rechtshulpverdrag tussen Nederland en </w:t>
      </w:r>
      <w:r w:rsidR="006C69DB">
        <w:rPr>
          <w:lang w:val="nl-NL"/>
        </w:rPr>
        <w:t>de VS</w:t>
      </w:r>
      <w:r>
        <w:rPr>
          <w:lang w:val="nl-NL"/>
        </w:rPr>
        <w:t xml:space="preserve">. Op </w:t>
      </w:r>
      <w:r w:rsidR="002E28D3">
        <w:rPr>
          <w:lang w:val="nl-NL"/>
        </w:rPr>
        <w:t xml:space="preserve">grond van artikel 4 lid 2 </w:t>
      </w:r>
      <w:r>
        <w:rPr>
          <w:lang w:val="nl-NL"/>
        </w:rPr>
        <w:t xml:space="preserve">van dat verdrag kan Nederland </w:t>
      </w:r>
      <w:r w:rsidR="006C69DB">
        <w:rPr>
          <w:lang w:val="nl-NL"/>
        </w:rPr>
        <w:t>de VS</w:t>
      </w:r>
      <w:r>
        <w:rPr>
          <w:lang w:val="nl-NL"/>
        </w:rPr>
        <w:t xml:space="preserve"> verzoeken de beelden vrij te geven. </w:t>
      </w:r>
      <w:r w:rsidR="005A455C">
        <w:rPr>
          <w:lang w:val="nl-NL"/>
        </w:rPr>
        <w:t xml:space="preserve">Dit artikel ziet </w:t>
      </w:r>
      <w:r w:rsidR="002F7B3E">
        <w:rPr>
          <w:lang w:val="nl-NL"/>
        </w:rPr>
        <w:t xml:space="preserve">ook </w:t>
      </w:r>
      <w:r w:rsidR="005A455C">
        <w:rPr>
          <w:lang w:val="nl-NL"/>
        </w:rPr>
        <w:t xml:space="preserve">op andere gegevens </w:t>
      </w:r>
      <w:r w:rsidR="00BC3BD3">
        <w:rPr>
          <w:lang w:val="nl-NL"/>
        </w:rPr>
        <w:t xml:space="preserve">dan enkel documenten. </w:t>
      </w:r>
      <w:r w:rsidR="005A455C">
        <w:rPr>
          <w:lang w:val="nl-NL"/>
        </w:rPr>
        <w:t xml:space="preserve">Hieronder zouden de primaire radarbeelden </w:t>
      </w:r>
      <w:r w:rsidR="00BC3BD3">
        <w:rPr>
          <w:lang w:val="nl-NL"/>
        </w:rPr>
        <w:t xml:space="preserve">kunnen </w:t>
      </w:r>
      <w:r w:rsidR="005A455C">
        <w:rPr>
          <w:lang w:val="nl-NL"/>
        </w:rPr>
        <w:t xml:space="preserve">vallen. </w:t>
      </w:r>
      <w:r w:rsidR="006C69DB">
        <w:rPr>
          <w:lang w:val="nl-NL"/>
        </w:rPr>
        <w:t>De VS</w:t>
      </w:r>
      <w:r>
        <w:rPr>
          <w:lang w:val="nl-NL"/>
        </w:rPr>
        <w:t xml:space="preserve"> mag </w:t>
      </w:r>
      <w:r w:rsidR="002F7B3E">
        <w:rPr>
          <w:lang w:val="nl-NL"/>
        </w:rPr>
        <w:t>een dergelijk verzoek volgens het verdrag</w:t>
      </w:r>
      <w:r>
        <w:rPr>
          <w:lang w:val="nl-NL"/>
        </w:rPr>
        <w:t xml:space="preserve"> echter </w:t>
      </w:r>
      <w:r w:rsidR="002E28D3">
        <w:rPr>
          <w:lang w:val="nl-NL"/>
        </w:rPr>
        <w:t xml:space="preserve">geheel naar eigen inzicht </w:t>
      </w:r>
      <w:r w:rsidR="0066259B">
        <w:rPr>
          <w:lang w:val="nl-NL"/>
        </w:rPr>
        <w:t>afwijzen</w:t>
      </w:r>
      <w:r>
        <w:rPr>
          <w:lang w:val="nl-NL"/>
        </w:rPr>
        <w:t xml:space="preserve"> op grond</w:t>
      </w:r>
      <w:r w:rsidR="002E28D3">
        <w:rPr>
          <w:lang w:val="nl-NL"/>
        </w:rPr>
        <w:t xml:space="preserve"> </w:t>
      </w:r>
      <w:r w:rsidR="00A938EA">
        <w:rPr>
          <w:lang w:val="nl-NL"/>
        </w:rPr>
        <w:t xml:space="preserve">van </w:t>
      </w:r>
      <w:r w:rsidR="002E28D3">
        <w:rPr>
          <w:lang w:val="nl-NL"/>
        </w:rPr>
        <w:t>diezelfde bepaling.</w:t>
      </w:r>
    </w:p>
    <w:p w:rsidR="005A455C" w:rsidP="00DA26B9" w:rsidRDefault="005A455C">
      <w:pPr>
        <w:jc w:val="both"/>
        <w:rPr>
          <w:lang w:val="nl-NL"/>
        </w:rPr>
      </w:pPr>
      <w:r>
        <w:rPr>
          <w:lang w:val="nl-NL"/>
        </w:rPr>
        <w:t xml:space="preserve">Daarnaast kan </w:t>
      </w:r>
      <w:r w:rsidR="006C69DB">
        <w:rPr>
          <w:lang w:val="nl-NL"/>
        </w:rPr>
        <w:t>de VS</w:t>
      </w:r>
      <w:r>
        <w:rPr>
          <w:lang w:val="nl-NL"/>
        </w:rPr>
        <w:t xml:space="preserve"> op grond van artikel 11 lid 1 </w:t>
      </w:r>
      <w:r w:rsidR="002F7B3E">
        <w:rPr>
          <w:lang w:val="nl-NL"/>
        </w:rPr>
        <w:t xml:space="preserve">van genoemd verdrag eisen dat </w:t>
      </w:r>
      <w:r>
        <w:rPr>
          <w:lang w:val="nl-NL"/>
        </w:rPr>
        <w:t xml:space="preserve">bewijsmateriaal of gegevens die het verstrekt aan Nederland vertrouwelijk blijven, </w:t>
      </w:r>
      <w:r w:rsidR="00BC3BD3">
        <w:rPr>
          <w:lang w:val="nl-NL"/>
        </w:rPr>
        <w:t>“</w:t>
      </w:r>
      <w:r w:rsidRPr="00BC3BD3" w:rsidR="00BC3BD3">
        <w:rPr>
          <w:lang w:val="nl-NL"/>
        </w:rPr>
        <w:t xml:space="preserve">behalve </w:t>
      </w:r>
      <w:proofErr w:type="spellStart"/>
      <w:r w:rsidRPr="00BC3BD3" w:rsidR="00BC3BD3">
        <w:rPr>
          <w:lang w:val="nl-NL"/>
        </w:rPr>
        <w:t>voorzover</w:t>
      </w:r>
      <w:proofErr w:type="spellEnd"/>
      <w:r w:rsidRPr="00BC3BD3" w:rsidR="00BC3BD3">
        <w:rPr>
          <w:lang w:val="nl-NL"/>
        </w:rPr>
        <w:t xml:space="preserve"> openbaarmaking noodzakelijk is als bewijs in een openbaar proces.</w:t>
      </w:r>
      <w:r w:rsidR="00BC3BD3">
        <w:rPr>
          <w:lang w:val="nl-NL"/>
        </w:rPr>
        <w:t>”</w:t>
      </w:r>
      <w:r w:rsidR="002F7B3E">
        <w:rPr>
          <w:lang w:val="nl-NL"/>
        </w:rPr>
        <w:t xml:space="preserve"> Dit zou</w:t>
      </w:r>
      <w:r w:rsidR="00BC3BD3">
        <w:rPr>
          <w:lang w:val="nl-NL"/>
        </w:rPr>
        <w:t xml:space="preserve"> </w:t>
      </w:r>
      <w:r w:rsidR="002F7B3E">
        <w:rPr>
          <w:lang w:val="nl-NL"/>
        </w:rPr>
        <w:t xml:space="preserve">derhalve een juridische opening kunnen zijn. </w:t>
      </w:r>
      <w:r w:rsidR="00BC3BD3">
        <w:rPr>
          <w:lang w:val="nl-NL"/>
        </w:rPr>
        <w:t>Krachtens a</w:t>
      </w:r>
      <w:r>
        <w:rPr>
          <w:lang w:val="nl-NL"/>
        </w:rPr>
        <w:t xml:space="preserve">rtikel 11 lid 2 zou </w:t>
      </w:r>
      <w:r w:rsidR="006C69DB">
        <w:rPr>
          <w:lang w:val="nl-NL"/>
        </w:rPr>
        <w:t>de VS</w:t>
      </w:r>
      <w:r>
        <w:rPr>
          <w:lang w:val="nl-NL"/>
        </w:rPr>
        <w:t xml:space="preserve"> </w:t>
      </w:r>
      <w:r w:rsidR="0066259B">
        <w:rPr>
          <w:lang w:val="nl-NL"/>
        </w:rPr>
        <w:t xml:space="preserve">echter </w:t>
      </w:r>
      <w:r>
        <w:rPr>
          <w:lang w:val="nl-NL"/>
        </w:rPr>
        <w:t xml:space="preserve">gehouden </w:t>
      </w:r>
      <w:r w:rsidR="00BC3BD3">
        <w:rPr>
          <w:lang w:val="nl-NL"/>
        </w:rPr>
        <w:t>zijn om Nederland te informeren,</w:t>
      </w:r>
      <w:r>
        <w:rPr>
          <w:lang w:val="nl-NL"/>
        </w:rPr>
        <w:t xml:space="preserve"> </w:t>
      </w:r>
      <w:r w:rsidR="00BC3BD3">
        <w:rPr>
          <w:lang w:val="nl-NL"/>
        </w:rPr>
        <w:t>i</w:t>
      </w:r>
      <w:r>
        <w:rPr>
          <w:lang w:val="nl-NL"/>
        </w:rPr>
        <w:t>ndien het een dergelijk verzoek niet zou willen inwilligen op grond</w:t>
      </w:r>
      <w:r w:rsidR="00BC3BD3">
        <w:rPr>
          <w:lang w:val="nl-NL"/>
        </w:rPr>
        <w:t xml:space="preserve"> van</w:t>
      </w:r>
      <w:r>
        <w:rPr>
          <w:lang w:val="nl-NL"/>
        </w:rPr>
        <w:t xml:space="preserve"> verlangde </w:t>
      </w:r>
      <w:r w:rsidR="001D5214">
        <w:rPr>
          <w:lang w:val="nl-NL"/>
        </w:rPr>
        <w:t>vertrouwdheid</w:t>
      </w:r>
      <w:r>
        <w:rPr>
          <w:lang w:val="nl-NL"/>
        </w:rPr>
        <w:t>.</w:t>
      </w:r>
    </w:p>
    <w:p w:rsidR="005A455C" w:rsidP="00DA26B9" w:rsidRDefault="009232E5">
      <w:pPr>
        <w:jc w:val="both"/>
        <w:rPr>
          <w:lang w:val="nl-NL"/>
        </w:rPr>
      </w:pPr>
      <w:r>
        <w:rPr>
          <w:lang w:val="nl-NL"/>
        </w:rPr>
        <w:t>D</w:t>
      </w:r>
      <w:r w:rsidR="005A455C">
        <w:rPr>
          <w:lang w:val="nl-NL"/>
        </w:rPr>
        <w:t>erhalve dient geconcludeerd</w:t>
      </w:r>
      <w:r>
        <w:rPr>
          <w:lang w:val="nl-NL"/>
        </w:rPr>
        <w:t xml:space="preserve"> te worden </w:t>
      </w:r>
      <w:r w:rsidR="005A455C">
        <w:rPr>
          <w:lang w:val="nl-NL"/>
        </w:rPr>
        <w:t xml:space="preserve">dat de weg via dit </w:t>
      </w:r>
      <w:r w:rsidR="00BC3BD3">
        <w:rPr>
          <w:lang w:val="nl-NL"/>
        </w:rPr>
        <w:t xml:space="preserve">verdrag </w:t>
      </w:r>
      <w:r w:rsidR="002F7B3E">
        <w:rPr>
          <w:lang w:val="nl-NL"/>
        </w:rPr>
        <w:t xml:space="preserve">weliswaar </w:t>
      </w:r>
      <w:r w:rsidR="00BC3BD3">
        <w:rPr>
          <w:lang w:val="nl-NL"/>
        </w:rPr>
        <w:t>e</w:t>
      </w:r>
      <w:r w:rsidR="005A455C">
        <w:rPr>
          <w:lang w:val="nl-NL"/>
        </w:rPr>
        <w:t>en juridische mogelijkheid kan bieden om</w:t>
      </w:r>
      <w:r>
        <w:rPr>
          <w:lang w:val="nl-NL"/>
        </w:rPr>
        <w:t xml:space="preserve"> de radarbeelden op</w:t>
      </w:r>
      <w:r w:rsidR="002F7B3E">
        <w:rPr>
          <w:lang w:val="nl-NL"/>
        </w:rPr>
        <w:t xml:space="preserve"> te </w:t>
      </w:r>
      <w:r>
        <w:rPr>
          <w:lang w:val="nl-NL"/>
        </w:rPr>
        <w:t>vragen</w:t>
      </w:r>
      <w:r w:rsidR="002F7B3E">
        <w:rPr>
          <w:lang w:val="nl-NL"/>
        </w:rPr>
        <w:t xml:space="preserve">; echter het verdrag verstrekt aan de VS wel </w:t>
      </w:r>
      <w:r>
        <w:rPr>
          <w:lang w:val="nl-NL"/>
        </w:rPr>
        <w:t xml:space="preserve">meerdere opties om de beelden niet te verstrekken. </w:t>
      </w:r>
    </w:p>
    <w:p w:rsidR="006F5E07" w:rsidP="00DA26B9" w:rsidRDefault="006F5E07">
      <w:pPr>
        <w:pStyle w:val="Kop2"/>
        <w:numPr>
          <w:ilvl w:val="0"/>
          <w:numId w:val="8"/>
        </w:numPr>
        <w:jc w:val="both"/>
        <w:rPr>
          <w:lang w:val="nl-NL"/>
        </w:rPr>
      </w:pPr>
      <w:bookmarkStart w:name="_Toc441140015" w:id="16"/>
      <w:r>
        <w:rPr>
          <w:lang w:val="nl-NL"/>
        </w:rPr>
        <w:lastRenderedPageBreak/>
        <w:t xml:space="preserve">Radarbeelden </w:t>
      </w:r>
      <w:r w:rsidR="009232E5">
        <w:rPr>
          <w:lang w:val="nl-NL"/>
        </w:rPr>
        <w:t>en</w:t>
      </w:r>
      <w:r>
        <w:rPr>
          <w:lang w:val="nl-NL"/>
        </w:rPr>
        <w:t xml:space="preserve"> de </w:t>
      </w:r>
      <w:proofErr w:type="spellStart"/>
      <w:r>
        <w:rPr>
          <w:lang w:val="nl-NL"/>
        </w:rPr>
        <w:t>Freedom</w:t>
      </w:r>
      <w:proofErr w:type="spellEnd"/>
      <w:r>
        <w:rPr>
          <w:lang w:val="nl-NL"/>
        </w:rPr>
        <w:t xml:space="preserve"> of Information Act</w:t>
      </w:r>
      <w:bookmarkEnd w:id="16"/>
    </w:p>
    <w:p w:rsidRPr="009232E5" w:rsidR="00062E3B" w:rsidP="00DA26B9" w:rsidRDefault="009232E5">
      <w:pPr>
        <w:jc w:val="both"/>
        <w:rPr>
          <w:lang w:val="nl-NL"/>
        </w:rPr>
      </w:pPr>
      <w:r>
        <w:rPr>
          <w:lang w:val="nl-NL"/>
        </w:rPr>
        <w:t xml:space="preserve">Gaat het om de juridische mogelijke mogelijkheden tot verkrijging van de primaire radarbeelden in de VS zelf, dan dient zich de </w:t>
      </w:r>
      <w:proofErr w:type="spellStart"/>
      <w:r w:rsidRPr="00E332A0">
        <w:rPr>
          <w:i/>
          <w:lang w:val="nl-NL"/>
        </w:rPr>
        <w:t>Freedom</w:t>
      </w:r>
      <w:proofErr w:type="spellEnd"/>
      <w:r w:rsidRPr="00E332A0">
        <w:rPr>
          <w:i/>
          <w:lang w:val="nl-NL"/>
        </w:rPr>
        <w:t xml:space="preserve"> of Information Act</w:t>
      </w:r>
      <w:r>
        <w:rPr>
          <w:lang w:val="nl-NL"/>
        </w:rPr>
        <w:t xml:space="preserve"> </w:t>
      </w:r>
      <w:r w:rsidRPr="00E332A0">
        <w:rPr>
          <w:lang w:val="nl-NL"/>
        </w:rPr>
        <w:t>(FOIA</w:t>
      </w:r>
      <w:r>
        <w:rPr>
          <w:lang w:val="nl-NL"/>
        </w:rPr>
        <w:t>) als optie aan.</w:t>
      </w:r>
    </w:p>
    <w:p w:rsidRPr="00417C5B" w:rsidR="00E332A0" w:rsidP="00DA26B9" w:rsidRDefault="00E332A0">
      <w:pPr>
        <w:jc w:val="both"/>
      </w:pPr>
      <w:r w:rsidRPr="00E332A0">
        <w:rPr>
          <w:lang w:val="nl-NL"/>
        </w:rPr>
        <w:t>De FOIA, 5 U.S.C. par</w:t>
      </w:r>
      <w:r w:rsidR="009232E5">
        <w:rPr>
          <w:lang w:val="nl-NL"/>
        </w:rPr>
        <w:t>agraaf</w:t>
      </w:r>
      <w:r w:rsidRPr="00E332A0">
        <w:rPr>
          <w:lang w:val="nl-NL"/>
        </w:rPr>
        <w:t xml:space="preserve"> 552, stamt ui</w:t>
      </w:r>
      <w:r w:rsidR="006F5E07">
        <w:rPr>
          <w:lang w:val="nl-NL"/>
        </w:rPr>
        <w:t>t</w:t>
      </w:r>
      <w:r w:rsidRPr="00E332A0">
        <w:rPr>
          <w:lang w:val="nl-NL"/>
        </w:rPr>
        <w:t xml:space="preserve"> 1966 en is sindsdien enkele malen aangepast. De wet geeft natuurlijke en rechtspersonen het recht op inzage in bestaande en ongepubliceerde overheidsdocumenten</w:t>
      </w:r>
      <w:r w:rsidR="00062E3B">
        <w:rPr>
          <w:lang w:val="nl-NL"/>
        </w:rPr>
        <w:t xml:space="preserve"> in bezit van de Amerikaanse federale overheid</w:t>
      </w:r>
      <w:r w:rsidRPr="00E332A0">
        <w:rPr>
          <w:lang w:val="nl-NL"/>
        </w:rPr>
        <w:t xml:space="preserve">. De wet omschrijft welke documenten openbaar gemaakt moeten worden, de daarbij behorende procedures en de uitzonderingen op de wet. Op dit moment bestaan er negen uitzonderingen op de wet. Die uitzonderingen zien onder andere op geologische en geofysische informatie en data, inclusief kaarten waarop oliebronnen staan. </w:t>
      </w:r>
      <w:proofErr w:type="spellStart"/>
      <w:r w:rsidRPr="00417C5B">
        <w:t>Een</w:t>
      </w:r>
      <w:proofErr w:type="spellEnd"/>
      <w:r w:rsidRPr="00417C5B">
        <w:t xml:space="preserve"> </w:t>
      </w:r>
      <w:proofErr w:type="spellStart"/>
      <w:r w:rsidRPr="00417C5B">
        <w:t>andere</w:t>
      </w:r>
      <w:proofErr w:type="spellEnd"/>
      <w:r w:rsidRPr="00417C5B">
        <w:t xml:space="preserve"> </w:t>
      </w:r>
      <w:proofErr w:type="spellStart"/>
      <w:r w:rsidRPr="00417C5B">
        <w:t>uitzondering</w:t>
      </w:r>
      <w:proofErr w:type="spellEnd"/>
      <w:r w:rsidRPr="00417C5B">
        <w:t xml:space="preserve"> is de </w:t>
      </w:r>
      <w:proofErr w:type="spellStart"/>
      <w:r w:rsidRPr="00417C5B">
        <w:t>volgende</w:t>
      </w:r>
      <w:proofErr w:type="spellEnd"/>
      <w:r w:rsidRPr="00417C5B">
        <w:t>:</w:t>
      </w:r>
    </w:p>
    <w:p w:rsidRPr="00417C5B" w:rsidR="00E332A0" w:rsidP="00DA26B9" w:rsidRDefault="00E332A0">
      <w:pPr>
        <w:pStyle w:val="HTML-voorafopgemaakt"/>
        <w:spacing w:line="276" w:lineRule="auto"/>
        <w:jc w:val="both"/>
        <w:rPr>
          <w:rFonts w:cs="Arial" w:asciiTheme="minorHAnsi" w:hAnsiTheme="minorHAnsi"/>
          <w:i/>
          <w:sz w:val="22"/>
          <w:szCs w:val="22"/>
          <w:lang w:val="en-US"/>
        </w:rPr>
      </w:pPr>
      <w:r w:rsidRPr="00417C5B">
        <w:rPr>
          <w:rFonts w:asciiTheme="minorHAnsi" w:hAnsiTheme="minorHAnsi"/>
          <w:i/>
          <w:sz w:val="22"/>
          <w:szCs w:val="22"/>
          <w:lang w:val="en-US"/>
        </w:rPr>
        <w:t xml:space="preserve"> “</w:t>
      </w:r>
      <w:r w:rsidRPr="00417C5B">
        <w:rPr>
          <w:rFonts w:cs="Arial" w:asciiTheme="minorHAnsi" w:hAnsiTheme="minorHAnsi"/>
          <w:i/>
          <w:sz w:val="22"/>
          <w:szCs w:val="22"/>
          <w:lang w:val="en-US"/>
        </w:rPr>
        <w:t>(A) specifically authorized under criteria established by an Executive Order to be kept secret in the</w:t>
      </w:r>
    </w:p>
    <w:p w:rsidRPr="00417C5B" w:rsidR="00E332A0" w:rsidP="00DA26B9" w:rsidRDefault="00E33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lang w:val="en-US" w:eastAsia="nl-NL"/>
        </w:rPr>
      </w:pPr>
      <w:r w:rsidRPr="00417C5B">
        <w:rPr>
          <w:rFonts w:eastAsia="Times New Roman" w:cs="Arial"/>
          <w:i/>
          <w:lang w:val="en-US" w:eastAsia="nl-NL"/>
        </w:rPr>
        <w:t>interest of national defense or foreign policy and (B) are in fact properly classified pursuant to such Executive Order.</w:t>
      </w:r>
      <w:r w:rsidRPr="00417C5B">
        <w:rPr>
          <w:i/>
          <w:lang w:val="en-US"/>
        </w:rPr>
        <w:t>”</w:t>
      </w:r>
      <w:r w:rsidRPr="00417C5B">
        <w:rPr>
          <w:rStyle w:val="Voetnootmarkering"/>
          <w:lang w:val="en-US"/>
        </w:rPr>
        <w:footnoteReference w:id="11"/>
      </w:r>
    </w:p>
    <w:p w:rsidRPr="00E332A0" w:rsidR="00E332A0" w:rsidP="00DA26B9" w:rsidRDefault="00E332A0">
      <w:pPr>
        <w:jc w:val="both"/>
        <w:rPr>
          <w:lang w:val="nl-NL"/>
        </w:rPr>
      </w:pPr>
      <w:r w:rsidRPr="00E332A0">
        <w:rPr>
          <w:lang w:val="nl-NL"/>
        </w:rPr>
        <w:t xml:space="preserve">Een andere relevante wet in dit kader is de </w:t>
      </w:r>
      <w:r w:rsidRPr="00E332A0">
        <w:rPr>
          <w:i/>
          <w:lang w:val="nl-NL"/>
        </w:rPr>
        <w:t xml:space="preserve">Federal </w:t>
      </w:r>
      <w:proofErr w:type="spellStart"/>
      <w:r w:rsidRPr="00E332A0">
        <w:rPr>
          <w:i/>
          <w:lang w:val="nl-NL"/>
        </w:rPr>
        <w:t>Advisory</w:t>
      </w:r>
      <w:proofErr w:type="spellEnd"/>
      <w:r w:rsidRPr="00E332A0">
        <w:rPr>
          <w:i/>
          <w:lang w:val="nl-NL"/>
        </w:rPr>
        <w:t xml:space="preserve"> </w:t>
      </w:r>
      <w:proofErr w:type="spellStart"/>
      <w:r w:rsidRPr="00E332A0">
        <w:rPr>
          <w:i/>
          <w:lang w:val="nl-NL"/>
        </w:rPr>
        <w:t>Committee</w:t>
      </w:r>
      <w:proofErr w:type="spellEnd"/>
      <w:r w:rsidRPr="00E332A0">
        <w:rPr>
          <w:i/>
          <w:lang w:val="nl-NL"/>
        </w:rPr>
        <w:t xml:space="preserve"> Act </w:t>
      </w:r>
      <w:r w:rsidRPr="00E332A0">
        <w:rPr>
          <w:lang w:val="nl-NL"/>
        </w:rPr>
        <w:t xml:space="preserve">(FACA) uit 1972, waarin is vastgelegd dat alle bijeenkomsten van adviescommissies ten behoeve van de federale overheid in beginsel publiek toegankelijk zijn. Daarnaast is in de </w:t>
      </w:r>
      <w:proofErr w:type="spellStart"/>
      <w:r w:rsidRPr="00E332A0">
        <w:rPr>
          <w:i/>
          <w:lang w:val="nl-NL"/>
        </w:rPr>
        <w:t>Government</w:t>
      </w:r>
      <w:proofErr w:type="spellEnd"/>
      <w:r w:rsidRPr="00E332A0">
        <w:rPr>
          <w:i/>
          <w:lang w:val="nl-NL"/>
        </w:rPr>
        <w:t xml:space="preserve"> in the Sunshine Act </w:t>
      </w:r>
      <w:r w:rsidRPr="00E332A0">
        <w:rPr>
          <w:lang w:val="nl-NL"/>
        </w:rPr>
        <w:t xml:space="preserve">vastgelegd dat beleidsvoorbereiding en beraadslaging van collegiaal geleide federale instanties publiek toegankelijke zijn. </w:t>
      </w:r>
    </w:p>
    <w:p w:rsidRPr="00E332A0" w:rsidR="00E332A0" w:rsidP="00DA26B9" w:rsidRDefault="00E332A0">
      <w:pPr>
        <w:jc w:val="both"/>
        <w:rPr>
          <w:lang w:val="nl-NL"/>
        </w:rPr>
      </w:pPr>
      <w:r w:rsidRPr="00E332A0">
        <w:rPr>
          <w:lang w:val="nl-NL"/>
        </w:rPr>
        <w:t xml:space="preserve">Sinds de regeerperiode van president Bush werden verzoeken op grond van de FOIA steeds vaker geweigerd. Via de </w:t>
      </w:r>
      <w:r w:rsidR="009232E5">
        <w:rPr>
          <w:lang w:val="nl-NL"/>
        </w:rPr>
        <w:t xml:space="preserve">Amerikaanse Federale </w:t>
      </w:r>
      <w:r w:rsidRPr="00E332A0">
        <w:rPr>
          <w:lang w:val="nl-NL"/>
        </w:rPr>
        <w:t xml:space="preserve">rechter lukt het </w:t>
      </w:r>
      <w:r w:rsidR="009232E5">
        <w:rPr>
          <w:lang w:val="nl-NL"/>
        </w:rPr>
        <w:t xml:space="preserve">veelal </w:t>
      </w:r>
      <w:r w:rsidRPr="00E332A0">
        <w:rPr>
          <w:lang w:val="nl-NL"/>
        </w:rPr>
        <w:t xml:space="preserve">wel het vrijgeven van stukken te bewerkstelligen, maar de kosten daarvoor zijn hoog. </w:t>
      </w:r>
      <w:r w:rsidR="00062E3B">
        <w:rPr>
          <w:lang w:val="nl-NL"/>
        </w:rPr>
        <w:t xml:space="preserve">Een voorbeeld </w:t>
      </w:r>
      <w:r w:rsidR="00F53D34">
        <w:rPr>
          <w:lang w:val="nl-NL"/>
        </w:rPr>
        <w:t>van een succesvolle zaak op grond van de FOIA is het beroep van een Amerikaanse mensenrechten organisatie op deze wet om de beleidsregels van het Pentagon te verkrijgen</w:t>
      </w:r>
      <w:r w:rsidR="00062E3B">
        <w:rPr>
          <w:lang w:val="nl-NL"/>
        </w:rPr>
        <w:t xml:space="preserve"> omtrent het gebruik van </w:t>
      </w:r>
      <w:proofErr w:type="spellStart"/>
      <w:r w:rsidR="00062E3B">
        <w:rPr>
          <w:lang w:val="nl-NL"/>
        </w:rPr>
        <w:t>drones</w:t>
      </w:r>
      <w:proofErr w:type="spellEnd"/>
      <w:r w:rsidR="00062E3B">
        <w:rPr>
          <w:lang w:val="nl-NL"/>
        </w:rPr>
        <w:t xml:space="preserve"> door </w:t>
      </w:r>
      <w:r w:rsidR="006C69DB">
        <w:rPr>
          <w:lang w:val="nl-NL"/>
        </w:rPr>
        <w:t>de VS</w:t>
      </w:r>
      <w:r w:rsidR="00062E3B">
        <w:rPr>
          <w:lang w:val="nl-NL"/>
        </w:rPr>
        <w:t xml:space="preserve"> </w:t>
      </w:r>
      <w:r w:rsidR="00F53D34">
        <w:rPr>
          <w:lang w:val="nl-NL"/>
        </w:rPr>
        <w:t xml:space="preserve">in de “war on </w:t>
      </w:r>
      <w:proofErr w:type="spellStart"/>
      <w:r w:rsidR="00F53D34">
        <w:rPr>
          <w:lang w:val="nl-NL"/>
        </w:rPr>
        <w:t>terror</w:t>
      </w:r>
      <w:proofErr w:type="spellEnd"/>
      <w:r w:rsidR="00F53D34">
        <w:rPr>
          <w:lang w:val="nl-NL"/>
        </w:rPr>
        <w:t>”. M</w:t>
      </w:r>
      <w:r w:rsidR="00062E3B">
        <w:rPr>
          <w:lang w:val="nl-NL"/>
        </w:rPr>
        <w:t xml:space="preserve">et een beroep op deze wet </w:t>
      </w:r>
      <w:r w:rsidR="00F53D34">
        <w:rPr>
          <w:lang w:val="nl-NL"/>
        </w:rPr>
        <w:t>moest de VS-regering deze uiteindelijk openbaren</w:t>
      </w:r>
      <w:r w:rsidR="00062E3B">
        <w:rPr>
          <w:lang w:val="nl-NL"/>
        </w:rPr>
        <w:t xml:space="preserve">. </w:t>
      </w:r>
    </w:p>
    <w:p w:rsidRPr="00E332A0" w:rsidR="00F53D34" w:rsidP="00DA26B9" w:rsidRDefault="00E332A0">
      <w:pPr>
        <w:jc w:val="both"/>
        <w:rPr>
          <w:lang w:val="nl-NL"/>
        </w:rPr>
      </w:pPr>
      <w:r w:rsidRPr="00E332A0">
        <w:rPr>
          <w:lang w:val="nl-NL"/>
        </w:rPr>
        <w:t xml:space="preserve">Een beroep doen op de FOIA is mogelijk voor </w:t>
      </w:r>
      <w:proofErr w:type="spellStart"/>
      <w:r w:rsidRPr="00E332A0">
        <w:rPr>
          <w:i/>
          <w:lang w:val="nl-NL"/>
        </w:rPr>
        <w:t>any</w:t>
      </w:r>
      <w:proofErr w:type="spellEnd"/>
      <w:r w:rsidRPr="00E332A0">
        <w:rPr>
          <w:i/>
          <w:lang w:val="nl-NL"/>
        </w:rPr>
        <w:t xml:space="preserve"> person,</w:t>
      </w:r>
      <w:r w:rsidRPr="00E332A0">
        <w:rPr>
          <w:lang w:val="nl-NL"/>
        </w:rPr>
        <w:t xml:space="preserve"> oftewel voor elke Amerikaanse staatsburger, vreemdelingen die permanent in </w:t>
      </w:r>
      <w:r w:rsidR="006C69DB">
        <w:rPr>
          <w:lang w:val="nl-NL"/>
        </w:rPr>
        <w:t>de VS</w:t>
      </w:r>
      <w:r w:rsidRPr="00E332A0">
        <w:rPr>
          <w:lang w:val="nl-NL"/>
        </w:rPr>
        <w:t xml:space="preserve"> verblijven en vreemdelingen, maar ook organisaties zoals bedrijven, universiteiten en lokale overheden.</w:t>
      </w:r>
      <w:r w:rsidR="00F53D34">
        <w:rPr>
          <w:lang w:val="nl-NL"/>
        </w:rPr>
        <w:t xml:space="preserve"> In </w:t>
      </w:r>
      <w:proofErr w:type="spellStart"/>
      <w:r w:rsidR="00F53D34">
        <w:rPr>
          <w:lang w:val="nl-NL"/>
        </w:rPr>
        <w:t>casu</w:t>
      </w:r>
      <w:proofErr w:type="spellEnd"/>
      <w:r w:rsidR="00F53D34">
        <w:rPr>
          <w:lang w:val="nl-NL"/>
        </w:rPr>
        <w:t xml:space="preserve"> had een van de inzittende</w:t>
      </w:r>
      <w:r w:rsidR="0066259B">
        <w:rPr>
          <w:lang w:val="nl-NL"/>
        </w:rPr>
        <w:t>.</w:t>
      </w:r>
      <w:bookmarkStart w:name="_GoBack" w:id="17"/>
      <w:bookmarkEnd w:id="17"/>
      <w:r w:rsidR="00F53D34">
        <w:rPr>
          <w:lang w:val="nl-NL"/>
        </w:rPr>
        <w:t xml:space="preserve"> (Quinn Schansman) van de MH1</w:t>
      </w:r>
      <w:r w:rsidR="0066259B">
        <w:rPr>
          <w:lang w:val="nl-NL"/>
        </w:rPr>
        <w:t>7 de Amerikaanse nationaliteit.</w:t>
      </w:r>
    </w:p>
    <w:p w:rsidR="000954BC" w:rsidP="00DA26B9" w:rsidRDefault="0066259B">
      <w:pPr>
        <w:pStyle w:val="Kop1"/>
        <w:jc w:val="both"/>
        <w:rPr>
          <w:lang w:val="nl-NL"/>
        </w:rPr>
      </w:pPr>
      <w:bookmarkStart w:name="_Toc441140016" w:id="18"/>
      <w:r>
        <w:rPr>
          <w:lang w:val="nl-NL"/>
        </w:rPr>
        <w:t>Eindc</w:t>
      </w:r>
      <w:r w:rsidR="000954BC">
        <w:rPr>
          <w:lang w:val="nl-NL"/>
        </w:rPr>
        <w:t>onclusie</w:t>
      </w:r>
      <w:bookmarkEnd w:id="18"/>
    </w:p>
    <w:p w:rsidRPr="000954BC" w:rsidR="000954BC" w:rsidP="00DA26B9" w:rsidRDefault="003E6685">
      <w:pPr>
        <w:jc w:val="both"/>
        <w:rPr>
          <w:lang w:val="nl-NL"/>
        </w:rPr>
      </w:pPr>
      <w:r>
        <w:rPr>
          <w:lang w:val="nl-NL"/>
        </w:rPr>
        <w:t xml:space="preserve">Het vervolgen en berechten van </w:t>
      </w:r>
      <w:r w:rsidR="0066259B">
        <w:rPr>
          <w:lang w:val="nl-NL"/>
        </w:rPr>
        <w:t>verantwoordelijken</w:t>
      </w:r>
      <w:r>
        <w:rPr>
          <w:lang w:val="nl-NL"/>
        </w:rPr>
        <w:t xml:space="preserve"> is voor het neerhalen van het passagiersvliegtuig MH17 </w:t>
      </w:r>
      <w:r w:rsidR="00DE7D37">
        <w:rPr>
          <w:lang w:val="nl-NL"/>
        </w:rPr>
        <w:t>is een complex vraagstuk zowel gezien de mogelijke procesgang (Deel 1) alsook gelet op de ingewikkelde bewijsrechtelijke implicaties</w:t>
      </w:r>
      <w:r w:rsidR="0066259B">
        <w:rPr>
          <w:lang w:val="nl-NL"/>
        </w:rPr>
        <w:t xml:space="preserve"> van </w:t>
      </w:r>
      <w:proofErr w:type="spellStart"/>
      <w:r w:rsidR="0066259B">
        <w:rPr>
          <w:lang w:val="nl-NL"/>
        </w:rPr>
        <w:t>deen</w:t>
      </w:r>
      <w:proofErr w:type="spellEnd"/>
      <w:r w:rsidR="0066259B">
        <w:rPr>
          <w:lang w:val="nl-NL"/>
        </w:rPr>
        <w:t xml:space="preserve"> dergelijke </w:t>
      </w:r>
      <w:proofErr w:type="spellStart"/>
      <w:r w:rsidR="0066259B">
        <w:rPr>
          <w:lang w:val="nl-NL"/>
        </w:rPr>
        <w:t>vervolgin</w:t>
      </w:r>
      <w:proofErr w:type="spellEnd"/>
      <w:r w:rsidR="00DE7D37">
        <w:rPr>
          <w:lang w:val="nl-NL"/>
        </w:rPr>
        <w:t xml:space="preserve"> (Deel 2). Indien een </w:t>
      </w:r>
      <w:r w:rsidR="00554287">
        <w:rPr>
          <w:lang w:val="nl-NL"/>
        </w:rPr>
        <w:t xml:space="preserve">van de in Deel 2 </w:t>
      </w:r>
      <w:r w:rsidR="00F53D34">
        <w:rPr>
          <w:lang w:val="nl-NL"/>
        </w:rPr>
        <w:t>genoemde vijf</w:t>
      </w:r>
      <w:r w:rsidR="00554287">
        <w:rPr>
          <w:lang w:val="nl-NL"/>
        </w:rPr>
        <w:t xml:space="preserve"> stadia geen </w:t>
      </w:r>
      <w:r w:rsidR="00ED2703">
        <w:rPr>
          <w:lang w:val="nl-NL"/>
        </w:rPr>
        <w:t>sluitend</w:t>
      </w:r>
      <w:r w:rsidR="00F53D34">
        <w:rPr>
          <w:lang w:val="nl-NL"/>
        </w:rPr>
        <w:t xml:space="preserve"> </w:t>
      </w:r>
      <w:r w:rsidR="00554287">
        <w:rPr>
          <w:lang w:val="nl-NL"/>
        </w:rPr>
        <w:t xml:space="preserve">bewijs </w:t>
      </w:r>
      <w:r w:rsidR="00F53D34">
        <w:rPr>
          <w:lang w:val="nl-NL"/>
        </w:rPr>
        <w:t xml:space="preserve">zou </w:t>
      </w:r>
      <w:r w:rsidR="00554287">
        <w:rPr>
          <w:lang w:val="nl-NL"/>
        </w:rPr>
        <w:t>opleveren, zal een vervolging kunnen stranden. Hetzelfde geldt ook voor het bewijs van opzet</w:t>
      </w:r>
      <w:r w:rsidR="00F53D34">
        <w:rPr>
          <w:lang w:val="nl-NL"/>
        </w:rPr>
        <w:t xml:space="preserve"> (zie Deel 2)</w:t>
      </w:r>
      <w:r w:rsidR="00554287">
        <w:rPr>
          <w:lang w:val="nl-NL"/>
        </w:rPr>
        <w:t xml:space="preserve">. </w:t>
      </w:r>
      <w:r w:rsidR="008B2CF8">
        <w:rPr>
          <w:lang w:val="nl-NL"/>
        </w:rPr>
        <w:t xml:space="preserve">Gaat het om </w:t>
      </w:r>
      <w:r w:rsidR="00F53D34">
        <w:rPr>
          <w:lang w:val="nl-NL"/>
        </w:rPr>
        <w:t xml:space="preserve">het </w:t>
      </w:r>
      <w:r w:rsidR="008B2CF8">
        <w:rPr>
          <w:lang w:val="nl-NL"/>
        </w:rPr>
        <w:t xml:space="preserve">alsnog in het (straf)dossier doen </w:t>
      </w:r>
      <w:r w:rsidR="00F53D34">
        <w:rPr>
          <w:lang w:val="nl-NL"/>
        </w:rPr>
        <w:t>ver</w:t>
      </w:r>
      <w:r w:rsidR="008B2CF8">
        <w:rPr>
          <w:lang w:val="nl-NL"/>
        </w:rPr>
        <w:t>krijgen van de primaire radarbeelden, dient zich een aantal juridische wegen aan</w:t>
      </w:r>
      <w:r w:rsidR="002F7B3E">
        <w:rPr>
          <w:lang w:val="nl-NL"/>
        </w:rPr>
        <w:t xml:space="preserve"> die nader onderzoek verdienen</w:t>
      </w:r>
      <w:r w:rsidR="008B2CF8">
        <w:rPr>
          <w:lang w:val="nl-NL"/>
        </w:rPr>
        <w:t xml:space="preserve"> (Deel 3). Aangetekend zij </w:t>
      </w:r>
      <w:r w:rsidR="00F53D34">
        <w:rPr>
          <w:lang w:val="nl-NL"/>
        </w:rPr>
        <w:t xml:space="preserve">dat </w:t>
      </w:r>
      <w:r w:rsidR="008B2CF8">
        <w:rPr>
          <w:lang w:val="nl-NL"/>
        </w:rPr>
        <w:t xml:space="preserve">het inslaan van een van deze </w:t>
      </w:r>
      <w:r w:rsidR="008B2CF8">
        <w:rPr>
          <w:lang w:val="nl-NL"/>
        </w:rPr>
        <w:lastRenderedPageBreak/>
        <w:t xml:space="preserve">wegen, in hoge mate afhankelijk is van de politieke wil in </w:t>
      </w:r>
      <w:r w:rsidR="00F53D34">
        <w:rPr>
          <w:lang w:val="nl-NL"/>
        </w:rPr>
        <w:t xml:space="preserve">onder meer </w:t>
      </w:r>
      <w:r w:rsidR="008B2CF8">
        <w:rPr>
          <w:lang w:val="nl-NL"/>
        </w:rPr>
        <w:t>het Nederlands kabinet</w:t>
      </w:r>
      <w:r w:rsidR="00F53D34">
        <w:rPr>
          <w:lang w:val="nl-NL"/>
        </w:rPr>
        <w:t xml:space="preserve"> </w:t>
      </w:r>
      <w:r w:rsidR="002F7B3E">
        <w:rPr>
          <w:lang w:val="nl-NL"/>
        </w:rPr>
        <w:t>alsmede</w:t>
      </w:r>
      <w:r w:rsidR="00F53D34">
        <w:rPr>
          <w:lang w:val="nl-NL"/>
        </w:rPr>
        <w:t xml:space="preserve"> de internationale politiek</w:t>
      </w:r>
      <w:r w:rsidR="008B2CF8">
        <w:rPr>
          <w:lang w:val="nl-NL"/>
        </w:rPr>
        <w:t xml:space="preserve">. </w:t>
      </w:r>
    </w:p>
    <w:p w:rsidRPr="000954BC" w:rsidR="000954BC" w:rsidP="00DA26B9" w:rsidRDefault="000954BC">
      <w:pPr>
        <w:jc w:val="both"/>
        <w:rPr>
          <w:lang w:val="nl-NL"/>
        </w:rPr>
      </w:pPr>
    </w:p>
    <w:p w:rsidR="00D32FB9" w:rsidP="00DA26B9" w:rsidRDefault="00D32FB9">
      <w:pPr>
        <w:jc w:val="both"/>
        <w:rPr>
          <w:lang w:val="nl-NL"/>
        </w:rPr>
      </w:pPr>
    </w:p>
    <w:sectPr w:rsidR="00D32FB9" w:rsidSect="00F45539">
      <w:footerReference w:type="default" r:id="rId10"/>
      <w:pgSz w:w="11906" w:h="16838"/>
      <w:pgMar w:top="1417" w:right="1417" w:bottom="1417" w:left="1417" w:header="708" w:footer="708" w:gutter="0"/>
      <w:pgNumType w:start="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C76" w:rsidRDefault="00D50C76" w:rsidP="00851859">
      <w:pPr>
        <w:spacing w:after="0" w:line="240" w:lineRule="auto"/>
      </w:pPr>
      <w:r>
        <w:separator/>
      </w:r>
    </w:p>
  </w:endnote>
  <w:endnote w:type="continuationSeparator" w:id="0">
    <w:p w:rsidR="00D50C76" w:rsidRDefault="00D50C76" w:rsidP="00851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623664"/>
      <w:docPartObj>
        <w:docPartGallery w:val="Page Numbers (Bottom of Page)"/>
        <w:docPartUnique/>
      </w:docPartObj>
    </w:sdtPr>
    <w:sdtContent>
      <w:p w:rsidR="00D50C76" w:rsidRDefault="00D50C76">
        <w:pPr>
          <w:pStyle w:val="Voettekst"/>
          <w:jc w:val="center"/>
        </w:pPr>
        <w:r>
          <w:fldChar w:fldCharType="begin"/>
        </w:r>
        <w:r>
          <w:instrText>PAGE   \* MERGEFORMAT</w:instrText>
        </w:r>
        <w:r>
          <w:fldChar w:fldCharType="separate"/>
        </w:r>
        <w:r w:rsidR="0066259B" w:rsidRPr="0066259B">
          <w:rPr>
            <w:noProof/>
            <w:lang w:val="nl-NL"/>
          </w:rPr>
          <w:t>7</w:t>
        </w:r>
        <w:r>
          <w:fldChar w:fldCharType="end"/>
        </w:r>
      </w:p>
    </w:sdtContent>
  </w:sdt>
  <w:p w:rsidR="00D50C76" w:rsidRDefault="00D50C7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C76" w:rsidRDefault="00D50C76" w:rsidP="00851859">
      <w:pPr>
        <w:spacing w:after="0" w:line="240" w:lineRule="auto"/>
      </w:pPr>
      <w:r>
        <w:separator/>
      </w:r>
    </w:p>
  </w:footnote>
  <w:footnote w:type="continuationSeparator" w:id="0">
    <w:p w:rsidR="00D50C76" w:rsidRDefault="00D50C76" w:rsidP="00851859">
      <w:pPr>
        <w:spacing w:after="0" w:line="240" w:lineRule="auto"/>
      </w:pPr>
      <w:r>
        <w:continuationSeparator/>
      </w:r>
    </w:p>
  </w:footnote>
  <w:footnote w:id="1">
    <w:p w:rsidR="00D50C76" w:rsidRPr="00D91591" w:rsidRDefault="00D50C76">
      <w:pPr>
        <w:pStyle w:val="Voetnoottekst"/>
        <w:rPr>
          <w:lang w:val="nl-NL"/>
        </w:rPr>
      </w:pPr>
      <w:r>
        <w:rPr>
          <w:rStyle w:val="Voetnootmarkering"/>
        </w:rPr>
        <w:footnoteRef/>
      </w:r>
      <w:r w:rsidRPr="002A4400">
        <w:rPr>
          <w:lang w:val="nl-NL"/>
        </w:rPr>
        <w:t xml:space="preserve"> </w:t>
      </w:r>
      <w:proofErr w:type="spellStart"/>
      <w:r>
        <w:rPr>
          <w:lang w:val="nl-NL"/>
        </w:rPr>
        <w:t>Onderzoeksraad</w:t>
      </w:r>
      <w:proofErr w:type="spellEnd"/>
      <w:r>
        <w:rPr>
          <w:lang w:val="nl-NL"/>
        </w:rPr>
        <w:t xml:space="preserve"> voor Veiligheid, ‘Crash van Malaysia Airlines Vlucht MH17’,  22 oktober 2015, p. 140-146.</w:t>
      </w:r>
    </w:p>
  </w:footnote>
  <w:footnote w:id="2">
    <w:p w:rsidR="00D50C76" w:rsidRPr="00D91591" w:rsidRDefault="00D50C76">
      <w:pPr>
        <w:pStyle w:val="Voetnoottekst"/>
        <w:rPr>
          <w:lang w:val="nl-NL"/>
        </w:rPr>
      </w:pPr>
      <w:r>
        <w:rPr>
          <w:rStyle w:val="Voetnootmarkering"/>
        </w:rPr>
        <w:footnoteRef/>
      </w:r>
      <w:r w:rsidRPr="002A4400">
        <w:rPr>
          <w:lang w:val="nl-NL"/>
        </w:rPr>
        <w:t xml:space="preserve"> </w:t>
      </w:r>
      <w:r>
        <w:rPr>
          <w:i/>
          <w:lang w:val="nl-NL"/>
        </w:rPr>
        <w:t>Ibid.,</w:t>
      </w:r>
      <w:r>
        <w:rPr>
          <w:lang w:val="nl-NL"/>
        </w:rPr>
        <w:t xml:space="preserve"> p. 153-155.</w:t>
      </w:r>
    </w:p>
  </w:footnote>
  <w:footnote w:id="3">
    <w:p w:rsidR="00D50C76" w:rsidRPr="00062E3B" w:rsidRDefault="00D50C76">
      <w:pPr>
        <w:pStyle w:val="Voetnoottekst"/>
        <w:rPr>
          <w:lang w:val="nl-NL"/>
        </w:rPr>
      </w:pPr>
      <w:r>
        <w:rPr>
          <w:rStyle w:val="Voetnootmarkering"/>
        </w:rPr>
        <w:footnoteRef/>
      </w:r>
      <w:r w:rsidRPr="00062E3B">
        <w:rPr>
          <w:lang w:val="nl-NL"/>
        </w:rPr>
        <w:t xml:space="preserve"> Zie bijvoorbeeld </w:t>
      </w:r>
      <w:r w:rsidRPr="00062E3B">
        <w:rPr>
          <w:i/>
          <w:lang w:val="nl-NL"/>
        </w:rPr>
        <w:t xml:space="preserve">Ibid., </w:t>
      </w:r>
      <w:r w:rsidRPr="00062E3B">
        <w:rPr>
          <w:lang w:val="nl-NL"/>
        </w:rPr>
        <w:t>p. 66, 79, 81.</w:t>
      </w:r>
    </w:p>
  </w:footnote>
  <w:footnote w:id="4">
    <w:p w:rsidR="00D50C76" w:rsidRPr="005C363A" w:rsidRDefault="00D50C76">
      <w:pPr>
        <w:pStyle w:val="Voetnoottekst"/>
        <w:rPr>
          <w:lang w:val="nl-NL"/>
        </w:rPr>
      </w:pPr>
      <w:r>
        <w:rPr>
          <w:rStyle w:val="Voetnootmarkering"/>
        </w:rPr>
        <w:footnoteRef/>
      </w:r>
      <w:r w:rsidRPr="005C363A">
        <w:rPr>
          <w:lang w:val="nl-NL"/>
        </w:rPr>
        <w:t xml:space="preserve"> Het enkele feit da</w:t>
      </w:r>
      <w:r>
        <w:rPr>
          <w:lang w:val="nl-NL"/>
        </w:rPr>
        <w:t>t</w:t>
      </w:r>
      <w:r w:rsidRPr="005C363A">
        <w:rPr>
          <w:lang w:val="nl-NL"/>
        </w:rPr>
        <w:t xml:space="preserve"> een projecti</w:t>
      </w:r>
      <w:r>
        <w:rPr>
          <w:lang w:val="nl-NL"/>
        </w:rPr>
        <w:t>e</w:t>
      </w:r>
      <w:r w:rsidRPr="005C363A">
        <w:rPr>
          <w:lang w:val="nl-NL"/>
        </w:rPr>
        <w:t>l</w:t>
      </w:r>
      <w:r>
        <w:rPr>
          <w:lang w:val="nl-NL"/>
        </w:rPr>
        <w:t xml:space="preserve"> van een</w:t>
      </w:r>
      <w:r w:rsidRPr="005C363A">
        <w:rPr>
          <w:lang w:val="nl-NL"/>
        </w:rPr>
        <w:t xml:space="preserve"> bep</w:t>
      </w:r>
      <w:r>
        <w:rPr>
          <w:lang w:val="nl-NL"/>
        </w:rPr>
        <w:t>aalde makelij is, hoeft nog geen bew</w:t>
      </w:r>
      <w:r w:rsidRPr="005C363A">
        <w:rPr>
          <w:lang w:val="nl-NL"/>
        </w:rPr>
        <w:t>ij</w:t>
      </w:r>
      <w:r>
        <w:rPr>
          <w:lang w:val="nl-NL"/>
        </w:rPr>
        <w:t>s</w:t>
      </w:r>
      <w:r w:rsidRPr="005C363A">
        <w:rPr>
          <w:lang w:val="nl-NL"/>
        </w:rPr>
        <w:t xml:space="preserve"> van identiteit van de dader te zijn; zie ook </w:t>
      </w:r>
      <w:r>
        <w:rPr>
          <w:lang w:val="nl-NL"/>
        </w:rPr>
        <w:t>commentaar Rusland op het uit productie zijn van het type Buk-raket waarover de OVV spreekt.</w:t>
      </w:r>
    </w:p>
  </w:footnote>
  <w:footnote w:id="5">
    <w:p w:rsidR="00D50C76" w:rsidRPr="00D21929" w:rsidRDefault="00D50C76">
      <w:pPr>
        <w:pStyle w:val="Voetnoottekst"/>
      </w:pPr>
      <w:r>
        <w:rPr>
          <w:rStyle w:val="Voetnootmarkering"/>
        </w:rPr>
        <w:footnoteRef/>
      </w:r>
      <w:r w:rsidRPr="00D21929">
        <w:t xml:space="preserve"> </w:t>
      </w:r>
      <w:r w:rsidRPr="00D21929">
        <w:rPr>
          <w:i/>
        </w:rPr>
        <w:t xml:space="preserve">Prosecutor v. </w:t>
      </w:r>
      <w:proofErr w:type="spellStart"/>
      <w:r w:rsidRPr="00D21929">
        <w:rPr>
          <w:i/>
        </w:rPr>
        <w:t>Milutinović</w:t>
      </w:r>
      <w:proofErr w:type="spellEnd"/>
      <w:r w:rsidRPr="00D21929">
        <w:rPr>
          <w:i/>
        </w:rPr>
        <w:t xml:space="preserve"> et al., </w:t>
      </w:r>
      <w:r w:rsidRPr="00D21929">
        <w:t>Case No.</w:t>
      </w:r>
      <w:r>
        <w:t>: IT-05-87-T, Trial judgement, 26 February 2009,</w:t>
      </w:r>
      <w:r w:rsidRPr="00D21929">
        <w:rPr>
          <w:i/>
        </w:rPr>
        <w:t xml:space="preserve"> </w:t>
      </w:r>
      <w:r w:rsidRPr="00D21929">
        <w:t>para 116.</w:t>
      </w:r>
    </w:p>
  </w:footnote>
  <w:footnote w:id="6">
    <w:p w:rsidR="00D50C76" w:rsidRPr="00D21929" w:rsidRDefault="00D50C76">
      <w:pPr>
        <w:pStyle w:val="Voetnoottekst"/>
        <w:rPr>
          <w:i/>
          <w:lang w:val="nl-NL"/>
        </w:rPr>
      </w:pPr>
      <w:r>
        <w:rPr>
          <w:rStyle w:val="Voetnootmarkering"/>
        </w:rPr>
        <w:footnoteRef/>
      </w:r>
      <w:r w:rsidRPr="00D21929">
        <w:rPr>
          <w:lang w:val="nl-NL"/>
        </w:rPr>
        <w:t xml:space="preserve"> </w:t>
      </w:r>
      <w:r w:rsidRPr="00D21929">
        <w:rPr>
          <w:i/>
          <w:lang w:val="nl-NL"/>
        </w:rPr>
        <w:t xml:space="preserve">Ibid., </w:t>
      </w:r>
      <w:r w:rsidRPr="00D21929">
        <w:rPr>
          <w:lang w:val="nl-NL"/>
        </w:rPr>
        <w:t>p. 118</w:t>
      </w:r>
      <w:r w:rsidRPr="00D21929">
        <w:rPr>
          <w:i/>
          <w:lang w:val="nl-NL"/>
        </w:rPr>
        <w:t>.</w:t>
      </w:r>
    </w:p>
  </w:footnote>
  <w:footnote w:id="7">
    <w:p w:rsidR="00D50C76" w:rsidRPr="00D21929" w:rsidRDefault="00D50C76">
      <w:pPr>
        <w:pStyle w:val="Voetnoottekst"/>
        <w:rPr>
          <w:lang w:val="nl-NL"/>
        </w:rPr>
      </w:pPr>
      <w:r>
        <w:rPr>
          <w:rStyle w:val="Voetnootmarkering"/>
        </w:rPr>
        <w:footnoteRef/>
      </w:r>
      <w:r w:rsidRPr="00D21929">
        <w:rPr>
          <w:lang w:val="nl-NL"/>
        </w:rPr>
        <w:t xml:space="preserve"> </w:t>
      </w:r>
      <w:r w:rsidRPr="00D21929">
        <w:rPr>
          <w:i/>
          <w:lang w:val="nl-NL"/>
        </w:rPr>
        <w:t xml:space="preserve">Ibid., </w:t>
      </w:r>
      <w:r w:rsidRPr="00D21929">
        <w:rPr>
          <w:lang w:val="nl-NL"/>
        </w:rPr>
        <w:t>p. 120.</w:t>
      </w:r>
    </w:p>
  </w:footnote>
  <w:footnote w:id="8">
    <w:p w:rsidR="00D50C76" w:rsidRPr="00CB6267" w:rsidRDefault="00D50C76">
      <w:pPr>
        <w:pStyle w:val="Voetnoottekst"/>
        <w:rPr>
          <w:lang w:val="nl-NL"/>
        </w:rPr>
      </w:pPr>
      <w:r>
        <w:rPr>
          <w:rStyle w:val="Voetnootmarkering"/>
        </w:rPr>
        <w:footnoteRef/>
      </w:r>
      <w:r w:rsidRPr="00CB6267">
        <w:rPr>
          <w:lang w:val="nl-NL"/>
        </w:rPr>
        <w:t xml:space="preserve"> </w:t>
      </w:r>
      <w:r>
        <w:rPr>
          <w:lang w:val="nl-NL"/>
        </w:rPr>
        <w:t xml:space="preserve">J. de Hullu, </w:t>
      </w:r>
      <w:r>
        <w:rPr>
          <w:i/>
          <w:lang w:val="nl-NL"/>
        </w:rPr>
        <w:t>Materieel Strafrecht 6</w:t>
      </w:r>
      <w:r w:rsidRPr="00CB6267">
        <w:rPr>
          <w:i/>
          <w:vertAlign w:val="superscript"/>
          <w:lang w:val="nl-NL"/>
        </w:rPr>
        <w:t>de</w:t>
      </w:r>
      <w:r>
        <w:rPr>
          <w:i/>
          <w:lang w:val="nl-NL"/>
        </w:rPr>
        <w:t xml:space="preserve"> druk,</w:t>
      </w:r>
      <w:r>
        <w:rPr>
          <w:lang w:val="nl-NL"/>
        </w:rPr>
        <w:t>(</w:t>
      </w:r>
      <w:r>
        <w:rPr>
          <w:i/>
          <w:lang w:val="nl-NL"/>
        </w:rPr>
        <w:t xml:space="preserve"> </w:t>
      </w:r>
      <w:r>
        <w:rPr>
          <w:lang w:val="nl-NL"/>
        </w:rPr>
        <w:t>Deventer: Wolter Kluwer, 2015), p. 239</w:t>
      </w:r>
    </w:p>
  </w:footnote>
  <w:footnote w:id="9">
    <w:p w:rsidR="00D50C76" w:rsidRPr="00A7578F" w:rsidRDefault="00D50C76">
      <w:pPr>
        <w:pStyle w:val="Voetnoottekst"/>
      </w:pPr>
      <w:r>
        <w:rPr>
          <w:rStyle w:val="Voetnootmarkering"/>
        </w:rPr>
        <w:footnoteRef/>
      </w:r>
      <w:r w:rsidRPr="00A7578F">
        <w:t xml:space="preserve"> </w:t>
      </w:r>
      <w:r w:rsidRPr="00A7578F">
        <w:rPr>
          <w:i/>
        </w:rPr>
        <w:t xml:space="preserve">Ibid. </w:t>
      </w:r>
      <w:r w:rsidRPr="00A7578F">
        <w:t>p. 239-240.</w:t>
      </w:r>
    </w:p>
  </w:footnote>
  <w:footnote w:id="10">
    <w:p w:rsidR="00D50C76" w:rsidRPr="00D07010" w:rsidRDefault="00D50C76">
      <w:pPr>
        <w:pStyle w:val="Voetnoottekst"/>
      </w:pPr>
      <w:r>
        <w:rPr>
          <w:rStyle w:val="Voetnootmarkering"/>
        </w:rPr>
        <w:footnoteRef/>
      </w:r>
      <w:r w:rsidRPr="00A7578F">
        <w:t xml:space="preserve"> </w:t>
      </w:r>
      <w:r w:rsidRPr="00A7578F">
        <w:rPr>
          <w:i/>
        </w:rPr>
        <w:t>Prosecutor v. Th</w:t>
      </w:r>
      <w:r>
        <w:rPr>
          <w:i/>
        </w:rPr>
        <w:t xml:space="preserve">omas </w:t>
      </w:r>
      <w:proofErr w:type="spellStart"/>
      <w:r w:rsidRPr="00D07010">
        <w:rPr>
          <w:i/>
        </w:rPr>
        <w:t>Lubanga</w:t>
      </w:r>
      <w:proofErr w:type="spellEnd"/>
      <w:r>
        <w:t xml:space="preserve"> </w:t>
      </w:r>
      <w:proofErr w:type="spellStart"/>
      <w:r>
        <w:rPr>
          <w:i/>
        </w:rPr>
        <w:t>Dyilo</w:t>
      </w:r>
      <w:proofErr w:type="spellEnd"/>
      <w:r>
        <w:rPr>
          <w:i/>
        </w:rPr>
        <w:t xml:space="preserve">, </w:t>
      </w:r>
      <w:r>
        <w:t xml:space="preserve">Case </w:t>
      </w:r>
      <w:r w:rsidRPr="00D07010">
        <w:t xml:space="preserve"> </w:t>
      </w:r>
      <w:r>
        <w:t xml:space="preserve">No. </w:t>
      </w:r>
      <w:r w:rsidRPr="00D07010">
        <w:t>ICC-01/04-01/06</w:t>
      </w:r>
      <w:r>
        <w:t>, J</w:t>
      </w:r>
      <w:r w:rsidRPr="00D07010">
        <w:t>udgment</w:t>
      </w:r>
      <w:r>
        <w:t xml:space="preserve"> pursuant to Article 74 of the Statute</w:t>
      </w:r>
      <w:r w:rsidRPr="00D07010">
        <w:t>, 14 March 2012, para. 1011.</w:t>
      </w:r>
    </w:p>
  </w:footnote>
  <w:footnote w:id="11">
    <w:p w:rsidR="00D50C76" w:rsidRPr="004A18E8" w:rsidRDefault="00D50C76" w:rsidP="00E332A0">
      <w:pPr>
        <w:pStyle w:val="Voetnoottekst"/>
        <w:rPr>
          <w:lang w:val="en-US"/>
        </w:rPr>
      </w:pPr>
      <w:r>
        <w:rPr>
          <w:rStyle w:val="Voetnootmarkering"/>
        </w:rPr>
        <w:footnoteRef/>
      </w:r>
      <w:r w:rsidRPr="004A18E8">
        <w:rPr>
          <w:lang w:val="en-US"/>
        </w:rPr>
        <w:t xml:space="preserve"> Allan Robert Adler, </w:t>
      </w:r>
      <w:r w:rsidRPr="004A18E8">
        <w:rPr>
          <w:i/>
          <w:lang w:val="en-US"/>
        </w:rPr>
        <w:t xml:space="preserve">Step-by-step guide to using the freedom of information act. </w:t>
      </w:r>
      <w:r>
        <w:rPr>
          <w:lang w:val="en-US"/>
        </w:rPr>
        <w:t xml:space="preserve">American Civil Liberties Union Foundation, 1992. (via: </w:t>
      </w:r>
      <w:r w:rsidRPr="004A18E8">
        <w:rPr>
          <w:lang w:val="en-US"/>
        </w:rPr>
        <w:t>http://www.skepticfiles.org/aclu/foia.htm</w:t>
      </w:r>
      <w:r>
        <w:rPr>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E3545"/>
    <w:multiLevelType w:val="hybridMultilevel"/>
    <w:tmpl w:val="03645E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4D3A4C"/>
    <w:multiLevelType w:val="hybridMultilevel"/>
    <w:tmpl w:val="E9EA6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6C17A2F"/>
    <w:multiLevelType w:val="hybridMultilevel"/>
    <w:tmpl w:val="FB8822D4"/>
    <w:lvl w:ilvl="0" w:tplc="DB96ADE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AB32BE"/>
    <w:multiLevelType w:val="hybridMultilevel"/>
    <w:tmpl w:val="14F0AE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967094F"/>
    <w:multiLevelType w:val="hybridMultilevel"/>
    <w:tmpl w:val="AA0AF3A2"/>
    <w:lvl w:ilvl="0" w:tplc="0413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9A37C70"/>
    <w:multiLevelType w:val="hybridMultilevel"/>
    <w:tmpl w:val="5658070E"/>
    <w:lvl w:ilvl="0" w:tplc="DB96ADE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FF170CE"/>
    <w:multiLevelType w:val="hybridMultilevel"/>
    <w:tmpl w:val="C166EFD0"/>
    <w:lvl w:ilvl="0" w:tplc="0413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27F6F65"/>
    <w:multiLevelType w:val="hybridMultilevel"/>
    <w:tmpl w:val="817E54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2F16803"/>
    <w:multiLevelType w:val="hybridMultilevel"/>
    <w:tmpl w:val="C3DC86A6"/>
    <w:lvl w:ilvl="0" w:tplc="CEDE9EE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8361385"/>
    <w:multiLevelType w:val="hybridMultilevel"/>
    <w:tmpl w:val="92C29460"/>
    <w:lvl w:ilvl="0" w:tplc="AF78104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0"/>
  </w:num>
  <w:num w:numId="3">
    <w:abstractNumId w:val="5"/>
  </w:num>
  <w:num w:numId="4">
    <w:abstractNumId w:val="1"/>
  </w:num>
  <w:num w:numId="5">
    <w:abstractNumId w:val="7"/>
  </w:num>
  <w:num w:numId="6">
    <w:abstractNumId w:val="3"/>
  </w:num>
  <w:num w:numId="7">
    <w:abstractNumId w:val="2"/>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2ED"/>
    <w:rsid w:val="000006C0"/>
    <w:rsid w:val="00013AF9"/>
    <w:rsid w:val="00022968"/>
    <w:rsid w:val="00032D67"/>
    <w:rsid w:val="00032F44"/>
    <w:rsid w:val="0004407E"/>
    <w:rsid w:val="00062E3B"/>
    <w:rsid w:val="0006411D"/>
    <w:rsid w:val="00067143"/>
    <w:rsid w:val="0007113D"/>
    <w:rsid w:val="00076AD9"/>
    <w:rsid w:val="00091A1C"/>
    <w:rsid w:val="000939FA"/>
    <w:rsid w:val="000954BC"/>
    <w:rsid w:val="000B709A"/>
    <w:rsid w:val="000E472D"/>
    <w:rsid w:val="000F7D70"/>
    <w:rsid w:val="0010658E"/>
    <w:rsid w:val="00120DD3"/>
    <w:rsid w:val="0013338D"/>
    <w:rsid w:val="00142240"/>
    <w:rsid w:val="001442F0"/>
    <w:rsid w:val="00172F99"/>
    <w:rsid w:val="001746F2"/>
    <w:rsid w:val="00190975"/>
    <w:rsid w:val="00191781"/>
    <w:rsid w:val="001921FF"/>
    <w:rsid w:val="001A27D6"/>
    <w:rsid w:val="001B5CB5"/>
    <w:rsid w:val="001D5214"/>
    <w:rsid w:val="00223E8A"/>
    <w:rsid w:val="002252AF"/>
    <w:rsid w:val="00231AA8"/>
    <w:rsid w:val="00245A43"/>
    <w:rsid w:val="00261C79"/>
    <w:rsid w:val="00295384"/>
    <w:rsid w:val="002A4400"/>
    <w:rsid w:val="002A7113"/>
    <w:rsid w:val="002E28D3"/>
    <w:rsid w:val="002E3BB8"/>
    <w:rsid w:val="002F7B3E"/>
    <w:rsid w:val="003743B1"/>
    <w:rsid w:val="003809EE"/>
    <w:rsid w:val="00391446"/>
    <w:rsid w:val="003A4E99"/>
    <w:rsid w:val="003A6E4B"/>
    <w:rsid w:val="003D0E31"/>
    <w:rsid w:val="003E6685"/>
    <w:rsid w:val="00434C45"/>
    <w:rsid w:val="0043558E"/>
    <w:rsid w:val="00437061"/>
    <w:rsid w:val="00447DD5"/>
    <w:rsid w:val="00467D89"/>
    <w:rsid w:val="00477596"/>
    <w:rsid w:val="004846D3"/>
    <w:rsid w:val="00492696"/>
    <w:rsid w:val="004B0D50"/>
    <w:rsid w:val="004C4864"/>
    <w:rsid w:val="004C544B"/>
    <w:rsid w:val="004C7942"/>
    <w:rsid w:val="004F3059"/>
    <w:rsid w:val="005227C8"/>
    <w:rsid w:val="00533C49"/>
    <w:rsid w:val="00544320"/>
    <w:rsid w:val="00547AF0"/>
    <w:rsid w:val="00554287"/>
    <w:rsid w:val="00584A41"/>
    <w:rsid w:val="005853F3"/>
    <w:rsid w:val="005903CE"/>
    <w:rsid w:val="00593284"/>
    <w:rsid w:val="00594A5B"/>
    <w:rsid w:val="005A455C"/>
    <w:rsid w:val="005C363A"/>
    <w:rsid w:val="005C4A4E"/>
    <w:rsid w:val="005D2E21"/>
    <w:rsid w:val="005E38FD"/>
    <w:rsid w:val="006523B8"/>
    <w:rsid w:val="0066259B"/>
    <w:rsid w:val="006C69DB"/>
    <w:rsid w:val="006D4101"/>
    <w:rsid w:val="006F17EC"/>
    <w:rsid w:val="006F3928"/>
    <w:rsid w:val="006F5E07"/>
    <w:rsid w:val="00700275"/>
    <w:rsid w:val="0071019E"/>
    <w:rsid w:val="00722DC2"/>
    <w:rsid w:val="00734504"/>
    <w:rsid w:val="00745538"/>
    <w:rsid w:val="00773EB8"/>
    <w:rsid w:val="00783F02"/>
    <w:rsid w:val="0079077C"/>
    <w:rsid w:val="0079138E"/>
    <w:rsid w:val="00820563"/>
    <w:rsid w:val="00827342"/>
    <w:rsid w:val="0082755C"/>
    <w:rsid w:val="00833414"/>
    <w:rsid w:val="00844204"/>
    <w:rsid w:val="00846F87"/>
    <w:rsid w:val="00851859"/>
    <w:rsid w:val="008B2CF8"/>
    <w:rsid w:val="008D2EC0"/>
    <w:rsid w:val="0090225A"/>
    <w:rsid w:val="00912886"/>
    <w:rsid w:val="009232E5"/>
    <w:rsid w:val="009343F5"/>
    <w:rsid w:val="0094340F"/>
    <w:rsid w:val="009560C6"/>
    <w:rsid w:val="009606D0"/>
    <w:rsid w:val="0096750B"/>
    <w:rsid w:val="009738DB"/>
    <w:rsid w:val="009B3BAB"/>
    <w:rsid w:val="009B608B"/>
    <w:rsid w:val="00A22FE2"/>
    <w:rsid w:val="00A37B86"/>
    <w:rsid w:val="00A51BF5"/>
    <w:rsid w:val="00A7578F"/>
    <w:rsid w:val="00A7792B"/>
    <w:rsid w:val="00A85C32"/>
    <w:rsid w:val="00A938EA"/>
    <w:rsid w:val="00B01791"/>
    <w:rsid w:val="00B14E72"/>
    <w:rsid w:val="00B155DE"/>
    <w:rsid w:val="00B64C7B"/>
    <w:rsid w:val="00B664AF"/>
    <w:rsid w:val="00B83BB1"/>
    <w:rsid w:val="00BC3BD3"/>
    <w:rsid w:val="00BC514A"/>
    <w:rsid w:val="00BE2405"/>
    <w:rsid w:val="00BF0CDE"/>
    <w:rsid w:val="00C11A59"/>
    <w:rsid w:val="00C43D3D"/>
    <w:rsid w:val="00C4404E"/>
    <w:rsid w:val="00C609C0"/>
    <w:rsid w:val="00C63021"/>
    <w:rsid w:val="00C9705D"/>
    <w:rsid w:val="00CA64C2"/>
    <w:rsid w:val="00CB6267"/>
    <w:rsid w:val="00CE4D1B"/>
    <w:rsid w:val="00D052C1"/>
    <w:rsid w:val="00D07010"/>
    <w:rsid w:val="00D074C8"/>
    <w:rsid w:val="00D212F9"/>
    <w:rsid w:val="00D21929"/>
    <w:rsid w:val="00D32FB9"/>
    <w:rsid w:val="00D33A79"/>
    <w:rsid w:val="00D34534"/>
    <w:rsid w:val="00D50C76"/>
    <w:rsid w:val="00D705DF"/>
    <w:rsid w:val="00D714FE"/>
    <w:rsid w:val="00D73C9B"/>
    <w:rsid w:val="00D82533"/>
    <w:rsid w:val="00D91591"/>
    <w:rsid w:val="00DA26B9"/>
    <w:rsid w:val="00DC0B4C"/>
    <w:rsid w:val="00DC4F24"/>
    <w:rsid w:val="00DE5CDE"/>
    <w:rsid w:val="00DE7D37"/>
    <w:rsid w:val="00E05187"/>
    <w:rsid w:val="00E274B0"/>
    <w:rsid w:val="00E31EB7"/>
    <w:rsid w:val="00E332A0"/>
    <w:rsid w:val="00E6174F"/>
    <w:rsid w:val="00E70F2D"/>
    <w:rsid w:val="00E80912"/>
    <w:rsid w:val="00E813B4"/>
    <w:rsid w:val="00ED238D"/>
    <w:rsid w:val="00ED2703"/>
    <w:rsid w:val="00ED72ED"/>
    <w:rsid w:val="00EE3747"/>
    <w:rsid w:val="00EE45D1"/>
    <w:rsid w:val="00F26FB4"/>
    <w:rsid w:val="00F33915"/>
    <w:rsid w:val="00F4259A"/>
    <w:rsid w:val="00F45539"/>
    <w:rsid w:val="00F46F29"/>
    <w:rsid w:val="00F53D34"/>
    <w:rsid w:val="00F66AB7"/>
    <w:rsid w:val="00F853FE"/>
    <w:rsid w:val="00F90584"/>
    <w:rsid w:val="00FE2961"/>
    <w:rsid w:val="00FF1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ED72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8518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72ED"/>
    <w:rPr>
      <w:rFonts w:asciiTheme="majorHAnsi" w:eastAsiaTheme="majorEastAsia" w:hAnsiTheme="majorHAnsi" w:cstheme="majorBidi"/>
      <w:b/>
      <w:bCs/>
      <w:color w:val="365F91" w:themeColor="accent1" w:themeShade="BF"/>
      <w:sz w:val="28"/>
      <w:szCs w:val="28"/>
    </w:rPr>
  </w:style>
  <w:style w:type="paragraph" w:styleId="Geenafstand">
    <w:name w:val="No Spacing"/>
    <w:link w:val="GeenafstandChar"/>
    <w:uiPriority w:val="1"/>
    <w:qFormat/>
    <w:rsid w:val="00F45539"/>
    <w:pPr>
      <w:spacing w:after="0" w:line="240" w:lineRule="auto"/>
    </w:pPr>
    <w:rPr>
      <w:rFonts w:eastAsiaTheme="minorEastAsia"/>
      <w:lang w:eastAsia="en-GB"/>
    </w:rPr>
  </w:style>
  <w:style w:type="character" w:customStyle="1" w:styleId="GeenafstandChar">
    <w:name w:val="Geen afstand Char"/>
    <w:basedOn w:val="Standaardalinea-lettertype"/>
    <w:link w:val="Geenafstand"/>
    <w:uiPriority w:val="1"/>
    <w:rsid w:val="00F45539"/>
    <w:rPr>
      <w:rFonts w:eastAsiaTheme="minorEastAsia"/>
      <w:lang w:eastAsia="en-GB"/>
    </w:rPr>
  </w:style>
  <w:style w:type="paragraph" w:styleId="Ballontekst">
    <w:name w:val="Balloon Text"/>
    <w:basedOn w:val="Standaard"/>
    <w:link w:val="BallontekstChar"/>
    <w:uiPriority w:val="99"/>
    <w:semiHidden/>
    <w:unhideWhenUsed/>
    <w:rsid w:val="00F4553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45539"/>
    <w:rPr>
      <w:rFonts w:ascii="Tahoma" w:hAnsi="Tahoma" w:cs="Tahoma"/>
      <w:sz w:val="16"/>
      <w:szCs w:val="16"/>
    </w:rPr>
  </w:style>
  <w:style w:type="paragraph" w:styleId="Kopvaninhoudsopgave">
    <w:name w:val="TOC Heading"/>
    <w:basedOn w:val="Kop1"/>
    <w:next w:val="Standaard"/>
    <w:uiPriority w:val="39"/>
    <w:unhideWhenUsed/>
    <w:qFormat/>
    <w:rsid w:val="00783F02"/>
    <w:pPr>
      <w:outlineLvl w:val="9"/>
    </w:pPr>
    <w:rPr>
      <w:lang w:eastAsia="en-GB"/>
    </w:rPr>
  </w:style>
  <w:style w:type="paragraph" w:styleId="Inhopg2">
    <w:name w:val="toc 2"/>
    <w:basedOn w:val="Standaard"/>
    <w:next w:val="Standaard"/>
    <w:autoRedefine/>
    <w:uiPriority w:val="39"/>
    <w:unhideWhenUsed/>
    <w:qFormat/>
    <w:rsid w:val="00783F02"/>
    <w:pPr>
      <w:spacing w:after="100"/>
      <w:ind w:left="220"/>
    </w:pPr>
    <w:rPr>
      <w:rFonts w:eastAsiaTheme="minorEastAsia"/>
      <w:lang w:eastAsia="en-GB"/>
    </w:rPr>
  </w:style>
  <w:style w:type="paragraph" w:styleId="Inhopg1">
    <w:name w:val="toc 1"/>
    <w:basedOn w:val="Standaard"/>
    <w:next w:val="Standaard"/>
    <w:autoRedefine/>
    <w:uiPriority w:val="39"/>
    <w:unhideWhenUsed/>
    <w:qFormat/>
    <w:rsid w:val="00783F02"/>
    <w:pPr>
      <w:spacing w:after="100"/>
    </w:pPr>
    <w:rPr>
      <w:rFonts w:eastAsiaTheme="minorEastAsia"/>
      <w:lang w:eastAsia="en-GB"/>
    </w:rPr>
  </w:style>
  <w:style w:type="paragraph" w:styleId="Inhopg3">
    <w:name w:val="toc 3"/>
    <w:basedOn w:val="Standaard"/>
    <w:next w:val="Standaard"/>
    <w:autoRedefine/>
    <w:uiPriority w:val="39"/>
    <w:semiHidden/>
    <w:unhideWhenUsed/>
    <w:qFormat/>
    <w:rsid w:val="00783F02"/>
    <w:pPr>
      <w:spacing w:after="100"/>
      <w:ind w:left="440"/>
    </w:pPr>
    <w:rPr>
      <w:rFonts w:eastAsiaTheme="minorEastAsia"/>
      <w:lang w:eastAsia="en-GB"/>
    </w:rPr>
  </w:style>
  <w:style w:type="character" w:styleId="Hyperlink">
    <w:name w:val="Hyperlink"/>
    <w:basedOn w:val="Standaardalinea-lettertype"/>
    <w:uiPriority w:val="99"/>
    <w:unhideWhenUsed/>
    <w:rsid w:val="00BC514A"/>
    <w:rPr>
      <w:color w:val="0000FF" w:themeColor="hyperlink"/>
      <w:u w:val="single"/>
    </w:rPr>
  </w:style>
  <w:style w:type="paragraph" w:styleId="Koptekst">
    <w:name w:val="header"/>
    <w:basedOn w:val="Standaard"/>
    <w:link w:val="KoptekstChar"/>
    <w:uiPriority w:val="99"/>
    <w:unhideWhenUsed/>
    <w:rsid w:val="008518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1859"/>
  </w:style>
  <w:style w:type="paragraph" w:styleId="Voettekst">
    <w:name w:val="footer"/>
    <w:basedOn w:val="Standaard"/>
    <w:link w:val="VoettekstChar"/>
    <w:uiPriority w:val="99"/>
    <w:unhideWhenUsed/>
    <w:rsid w:val="008518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1859"/>
  </w:style>
  <w:style w:type="character" w:customStyle="1" w:styleId="Kop2Char">
    <w:name w:val="Kop 2 Char"/>
    <w:basedOn w:val="Standaardalinea-lettertype"/>
    <w:link w:val="Kop2"/>
    <w:uiPriority w:val="9"/>
    <w:rsid w:val="00851859"/>
    <w:rPr>
      <w:rFonts w:asciiTheme="majorHAnsi" w:eastAsiaTheme="majorEastAsia" w:hAnsiTheme="majorHAnsi" w:cstheme="majorBidi"/>
      <w:b/>
      <w:bCs/>
      <w:color w:val="4F81BD" w:themeColor="accent1"/>
      <w:sz w:val="26"/>
      <w:szCs w:val="26"/>
    </w:rPr>
  </w:style>
  <w:style w:type="paragraph" w:styleId="Voetnoottekst">
    <w:name w:val="footnote text"/>
    <w:basedOn w:val="Standaard"/>
    <w:link w:val="VoetnoottekstChar"/>
    <w:unhideWhenUsed/>
    <w:rsid w:val="00D91591"/>
    <w:pPr>
      <w:spacing w:after="0" w:line="240" w:lineRule="auto"/>
    </w:pPr>
    <w:rPr>
      <w:sz w:val="20"/>
      <w:szCs w:val="20"/>
    </w:rPr>
  </w:style>
  <w:style w:type="character" w:customStyle="1" w:styleId="VoetnoottekstChar">
    <w:name w:val="Voetnoottekst Char"/>
    <w:basedOn w:val="Standaardalinea-lettertype"/>
    <w:link w:val="Voetnoottekst"/>
    <w:rsid w:val="00D91591"/>
    <w:rPr>
      <w:sz w:val="20"/>
      <w:szCs w:val="20"/>
    </w:rPr>
  </w:style>
  <w:style w:type="character" w:styleId="Voetnootmarkering">
    <w:name w:val="footnote reference"/>
    <w:basedOn w:val="Standaardalinea-lettertype"/>
    <w:unhideWhenUsed/>
    <w:rsid w:val="00D91591"/>
    <w:rPr>
      <w:vertAlign w:val="superscript"/>
    </w:rPr>
  </w:style>
  <w:style w:type="paragraph" w:styleId="Lijstalinea">
    <w:name w:val="List Paragraph"/>
    <w:basedOn w:val="Standaard"/>
    <w:uiPriority w:val="34"/>
    <w:qFormat/>
    <w:rsid w:val="009606D0"/>
    <w:pPr>
      <w:ind w:left="720"/>
      <w:contextualSpacing/>
    </w:pPr>
  </w:style>
  <w:style w:type="paragraph" w:styleId="Titel">
    <w:name w:val="Title"/>
    <w:basedOn w:val="Standaard"/>
    <w:next w:val="Standaard"/>
    <w:link w:val="TitelChar"/>
    <w:uiPriority w:val="10"/>
    <w:qFormat/>
    <w:rsid w:val="002A44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2A4400"/>
    <w:rPr>
      <w:rFonts w:asciiTheme="majorHAnsi" w:eastAsiaTheme="majorEastAsia" w:hAnsiTheme="majorHAnsi" w:cstheme="majorBidi"/>
      <w:color w:val="17365D" w:themeColor="text2" w:themeShade="BF"/>
      <w:spacing w:val="5"/>
      <w:kern w:val="28"/>
      <w:sz w:val="52"/>
      <w:szCs w:val="52"/>
    </w:rPr>
  </w:style>
  <w:style w:type="paragraph" w:styleId="HTML-voorafopgemaakt">
    <w:name w:val="HTML Preformatted"/>
    <w:basedOn w:val="Standaard"/>
    <w:link w:val="HTML-voorafopgemaaktChar"/>
    <w:uiPriority w:val="99"/>
    <w:unhideWhenUsed/>
    <w:rsid w:val="00E33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rsid w:val="00E332A0"/>
    <w:rPr>
      <w:rFonts w:ascii="Courier New" w:eastAsia="Times New Roman" w:hAnsi="Courier New" w:cs="Courier New"/>
      <w:sz w:val="20"/>
      <w:szCs w:val="20"/>
      <w:lang w:val="nl-NL" w:eastAsia="nl-NL"/>
    </w:rPr>
  </w:style>
  <w:style w:type="character" w:styleId="Verwijzingopmerking">
    <w:name w:val="annotation reference"/>
    <w:basedOn w:val="Standaardalinea-lettertype"/>
    <w:uiPriority w:val="99"/>
    <w:semiHidden/>
    <w:unhideWhenUsed/>
    <w:rsid w:val="004F3059"/>
    <w:rPr>
      <w:sz w:val="16"/>
      <w:szCs w:val="16"/>
    </w:rPr>
  </w:style>
  <w:style w:type="paragraph" w:styleId="Tekstopmerking">
    <w:name w:val="annotation text"/>
    <w:basedOn w:val="Standaard"/>
    <w:link w:val="TekstopmerkingChar"/>
    <w:uiPriority w:val="99"/>
    <w:semiHidden/>
    <w:unhideWhenUsed/>
    <w:rsid w:val="004F305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F3059"/>
    <w:rPr>
      <w:sz w:val="20"/>
      <w:szCs w:val="20"/>
    </w:rPr>
  </w:style>
  <w:style w:type="paragraph" w:styleId="Onderwerpvanopmerking">
    <w:name w:val="annotation subject"/>
    <w:basedOn w:val="Tekstopmerking"/>
    <w:next w:val="Tekstopmerking"/>
    <w:link w:val="OnderwerpvanopmerkingChar"/>
    <w:uiPriority w:val="99"/>
    <w:semiHidden/>
    <w:unhideWhenUsed/>
    <w:rsid w:val="004F3059"/>
    <w:rPr>
      <w:b/>
      <w:bCs/>
    </w:rPr>
  </w:style>
  <w:style w:type="character" w:customStyle="1" w:styleId="OnderwerpvanopmerkingChar">
    <w:name w:val="Onderwerp van opmerking Char"/>
    <w:basedOn w:val="TekstopmerkingChar"/>
    <w:link w:val="Onderwerpvanopmerking"/>
    <w:uiPriority w:val="99"/>
    <w:semiHidden/>
    <w:rsid w:val="004F305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ED72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8518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72ED"/>
    <w:rPr>
      <w:rFonts w:asciiTheme="majorHAnsi" w:eastAsiaTheme="majorEastAsia" w:hAnsiTheme="majorHAnsi" w:cstheme="majorBidi"/>
      <w:b/>
      <w:bCs/>
      <w:color w:val="365F91" w:themeColor="accent1" w:themeShade="BF"/>
      <w:sz w:val="28"/>
      <w:szCs w:val="28"/>
    </w:rPr>
  </w:style>
  <w:style w:type="paragraph" w:styleId="Geenafstand">
    <w:name w:val="No Spacing"/>
    <w:link w:val="GeenafstandChar"/>
    <w:uiPriority w:val="1"/>
    <w:qFormat/>
    <w:rsid w:val="00F45539"/>
    <w:pPr>
      <w:spacing w:after="0" w:line="240" w:lineRule="auto"/>
    </w:pPr>
    <w:rPr>
      <w:rFonts w:eastAsiaTheme="minorEastAsia"/>
      <w:lang w:eastAsia="en-GB"/>
    </w:rPr>
  </w:style>
  <w:style w:type="character" w:customStyle="1" w:styleId="GeenafstandChar">
    <w:name w:val="Geen afstand Char"/>
    <w:basedOn w:val="Standaardalinea-lettertype"/>
    <w:link w:val="Geenafstand"/>
    <w:uiPriority w:val="1"/>
    <w:rsid w:val="00F45539"/>
    <w:rPr>
      <w:rFonts w:eastAsiaTheme="minorEastAsia"/>
      <w:lang w:eastAsia="en-GB"/>
    </w:rPr>
  </w:style>
  <w:style w:type="paragraph" w:styleId="Ballontekst">
    <w:name w:val="Balloon Text"/>
    <w:basedOn w:val="Standaard"/>
    <w:link w:val="BallontekstChar"/>
    <w:uiPriority w:val="99"/>
    <w:semiHidden/>
    <w:unhideWhenUsed/>
    <w:rsid w:val="00F4553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45539"/>
    <w:rPr>
      <w:rFonts w:ascii="Tahoma" w:hAnsi="Tahoma" w:cs="Tahoma"/>
      <w:sz w:val="16"/>
      <w:szCs w:val="16"/>
    </w:rPr>
  </w:style>
  <w:style w:type="paragraph" w:styleId="Kopvaninhoudsopgave">
    <w:name w:val="TOC Heading"/>
    <w:basedOn w:val="Kop1"/>
    <w:next w:val="Standaard"/>
    <w:uiPriority w:val="39"/>
    <w:unhideWhenUsed/>
    <w:qFormat/>
    <w:rsid w:val="00783F02"/>
    <w:pPr>
      <w:outlineLvl w:val="9"/>
    </w:pPr>
    <w:rPr>
      <w:lang w:eastAsia="en-GB"/>
    </w:rPr>
  </w:style>
  <w:style w:type="paragraph" w:styleId="Inhopg2">
    <w:name w:val="toc 2"/>
    <w:basedOn w:val="Standaard"/>
    <w:next w:val="Standaard"/>
    <w:autoRedefine/>
    <w:uiPriority w:val="39"/>
    <w:unhideWhenUsed/>
    <w:qFormat/>
    <w:rsid w:val="00783F02"/>
    <w:pPr>
      <w:spacing w:after="100"/>
      <w:ind w:left="220"/>
    </w:pPr>
    <w:rPr>
      <w:rFonts w:eastAsiaTheme="minorEastAsia"/>
      <w:lang w:eastAsia="en-GB"/>
    </w:rPr>
  </w:style>
  <w:style w:type="paragraph" w:styleId="Inhopg1">
    <w:name w:val="toc 1"/>
    <w:basedOn w:val="Standaard"/>
    <w:next w:val="Standaard"/>
    <w:autoRedefine/>
    <w:uiPriority w:val="39"/>
    <w:unhideWhenUsed/>
    <w:qFormat/>
    <w:rsid w:val="00783F02"/>
    <w:pPr>
      <w:spacing w:after="100"/>
    </w:pPr>
    <w:rPr>
      <w:rFonts w:eastAsiaTheme="minorEastAsia"/>
      <w:lang w:eastAsia="en-GB"/>
    </w:rPr>
  </w:style>
  <w:style w:type="paragraph" w:styleId="Inhopg3">
    <w:name w:val="toc 3"/>
    <w:basedOn w:val="Standaard"/>
    <w:next w:val="Standaard"/>
    <w:autoRedefine/>
    <w:uiPriority w:val="39"/>
    <w:semiHidden/>
    <w:unhideWhenUsed/>
    <w:qFormat/>
    <w:rsid w:val="00783F02"/>
    <w:pPr>
      <w:spacing w:after="100"/>
      <w:ind w:left="440"/>
    </w:pPr>
    <w:rPr>
      <w:rFonts w:eastAsiaTheme="minorEastAsia"/>
      <w:lang w:eastAsia="en-GB"/>
    </w:rPr>
  </w:style>
  <w:style w:type="character" w:styleId="Hyperlink">
    <w:name w:val="Hyperlink"/>
    <w:basedOn w:val="Standaardalinea-lettertype"/>
    <w:uiPriority w:val="99"/>
    <w:unhideWhenUsed/>
    <w:rsid w:val="00BC514A"/>
    <w:rPr>
      <w:color w:val="0000FF" w:themeColor="hyperlink"/>
      <w:u w:val="single"/>
    </w:rPr>
  </w:style>
  <w:style w:type="paragraph" w:styleId="Koptekst">
    <w:name w:val="header"/>
    <w:basedOn w:val="Standaard"/>
    <w:link w:val="KoptekstChar"/>
    <w:uiPriority w:val="99"/>
    <w:unhideWhenUsed/>
    <w:rsid w:val="008518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1859"/>
  </w:style>
  <w:style w:type="paragraph" w:styleId="Voettekst">
    <w:name w:val="footer"/>
    <w:basedOn w:val="Standaard"/>
    <w:link w:val="VoettekstChar"/>
    <w:uiPriority w:val="99"/>
    <w:unhideWhenUsed/>
    <w:rsid w:val="008518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1859"/>
  </w:style>
  <w:style w:type="character" w:customStyle="1" w:styleId="Kop2Char">
    <w:name w:val="Kop 2 Char"/>
    <w:basedOn w:val="Standaardalinea-lettertype"/>
    <w:link w:val="Kop2"/>
    <w:uiPriority w:val="9"/>
    <w:rsid w:val="00851859"/>
    <w:rPr>
      <w:rFonts w:asciiTheme="majorHAnsi" w:eastAsiaTheme="majorEastAsia" w:hAnsiTheme="majorHAnsi" w:cstheme="majorBidi"/>
      <w:b/>
      <w:bCs/>
      <w:color w:val="4F81BD" w:themeColor="accent1"/>
      <w:sz w:val="26"/>
      <w:szCs w:val="26"/>
    </w:rPr>
  </w:style>
  <w:style w:type="paragraph" w:styleId="Voetnoottekst">
    <w:name w:val="footnote text"/>
    <w:basedOn w:val="Standaard"/>
    <w:link w:val="VoetnoottekstChar"/>
    <w:unhideWhenUsed/>
    <w:rsid w:val="00D91591"/>
    <w:pPr>
      <w:spacing w:after="0" w:line="240" w:lineRule="auto"/>
    </w:pPr>
    <w:rPr>
      <w:sz w:val="20"/>
      <w:szCs w:val="20"/>
    </w:rPr>
  </w:style>
  <w:style w:type="character" w:customStyle="1" w:styleId="VoetnoottekstChar">
    <w:name w:val="Voetnoottekst Char"/>
    <w:basedOn w:val="Standaardalinea-lettertype"/>
    <w:link w:val="Voetnoottekst"/>
    <w:rsid w:val="00D91591"/>
    <w:rPr>
      <w:sz w:val="20"/>
      <w:szCs w:val="20"/>
    </w:rPr>
  </w:style>
  <w:style w:type="character" w:styleId="Voetnootmarkering">
    <w:name w:val="footnote reference"/>
    <w:basedOn w:val="Standaardalinea-lettertype"/>
    <w:unhideWhenUsed/>
    <w:rsid w:val="00D91591"/>
    <w:rPr>
      <w:vertAlign w:val="superscript"/>
    </w:rPr>
  </w:style>
  <w:style w:type="paragraph" w:styleId="Lijstalinea">
    <w:name w:val="List Paragraph"/>
    <w:basedOn w:val="Standaard"/>
    <w:uiPriority w:val="34"/>
    <w:qFormat/>
    <w:rsid w:val="009606D0"/>
    <w:pPr>
      <w:ind w:left="720"/>
      <w:contextualSpacing/>
    </w:pPr>
  </w:style>
  <w:style w:type="paragraph" w:styleId="Titel">
    <w:name w:val="Title"/>
    <w:basedOn w:val="Standaard"/>
    <w:next w:val="Standaard"/>
    <w:link w:val="TitelChar"/>
    <w:uiPriority w:val="10"/>
    <w:qFormat/>
    <w:rsid w:val="002A44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2A4400"/>
    <w:rPr>
      <w:rFonts w:asciiTheme="majorHAnsi" w:eastAsiaTheme="majorEastAsia" w:hAnsiTheme="majorHAnsi" w:cstheme="majorBidi"/>
      <w:color w:val="17365D" w:themeColor="text2" w:themeShade="BF"/>
      <w:spacing w:val="5"/>
      <w:kern w:val="28"/>
      <w:sz w:val="52"/>
      <w:szCs w:val="52"/>
    </w:rPr>
  </w:style>
  <w:style w:type="paragraph" w:styleId="HTML-voorafopgemaakt">
    <w:name w:val="HTML Preformatted"/>
    <w:basedOn w:val="Standaard"/>
    <w:link w:val="HTML-voorafopgemaaktChar"/>
    <w:uiPriority w:val="99"/>
    <w:unhideWhenUsed/>
    <w:rsid w:val="00E33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rsid w:val="00E332A0"/>
    <w:rPr>
      <w:rFonts w:ascii="Courier New" w:eastAsia="Times New Roman" w:hAnsi="Courier New" w:cs="Courier New"/>
      <w:sz w:val="20"/>
      <w:szCs w:val="20"/>
      <w:lang w:val="nl-NL" w:eastAsia="nl-NL"/>
    </w:rPr>
  </w:style>
  <w:style w:type="character" w:styleId="Verwijzingopmerking">
    <w:name w:val="annotation reference"/>
    <w:basedOn w:val="Standaardalinea-lettertype"/>
    <w:uiPriority w:val="99"/>
    <w:semiHidden/>
    <w:unhideWhenUsed/>
    <w:rsid w:val="004F3059"/>
    <w:rPr>
      <w:sz w:val="16"/>
      <w:szCs w:val="16"/>
    </w:rPr>
  </w:style>
  <w:style w:type="paragraph" w:styleId="Tekstopmerking">
    <w:name w:val="annotation text"/>
    <w:basedOn w:val="Standaard"/>
    <w:link w:val="TekstopmerkingChar"/>
    <w:uiPriority w:val="99"/>
    <w:semiHidden/>
    <w:unhideWhenUsed/>
    <w:rsid w:val="004F305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F3059"/>
    <w:rPr>
      <w:sz w:val="20"/>
      <w:szCs w:val="20"/>
    </w:rPr>
  </w:style>
  <w:style w:type="paragraph" w:styleId="Onderwerpvanopmerking">
    <w:name w:val="annotation subject"/>
    <w:basedOn w:val="Tekstopmerking"/>
    <w:next w:val="Tekstopmerking"/>
    <w:link w:val="OnderwerpvanopmerkingChar"/>
    <w:uiPriority w:val="99"/>
    <w:semiHidden/>
    <w:unhideWhenUsed/>
    <w:rsid w:val="004F3059"/>
    <w:rPr>
      <w:b/>
      <w:bCs/>
    </w:rPr>
  </w:style>
  <w:style w:type="character" w:customStyle="1" w:styleId="OnderwerpvanopmerkingChar">
    <w:name w:val="Onderwerp van opmerking Char"/>
    <w:basedOn w:val="TekstopmerkingChar"/>
    <w:link w:val="Onderwerpvanopmerking"/>
    <w:uiPriority w:val="99"/>
    <w:semiHidden/>
    <w:rsid w:val="004F30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microsoft.com/office/2007/relationships/stylesWithEffects" Target="stylesWithEffect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3168</ap:Words>
  <ap:Characters>18062</ap:Characters>
  <ap:DocSecurity>0</ap:DocSecurity>
  <ap:Lines>150</ap:Lines>
  <ap:Paragraphs>42</ap:Paragraphs>
  <ap:ScaleCrop>false</ap:ScaleCrop>
  <ap:HeadingPairs>
    <vt:vector baseType="variant" size="2">
      <vt:variant>
        <vt:lpstr>Titel</vt:lpstr>
      </vt:variant>
      <vt:variant>
        <vt:i4>1</vt:i4>
      </vt:variant>
    </vt:vector>
  </ap:HeadingPairs>
  <ap:TitlesOfParts>
    <vt:vector baseType="lpstr" size="1">
      <vt:lpstr>MH17 Rondetafelgesprek</vt:lpstr>
    </vt:vector>
  </ap:TitlesOfParts>
  <ap:LinksUpToDate>false</ap:LinksUpToDate>
  <ap:CharactersWithSpaces>21188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2016-01-21T10:40:00.0000000Z</lastPrinted>
  <dcterms:created xsi:type="dcterms:W3CDTF">2016-01-21T11:09:00.0000000Z</dcterms:created>
  <dcterms:modified xsi:type="dcterms:W3CDTF">2016-01-21T11:21:00.0000000Z</dcterms:modified>
  <dc:description>------------------------</dc:description>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0x0101003D860BD1093A4743A135DBD76D82ED09</vt:lpwstr>
  </property>
</Properties>
</file>