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D5" w:rsidP="00EF70D5" w:rsidRDefault="00F900A4">
      <w:pPr>
        <w:autoSpaceDE w:val="0"/>
        <w:autoSpaceDN w:val="0"/>
        <w:adjustRightInd w:val="0"/>
        <w:spacing w:after="0" w:line="240" w:lineRule="auto"/>
        <w:rPr>
          <w:rFonts w:ascii="Verdana" w:hAnsi="Verdana" w:cs="Times New Roman"/>
          <w:b/>
          <w:sz w:val="18"/>
          <w:szCs w:val="18"/>
        </w:rPr>
      </w:pPr>
      <w:r>
        <w:rPr>
          <w:rFonts w:ascii="Verdana" w:hAnsi="Verdana" w:cs="Times New Roman"/>
          <w:b/>
          <w:sz w:val="18"/>
          <w:szCs w:val="18"/>
        </w:rPr>
        <w:t xml:space="preserve">Bijlage 2 De uitvoerbaarheid van de taaltoets </w:t>
      </w:r>
    </w:p>
    <w:p w:rsidR="00EF70D5" w:rsidP="00EF70D5" w:rsidRDefault="00F900A4">
      <w:pPr>
        <w:autoSpaceDE w:val="0"/>
        <w:autoSpaceDN w:val="0"/>
        <w:adjustRightInd w:val="0"/>
        <w:spacing w:after="0" w:line="240" w:lineRule="auto"/>
        <w:rPr>
          <w:rFonts w:ascii="Verdana" w:hAnsi="Verdana" w:cs="Times New Roman"/>
          <w:b/>
          <w:sz w:val="18"/>
          <w:szCs w:val="18"/>
        </w:rPr>
      </w:pPr>
    </w:p>
    <w:p w:rsidR="00EF70D5" w:rsidP="00EF70D5" w:rsidRDefault="00F900A4">
      <w:pPr>
        <w:autoSpaceDE w:val="0"/>
        <w:autoSpaceDN w:val="0"/>
        <w:adjustRightInd w:val="0"/>
        <w:spacing w:after="0" w:line="240" w:lineRule="auto"/>
        <w:rPr>
          <w:rFonts w:ascii="Verdana" w:hAnsi="Verdana" w:cs="Times New Roman"/>
          <w:sz w:val="18"/>
          <w:szCs w:val="18"/>
        </w:rPr>
      </w:pPr>
      <w:r>
        <w:rPr>
          <w:rFonts w:ascii="Verdana" w:hAnsi="Verdana" w:cs="Times New Roman"/>
          <w:sz w:val="18"/>
          <w:szCs w:val="18"/>
        </w:rPr>
        <w:t>De VVD-fractie van de Eerste Kamer verzocht de uitvoerbaarheidtoets toe te voegen aan de beleidsreactie op het advies van Panteia</w:t>
      </w:r>
      <w:r>
        <w:rPr>
          <w:rStyle w:val="Voetnootmarkering"/>
          <w:rFonts w:ascii="Verdana" w:hAnsi="Verdana" w:cs="Times New Roman"/>
          <w:sz w:val="18"/>
          <w:szCs w:val="18"/>
        </w:rPr>
        <w:footnoteReference w:id="1"/>
      </w:r>
      <w:r>
        <w:rPr>
          <w:rFonts w:ascii="Verdana" w:hAnsi="Verdana" w:cs="Times New Roman"/>
          <w:sz w:val="18"/>
          <w:szCs w:val="18"/>
        </w:rPr>
        <w:t xml:space="preserve">. </w:t>
      </w:r>
    </w:p>
    <w:p w:rsidR="00EF70D5" w:rsidP="00EF70D5" w:rsidRDefault="00F900A4">
      <w:pPr>
        <w:autoSpaceDE w:val="0"/>
        <w:autoSpaceDN w:val="0"/>
        <w:adjustRightInd w:val="0"/>
        <w:spacing w:after="0" w:line="240" w:lineRule="auto"/>
        <w:rPr>
          <w:rFonts w:ascii="Verdana" w:hAnsi="Verdana" w:cs="Times New Roman"/>
          <w:b/>
          <w:sz w:val="18"/>
          <w:szCs w:val="18"/>
        </w:rPr>
      </w:pPr>
      <w:r>
        <w:rPr>
          <w:rFonts w:ascii="Verdana" w:hAnsi="Verdana" w:cs="Times New Roman"/>
          <w:sz w:val="18"/>
          <w:szCs w:val="18"/>
        </w:rPr>
        <w:br/>
        <w:t xml:space="preserve">De uitvoerbaarheid is afgestemd met het </w:t>
      </w:r>
      <w:r w:rsidRPr="002914F5">
        <w:rPr>
          <w:rFonts w:ascii="Verdana" w:hAnsi="Verdana" w:cs="Times New Roman"/>
          <w:sz w:val="18"/>
          <w:szCs w:val="18"/>
        </w:rPr>
        <w:t xml:space="preserve">Centraal Informatiepunt Beroepen </w:t>
      </w:r>
      <w:r w:rsidRPr="002914F5">
        <w:rPr>
          <w:rFonts w:ascii="Verdana" w:hAnsi="Verdana" w:cs="Times New Roman"/>
          <w:sz w:val="18"/>
          <w:szCs w:val="18"/>
        </w:rPr>
        <w:t>Gezondheidszorg</w:t>
      </w:r>
      <w:r>
        <w:rPr>
          <w:rFonts w:ascii="Verdana" w:hAnsi="Verdana" w:cs="Times New Roman"/>
          <w:sz w:val="18"/>
          <w:szCs w:val="18"/>
        </w:rPr>
        <w:t xml:space="preserve"> (CIBG), de Commissie Buitenslands Gediplomeerden Volksgezondheid (CBGV), de Haagse Inkoop Samenwerking (HIS) en contractpartijen van VWS die toetsen op kennis van het Nederlands in het kader van de assessmentprocedure van gediplomeerden van</w:t>
      </w:r>
      <w:r>
        <w:rPr>
          <w:rFonts w:ascii="Verdana" w:hAnsi="Verdana" w:cs="Times New Roman"/>
          <w:sz w:val="18"/>
          <w:szCs w:val="18"/>
        </w:rPr>
        <w:t xml:space="preserve"> buiten de EER.  </w:t>
      </w:r>
    </w:p>
    <w:p w:rsidR="00EF70D5" w:rsidP="00EF70D5" w:rsidRDefault="00F900A4">
      <w:pPr>
        <w:autoSpaceDE w:val="0"/>
        <w:autoSpaceDN w:val="0"/>
        <w:adjustRightInd w:val="0"/>
        <w:spacing w:after="0" w:line="240" w:lineRule="auto"/>
        <w:rPr>
          <w:rFonts w:ascii="Verdana" w:hAnsi="Verdana" w:cs="Times New Roman"/>
          <w:b/>
          <w:sz w:val="18"/>
          <w:szCs w:val="18"/>
        </w:rPr>
      </w:pPr>
    </w:p>
    <w:p w:rsidR="00EF70D5" w:rsidP="00EF70D5" w:rsidRDefault="00F900A4">
      <w:pPr>
        <w:autoSpaceDE w:val="0"/>
        <w:autoSpaceDN w:val="0"/>
        <w:adjustRightInd w:val="0"/>
        <w:spacing w:after="0" w:line="240" w:lineRule="auto"/>
        <w:rPr>
          <w:rFonts w:ascii="Verdana" w:hAnsi="Verdana" w:cs="Times New Roman"/>
          <w:sz w:val="18"/>
          <w:szCs w:val="18"/>
        </w:rPr>
      </w:pPr>
      <w:r>
        <w:rPr>
          <w:rFonts w:ascii="Verdana" w:hAnsi="Verdana" w:cs="Times New Roman"/>
          <w:sz w:val="18"/>
          <w:szCs w:val="18"/>
        </w:rPr>
        <w:t>De extra ruimte voor  toetsen op talenkennis van gediplomeerden van binnen de EER vloeit voort uit de richtlijn 2013/55/EU. Die wijziging moet per 18 januari 2016 in nationaal recht zijn omgezet.  Gewijzigd wordt daartoe artikel 31 van d</w:t>
      </w:r>
      <w:r>
        <w:rPr>
          <w:rFonts w:ascii="Verdana" w:hAnsi="Verdana" w:cs="Times New Roman"/>
          <w:sz w:val="18"/>
          <w:szCs w:val="18"/>
        </w:rPr>
        <w:t xml:space="preserve">e Algemene wet erkenning EG en in de Wet BIG wordt aan </w:t>
      </w:r>
      <w:r w:rsidRPr="003D5FCB">
        <w:rPr>
          <w:rFonts w:ascii="Verdana" w:hAnsi="Verdana" w:cs="Times New Roman"/>
          <w:sz w:val="18"/>
          <w:szCs w:val="18"/>
        </w:rPr>
        <w:t>artikel 6</w:t>
      </w:r>
      <w:r>
        <w:rPr>
          <w:rFonts w:ascii="Verdana" w:hAnsi="Verdana" w:cs="Times New Roman"/>
          <w:sz w:val="18"/>
          <w:szCs w:val="18"/>
        </w:rPr>
        <w:t xml:space="preserve"> een onderdeel </w:t>
      </w:r>
      <w:r w:rsidRPr="003D5FCB">
        <w:rPr>
          <w:rFonts w:ascii="Verdana" w:hAnsi="Verdana" w:cs="Times New Roman"/>
          <w:sz w:val="18"/>
          <w:szCs w:val="18"/>
        </w:rPr>
        <w:t xml:space="preserve">f </w:t>
      </w:r>
      <w:r>
        <w:rPr>
          <w:rFonts w:ascii="Verdana" w:hAnsi="Verdana" w:cs="Times New Roman"/>
          <w:sz w:val="18"/>
          <w:szCs w:val="18"/>
        </w:rPr>
        <w:t>toegevoegd dat systematisch toetsen op taalvaardigheid bij BIG-registratie mogelijk maakt. De Minister van VWS heeft de Tweede Kamer gemeld dat voor alle beroepen met BIG-regi</w:t>
      </w:r>
      <w:r>
        <w:rPr>
          <w:rFonts w:ascii="Verdana" w:hAnsi="Verdana" w:cs="Times New Roman"/>
          <w:sz w:val="18"/>
          <w:szCs w:val="18"/>
        </w:rPr>
        <w:t>stratie wenselijk te achten</w:t>
      </w:r>
      <w:r>
        <w:rPr>
          <w:rStyle w:val="Voetnootmarkering"/>
          <w:rFonts w:ascii="Verdana" w:hAnsi="Verdana" w:cs="Times New Roman"/>
          <w:sz w:val="18"/>
          <w:szCs w:val="18"/>
        </w:rPr>
        <w:footnoteReference w:id="2"/>
      </w:r>
      <w:r>
        <w:rPr>
          <w:rFonts w:ascii="Verdana" w:hAnsi="Verdana" w:cs="Times New Roman"/>
          <w:sz w:val="18"/>
          <w:szCs w:val="18"/>
        </w:rPr>
        <w:t>.</w:t>
      </w:r>
      <w:r>
        <w:rPr>
          <w:rFonts w:ascii="Verdana" w:hAnsi="Verdana" w:cs="Times New Roman"/>
          <w:sz w:val="18"/>
          <w:szCs w:val="18"/>
        </w:rPr>
        <w:br/>
      </w:r>
      <w:r>
        <w:rPr>
          <w:rFonts w:ascii="Verdana" w:hAnsi="Verdana" w:cs="Times New Roman"/>
          <w:sz w:val="18"/>
          <w:szCs w:val="18"/>
        </w:rPr>
        <w:br/>
        <w:t xml:space="preserve">De volgende aspecten van de uitvoerbaarheid hebben aandacht gehad; de eisen aan regelgeving, de verantwoordelijkheid van de aanvrager, de effecten op de werklast, de geldigheidsduur van taaldiploma’s, het al dan niet opnemen </w:t>
      </w:r>
      <w:r>
        <w:rPr>
          <w:rFonts w:ascii="Verdana" w:hAnsi="Verdana" w:cs="Times New Roman"/>
          <w:sz w:val="18"/>
          <w:szCs w:val="18"/>
        </w:rPr>
        <w:t>van een invoeringtermijn en de samenloop met de bestaande contracten in verband met toetsing van gediplomeerden van buiten de EER.</w:t>
      </w:r>
    </w:p>
    <w:p w:rsidR="00EF70D5" w:rsidP="00EF70D5" w:rsidRDefault="00F900A4">
      <w:pPr>
        <w:autoSpaceDE w:val="0"/>
        <w:autoSpaceDN w:val="0"/>
        <w:adjustRightInd w:val="0"/>
        <w:spacing w:after="0" w:line="240" w:lineRule="auto"/>
        <w:rPr>
          <w:rFonts w:ascii="Verdana" w:hAnsi="Verdana" w:cs="Times New Roman"/>
          <w:sz w:val="18"/>
          <w:szCs w:val="18"/>
        </w:rPr>
      </w:pPr>
    </w:p>
    <w:p w:rsidR="00EF70D5" w:rsidP="00EF70D5" w:rsidRDefault="00F900A4">
      <w:pPr>
        <w:autoSpaceDE w:val="0"/>
        <w:autoSpaceDN w:val="0"/>
        <w:adjustRightInd w:val="0"/>
        <w:spacing w:after="0" w:line="240" w:lineRule="auto"/>
        <w:rPr>
          <w:rFonts w:ascii="Verdana" w:hAnsi="Verdana"/>
          <w:sz w:val="18"/>
          <w:szCs w:val="18"/>
          <w:u w:val="single"/>
        </w:rPr>
      </w:pPr>
      <w:r>
        <w:rPr>
          <w:rFonts w:ascii="Verdana" w:hAnsi="Verdana"/>
          <w:sz w:val="18"/>
          <w:szCs w:val="18"/>
          <w:u w:val="single"/>
        </w:rPr>
        <w:t xml:space="preserve">Eenduidige regelgeving </w:t>
      </w:r>
    </w:p>
    <w:p w:rsidR="00EF70D5" w:rsidP="00EF70D5" w:rsidRDefault="00F900A4">
      <w:pPr>
        <w:autoSpaceDE w:val="0"/>
        <w:autoSpaceDN w:val="0"/>
        <w:adjustRightInd w:val="0"/>
        <w:spacing w:after="0" w:line="240" w:lineRule="auto"/>
        <w:rPr>
          <w:rFonts w:ascii="Verdana" w:hAnsi="Verdana"/>
          <w:color w:val="000000" w:themeColor="text1"/>
          <w:sz w:val="18"/>
          <w:szCs w:val="18"/>
        </w:rPr>
      </w:pPr>
      <w:r>
        <w:rPr>
          <w:rFonts w:ascii="Verdana" w:hAnsi="Verdana"/>
          <w:sz w:val="18"/>
          <w:szCs w:val="18"/>
        </w:rPr>
        <w:t>Het CIBG bepleit dat er in het Registratiebesluit een gesloten limitatieve lijst met erkende taaldip</w:t>
      </w:r>
      <w:r>
        <w:rPr>
          <w:rFonts w:ascii="Verdana" w:hAnsi="Verdana"/>
          <w:sz w:val="18"/>
          <w:szCs w:val="18"/>
        </w:rPr>
        <w:t>loma’s</w:t>
      </w:r>
      <w:r w:rsidRPr="00A76E59">
        <w:rPr>
          <w:rFonts w:ascii="Verdana" w:hAnsi="Verdana"/>
          <w:sz w:val="18"/>
          <w:szCs w:val="18"/>
        </w:rPr>
        <w:t xml:space="preserve"> </w:t>
      </w:r>
      <w:r>
        <w:rPr>
          <w:rFonts w:ascii="Verdana" w:hAnsi="Verdana"/>
          <w:sz w:val="18"/>
          <w:szCs w:val="18"/>
        </w:rPr>
        <w:t xml:space="preserve">komt en niet wordt volstaan met niveaueisen. Het CIBG gaat ervan uit dat het kernministerie van </w:t>
      </w:r>
      <w:r>
        <w:rPr>
          <w:rFonts w:ascii="Verdana" w:hAnsi="Verdana" w:cs="Times New Roman"/>
          <w:sz w:val="18"/>
          <w:szCs w:val="18"/>
        </w:rPr>
        <w:t xml:space="preserve">VWS de waarborgen schept voor proportionaliteit wat betreft toegang tot toetsen en kosten. </w:t>
      </w:r>
      <w:r>
        <w:rPr>
          <w:rFonts w:ascii="Verdana" w:hAnsi="Verdana"/>
          <w:color w:val="000000" w:themeColor="text1"/>
          <w:sz w:val="18"/>
          <w:szCs w:val="18"/>
        </w:rPr>
        <w:t>Voor eenduidige uitvoerbaarheid acht het CIBG het wenselijk da</w:t>
      </w:r>
      <w:r>
        <w:rPr>
          <w:rFonts w:ascii="Verdana" w:hAnsi="Verdana"/>
          <w:color w:val="000000" w:themeColor="text1"/>
          <w:sz w:val="18"/>
          <w:szCs w:val="18"/>
        </w:rPr>
        <w:t>t eventuele uitzonderingsbepalingen eenduidig zijn opdat er geen interpretatieruimte ontstaat die uitnodigen tot bezwaar en beroep. Deze uitgangspunten worden gehanteerd. Wat betreft uitzonderingen geldt dat dat op basis van de bestaande regelgeving kan</w:t>
      </w:r>
      <w:r>
        <w:rPr>
          <w:rStyle w:val="Voetnootmarkering"/>
          <w:rFonts w:ascii="Verdana" w:hAnsi="Verdana"/>
          <w:color w:val="000000" w:themeColor="text1"/>
          <w:sz w:val="18"/>
          <w:szCs w:val="18"/>
        </w:rPr>
        <w:footnoteReference w:id="3"/>
      </w:r>
      <w:r w:rsidRPr="00EF70D5">
        <w:rPr>
          <w:rFonts w:ascii="Verdana" w:hAnsi="Verdana"/>
          <w:color w:val="000000" w:themeColor="text1"/>
          <w:sz w:val="18"/>
          <w:szCs w:val="18"/>
        </w:rPr>
        <w:t xml:space="preserve"> </w:t>
      </w:r>
      <w:r>
        <w:rPr>
          <w:rFonts w:ascii="Verdana" w:hAnsi="Verdana"/>
          <w:color w:val="000000" w:themeColor="text1"/>
          <w:sz w:val="18"/>
          <w:szCs w:val="18"/>
        </w:rPr>
        <w:t xml:space="preserve">en dat er nu geen behoefte aan extra uitzonderingsbepalingen bestaat. </w:t>
      </w:r>
    </w:p>
    <w:p w:rsidR="00EF70D5" w:rsidP="00EF70D5" w:rsidRDefault="00F900A4">
      <w:pPr>
        <w:autoSpaceDE w:val="0"/>
        <w:autoSpaceDN w:val="0"/>
        <w:adjustRightInd w:val="0"/>
        <w:spacing w:after="0" w:line="240" w:lineRule="auto"/>
        <w:rPr>
          <w:rFonts w:ascii="Verdana" w:hAnsi="Verdana" w:cs="Times New Roman"/>
          <w:sz w:val="18"/>
          <w:szCs w:val="18"/>
          <w:u w:val="single"/>
        </w:rPr>
      </w:pPr>
    </w:p>
    <w:p w:rsidRPr="00A52E44" w:rsidR="00EF70D5" w:rsidP="00EF70D5" w:rsidRDefault="00F900A4">
      <w:pPr>
        <w:autoSpaceDE w:val="0"/>
        <w:autoSpaceDN w:val="0"/>
        <w:adjustRightInd w:val="0"/>
        <w:spacing w:after="0" w:line="240" w:lineRule="auto"/>
        <w:rPr>
          <w:rFonts w:ascii="Verdana" w:hAnsi="Verdana" w:cs="Times New Roman"/>
          <w:sz w:val="18"/>
          <w:szCs w:val="18"/>
          <w:u w:val="single"/>
        </w:rPr>
      </w:pPr>
      <w:r>
        <w:rPr>
          <w:rFonts w:ascii="Verdana" w:hAnsi="Verdana" w:cs="Times New Roman"/>
          <w:sz w:val="18"/>
          <w:szCs w:val="18"/>
          <w:u w:val="single"/>
        </w:rPr>
        <w:t>De e</w:t>
      </w:r>
      <w:r w:rsidRPr="00A52E44">
        <w:rPr>
          <w:rFonts w:ascii="Verdana" w:hAnsi="Verdana" w:cs="Times New Roman"/>
          <w:sz w:val="18"/>
          <w:szCs w:val="18"/>
          <w:u w:val="single"/>
        </w:rPr>
        <w:t xml:space="preserve">igen verantwoordelijkheid </w:t>
      </w:r>
      <w:r>
        <w:rPr>
          <w:rFonts w:ascii="Verdana" w:hAnsi="Verdana" w:cs="Times New Roman"/>
          <w:sz w:val="18"/>
          <w:szCs w:val="18"/>
          <w:u w:val="single"/>
        </w:rPr>
        <w:t xml:space="preserve">van de </w:t>
      </w:r>
      <w:r w:rsidRPr="00A52E44">
        <w:rPr>
          <w:rFonts w:ascii="Verdana" w:hAnsi="Verdana" w:cs="Times New Roman"/>
          <w:sz w:val="18"/>
          <w:szCs w:val="18"/>
          <w:u w:val="single"/>
        </w:rPr>
        <w:t xml:space="preserve">aanvrager </w:t>
      </w:r>
    </w:p>
    <w:p w:rsidR="00EF70D5" w:rsidP="00EF70D5" w:rsidRDefault="00F900A4">
      <w:pPr>
        <w:pStyle w:val="Lijstalinea"/>
        <w:ind w:left="0"/>
        <w:rPr>
          <w:rFonts w:ascii="Verdana" w:hAnsi="Verdana"/>
          <w:sz w:val="18"/>
          <w:szCs w:val="18"/>
        </w:rPr>
      </w:pPr>
      <w:r>
        <w:rPr>
          <w:rFonts w:ascii="Verdana" w:hAnsi="Verdana" w:cs="Times New Roman"/>
          <w:sz w:val="18"/>
          <w:szCs w:val="18"/>
        </w:rPr>
        <w:t>Het CIBG acht het wenselijk dat d</w:t>
      </w:r>
      <w:r>
        <w:rPr>
          <w:rFonts w:ascii="Verdana" w:hAnsi="Verdana"/>
          <w:sz w:val="18"/>
          <w:szCs w:val="18"/>
        </w:rPr>
        <w:t>e aanvrager zelf verantwoordelijk is voor het overleggen van de juiste bewijsstukken van voldoende behe</w:t>
      </w:r>
      <w:r>
        <w:rPr>
          <w:rFonts w:ascii="Verdana" w:hAnsi="Verdana"/>
          <w:sz w:val="18"/>
          <w:szCs w:val="18"/>
        </w:rPr>
        <w:t>ersing van de Nederlandse taal. Dit is afwijkend ten opzichte van gediplomeerden van buiten de EER waar de taaltoets onderdeel is van een breder assessment en het CIBG aanmelding, inschrijving en inning van kosten regelt.</w:t>
      </w:r>
    </w:p>
    <w:p w:rsidR="00EF70D5" w:rsidP="00EF70D5" w:rsidRDefault="00F900A4">
      <w:pPr>
        <w:autoSpaceDE w:val="0"/>
        <w:autoSpaceDN w:val="0"/>
        <w:adjustRightInd w:val="0"/>
        <w:spacing w:after="0" w:line="240" w:lineRule="auto"/>
        <w:rPr>
          <w:rFonts w:ascii="Verdana" w:hAnsi="Verdana"/>
          <w:sz w:val="18"/>
          <w:szCs w:val="18"/>
        </w:rPr>
      </w:pPr>
    </w:p>
    <w:p w:rsidR="00EF70D5" w:rsidP="00EF70D5" w:rsidRDefault="00F900A4">
      <w:pPr>
        <w:spacing w:after="0" w:line="240" w:lineRule="auto"/>
        <w:rPr>
          <w:rFonts w:ascii="Verdana" w:hAnsi="Verdana"/>
          <w:sz w:val="18"/>
          <w:szCs w:val="18"/>
        </w:rPr>
      </w:pPr>
      <w:r>
        <w:rPr>
          <w:rFonts w:ascii="Verdana" w:hAnsi="Verdana"/>
          <w:sz w:val="18"/>
          <w:szCs w:val="18"/>
          <w:u w:val="single"/>
        </w:rPr>
        <w:t xml:space="preserve">De </w:t>
      </w:r>
      <w:r w:rsidRPr="007D066E">
        <w:rPr>
          <w:rFonts w:ascii="Verdana" w:hAnsi="Verdana"/>
          <w:sz w:val="18"/>
          <w:szCs w:val="18"/>
          <w:u w:val="single"/>
        </w:rPr>
        <w:t>geldigheid</w:t>
      </w:r>
      <w:r>
        <w:rPr>
          <w:rFonts w:ascii="Verdana" w:hAnsi="Verdana"/>
          <w:sz w:val="18"/>
          <w:szCs w:val="18"/>
          <w:u w:val="single"/>
        </w:rPr>
        <w:t>sduur</w:t>
      </w:r>
      <w:r w:rsidRPr="007D066E">
        <w:rPr>
          <w:rFonts w:ascii="Verdana" w:hAnsi="Verdana"/>
          <w:sz w:val="18"/>
          <w:szCs w:val="18"/>
          <w:u w:val="single"/>
        </w:rPr>
        <w:t xml:space="preserve"> </w:t>
      </w:r>
      <w:r>
        <w:rPr>
          <w:rFonts w:ascii="Verdana" w:hAnsi="Verdana"/>
          <w:sz w:val="18"/>
          <w:szCs w:val="18"/>
          <w:u w:val="single"/>
        </w:rPr>
        <w:t xml:space="preserve">van </w:t>
      </w:r>
      <w:r w:rsidRPr="007D066E">
        <w:rPr>
          <w:rFonts w:ascii="Verdana" w:hAnsi="Verdana"/>
          <w:sz w:val="18"/>
          <w:szCs w:val="18"/>
          <w:u w:val="single"/>
        </w:rPr>
        <w:t>taaldiplom</w:t>
      </w:r>
      <w:r w:rsidRPr="007D066E">
        <w:rPr>
          <w:rFonts w:ascii="Verdana" w:hAnsi="Verdana"/>
          <w:sz w:val="18"/>
          <w:szCs w:val="18"/>
          <w:u w:val="single"/>
        </w:rPr>
        <w:t>a’s</w:t>
      </w:r>
      <w:r>
        <w:rPr>
          <w:rFonts w:ascii="Verdana" w:hAnsi="Verdana"/>
          <w:sz w:val="18"/>
          <w:szCs w:val="18"/>
        </w:rPr>
        <w:br/>
        <w:t>Een geldigheid van maximaal twee jaar i</w:t>
      </w:r>
      <w:r w:rsidRPr="00D0454B">
        <w:rPr>
          <w:rFonts w:ascii="Verdana" w:hAnsi="Verdana"/>
          <w:sz w:val="18"/>
          <w:szCs w:val="18"/>
        </w:rPr>
        <w:t xml:space="preserve">s </w:t>
      </w:r>
      <w:r>
        <w:rPr>
          <w:rFonts w:ascii="Verdana" w:hAnsi="Verdana"/>
          <w:sz w:val="18"/>
          <w:szCs w:val="18"/>
        </w:rPr>
        <w:t xml:space="preserve">relatief kort voor mensen die in Nederland of Vlaanderen wonen en de Nederlandse taal dagelijks gebruiken, maar kan al vrij lang zijn voor </w:t>
      </w:r>
      <w:r w:rsidRPr="00D0454B">
        <w:rPr>
          <w:rFonts w:ascii="Verdana" w:hAnsi="Verdana"/>
          <w:sz w:val="18"/>
          <w:szCs w:val="18"/>
        </w:rPr>
        <w:t xml:space="preserve">iemand </w:t>
      </w:r>
      <w:r>
        <w:rPr>
          <w:rFonts w:ascii="Verdana" w:hAnsi="Verdana"/>
          <w:sz w:val="18"/>
          <w:szCs w:val="18"/>
        </w:rPr>
        <w:t>die in het geheel niet meer met Nederlands in aanraking komt. Doo</w:t>
      </w:r>
      <w:r>
        <w:rPr>
          <w:rFonts w:ascii="Verdana" w:hAnsi="Verdana"/>
          <w:sz w:val="18"/>
          <w:szCs w:val="18"/>
        </w:rPr>
        <w:t xml:space="preserve">r de grote variëteit in de praktijk is verfijnen lastig en bovendien moeilijk controleerbaar. Ten behoeve van eenduidige uitvoerbaarheid wordt het advies van Panteia gevolgd en de termijn voor iedereen op maximaal twee jaar gesteld. </w:t>
      </w:r>
    </w:p>
    <w:p w:rsidR="00EF70D5" w:rsidP="00EF70D5" w:rsidRDefault="00F900A4">
      <w:pPr>
        <w:autoSpaceDE w:val="0"/>
        <w:autoSpaceDN w:val="0"/>
        <w:adjustRightInd w:val="0"/>
        <w:spacing w:after="0" w:line="240" w:lineRule="auto"/>
        <w:rPr>
          <w:rFonts w:ascii="Verdana" w:hAnsi="Verdana" w:cs="Times New Roman"/>
          <w:sz w:val="18"/>
          <w:szCs w:val="18"/>
        </w:rPr>
      </w:pPr>
    </w:p>
    <w:p w:rsidRPr="003336DC" w:rsidR="00EF70D5" w:rsidP="00EF70D5" w:rsidRDefault="00F900A4">
      <w:pPr>
        <w:autoSpaceDE w:val="0"/>
        <w:autoSpaceDN w:val="0"/>
        <w:adjustRightInd w:val="0"/>
        <w:spacing w:after="0" w:line="240" w:lineRule="auto"/>
        <w:rPr>
          <w:rFonts w:ascii="Verdana" w:hAnsi="Verdana" w:cs="Times New Roman"/>
          <w:sz w:val="18"/>
          <w:szCs w:val="18"/>
          <w:u w:val="single"/>
        </w:rPr>
      </w:pPr>
      <w:r>
        <w:rPr>
          <w:rFonts w:ascii="Verdana" w:hAnsi="Verdana" w:cs="Times New Roman"/>
          <w:sz w:val="18"/>
          <w:szCs w:val="18"/>
          <w:u w:val="single"/>
        </w:rPr>
        <w:t xml:space="preserve">De effecten op werklast bij het CIBG </w:t>
      </w:r>
    </w:p>
    <w:p w:rsidR="00EF70D5" w:rsidP="00EF70D5" w:rsidRDefault="00F900A4">
      <w:pPr>
        <w:autoSpaceDE w:val="0"/>
        <w:autoSpaceDN w:val="0"/>
        <w:adjustRightInd w:val="0"/>
        <w:spacing w:after="0" w:line="240" w:lineRule="auto"/>
        <w:rPr>
          <w:rFonts w:ascii="Verdana" w:hAnsi="Verdana" w:cs="Times New Roman"/>
          <w:sz w:val="18"/>
          <w:szCs w:val="18"/>
        </w:rPr>
      </w:pPr>
      <w:r>
        <w:rPr>
          <w:rFonts w:ascii="Verdana" w:hAnsi="Verdana" w:cs="Times New Roman"/>
          <w:sz w:val="18"/>
          <w:szCs w:val="18"/>
        </w:rPr>
        <w:t>Uitgaande van de verantwoordelijkheid voor de aanvrager om het bewijs te leveren betreft het voor het CIBG slechts uitbreiding van het registratieproces met een extra toets van documenten die bewijs leveren van taalvaa</w:t>
      </w:r>
      <w:r>
        <w:rPr>
          <w:rFonts w:ascii="Verdana" w:hAnsi="Verdana" w:cs="Times New Roman"/>
          <w:sz w:val="18"/>
          <w:szCs w:val="18"/>
        </w:rPr>
        <w:t xml:space="preserve">rdigheid en de registratie daarvan. Structureel is dat een extra werkbelasting van 0,2 fte. Daarnaast zal het voor stafafdelingen als Communicatie, Klantcontactcentrum en Juridische Zaken enig structureel blijvend meerwerk opleveren. </w:t>
      </w:r>
    </w:p>
    <w:p w:rsidR="00EF70D5" w:rsidP="00EF70D5" w:rsidRDefault="00F900A4">
      <w:pPr>
        <w:spacing w:after="0" w:line="240" w:lineRule="auto"/>
        <w:rPr>
          <w:rFonts w:ascii="Verdana" w:hAnsi="Verdana"/>
          <w:color w:val="000000" w:themeColor="text1"/>
          <w:sz w:val="18"/>
          <w:szCs w:val="18"/>
          <w:u w:val="single"/>
        </w:rPr>
      </w:pPr>
    </w:p>
    <w:p w:rsidR="00EF70D5" w:rsidP="00EF70D5" w:rsidRDefault="00F900A4">
      <w:pPr>
        <w:spacing w:after="0" w:line="240" w:lineRule="auto"/>
        <w:rPr>
          <w:rFonts w:ascii="Verdana" w:hAnsi="Verdana"/>
          <w:sz w:val="18"/>
          <w:szCs w:val="18"/>
        </w:rPr>
      </w:pPr>
      <w:r>
        <w:rPr>
          <w:rFonts w:ascii="Verdana" w:hAnsi="Verdana"/>
          <w:sz w:val="18"/>
          <w:szCs w:val="18"/>
          <w:u w:val="single"/>
        </w:rPr>
        <w:t>De wenselijkheid van</w:t>
      </w:r>
      <w:r>
        <w:rPr>
          <w:rFonts w:ascii="Verdana" w:hAnsi="Verdana"/>
          <w:sz w:val="18"/>
          <w:szCs w:val="18"/>
          <w:u w:val="single"/>
        </w:rPr>
        <w:t xml:space="preserve"> een </w:t>
      </w:r>
      <w:r w:rsidRPr="007D066E">
        <w:rPr>
          <w:rFonts w:ascii="Verdana" w:hAnsi="Verdana"/>
          <w:sz w:val="18"/>
          <w:szCs w:val="18"/>
          <w:u w:val="single"/>
        </w:rPr>
        <w:t>invoeringstermijn</w:t>
      </w:r>
      <w:r>
        <w:rPr>
          <w:rFonts w:ascii="Verdana" w:hAnsi="Verdana"/>
          <w:sz w:val="18"/>
          <w:szCs w:val="18"/>
        </w:rPr>
        <w:br/>
        <w:t>Aanvragers dienen niet tijdens de loop van hun aanvraag met additionele eisen te worden geconfronteerd. Voor de toetsen op interactief medisch Nederlands zijn minimaal drie maanden voorbereiding nodig voor het aanbieden op de website</w:t>
      </w:r>
      <w:r>
        <w:rPr>
          <w:rFonts w:ascii="Verdana" w:hAnsi="Verdana"/>
          <w:sz w:val="18"/>
          <w:szCs w:val="18"/>
        </w:rPr>
        <w:t>, plannen van zalen, inhuur en instructie van toneelspelers, beoordelaars en surveillanten. Een invoeringstermijn is echter niet nodig indien de voorlichting al voor publicatie in het Staatsblad kan beginnen. Wat betreft de kern van de besluiten zijn die a</w:t>
      </w:r>
      <w:r>
        <w:rPr>
          <w:rFonts w:ascii="Verdana" w:hAnsi="Verdana"/>
          <w:sz w:val="18"/>
          <w:szCs w:val="18"/>
        </w:rPr>
        <w:t xml:space="preserve">l vastgesteld en kan communicatie tijdig beginnen. </w:t>
      </w:r>
    </w:p>
    <w:p w:rsidR="00EF70D5" w:rsidP="00EF70D5" w:rsidRDefault="00F900A4">
      <w:pPr>
        <w:spacing w:after="0" w:line="240" w:lineRule="auto"/>
        <w:rPr>
          <w:rFonts w:ascii="Verdana" w:hAnsi="Verdana"/>
          <w:sz w:val="18"/>
          <w:szCs w:val="18"/>
        </w:rPr>
      </w:pPr>
      <w:r>
        <w:rPr>
          <w:rFonts w:ascii="Verdana" w:hAnsi="Verdana"/>
          <w:sz w:val="18"/>
          <w:szCs w:val="18"/>
        </w:rPr>
        <w:t xml:space="preserve">Het risico van last-minute-aanvragers wordt als vrij klein ingeschat omdat men voor erkenning en registratie klaar moet zijn wil het kunnen. </w:t>
      </w:r>
    </w:p>
    <w:p w:rsidR="00EF70D5" w:rsidP="00EF70D5" w:rsidRDefault="00F900A4">
      <w:pPr>
        <w:spacing w:after="0" w:line="240" w:lineRule="auto"/>
        <w:rPr>
          <w:rFonts w:ascii="Verdana" w:hAnsi="Verdana"/>
          <w:sz w:val="18"/>
          <w:szCs w:val="18"/>
          <w:u w:val="single"/>
        </w:rPr>
      </w:pPr>
    </w:p>
    <w:p w:rsidR="00EF70D5" w:rsidP="00EF70D5" w:rsidRDefault="00F900A4">
      <w:pPr>
        <w:spacing w:after="0" w:line="240" w:lineRule="auto"/>
        <w:rPr>
          <w:rFonts w:ascii="Verdana" w:hAnsi="Verdana"/>
          <w:sz w:val="18"/>
          <w:szCs w:val="18"/>
        </w:rPr>
      </w:pPr>
      <w:r>
        <w:rPr>
          <w:rFonts w:ascii="Verdana" w:hAnsi="Verdana"/>
          <w:sz w:val="18"/>
          <w:szCs w:val="18"/>
          <w:u w:val="single"/>
        </w:rPr>
        <w:t xml:space="preserve">Het gebruik van de </w:t>
      </w:r>
      <w:r w:rsidRPr="00437266">
        <w:rPr>
          <w:rFonts w:ascii="Verdana" w:hAnsi="Verdana"/>
          <w:sz w:val="18"/>
          <w:szCs w:val="18"/>
          <w:u w:val="single"/>
        </w:rPr>
        <w:t>bestaande toets</w:t>
      </w:r>
      <w:r>
        <w:rPr>
          <w:rFonts w:ascii="Verdana" w:hAnsi="Verdana"/>
          <w:sz w:val="18"/>
          <w:szCs w:val="18"/>
          <w:u w:val="single"/>
        </w:rPr>
        <w:t>en</w:t>
      </w:r>
      <w:r w:rsidRPr="00437266">
        <w:rPr>
          <w:rFonts w:ascii="Verdana" w:hAnsi="Verdana"/>
          <w:sz w:val="18"/>
          <w:szCs w:val="18"/>
          <w:u w:val="single"/>
        </w:rPr>
        <w:t xml:space="preserve"> voor </w:t>
      </w:r>
      <w:r>
        <w:rPr>
          <w:rFonts w:ascii="Verdana" w:hAnsi="Verdana"/>
          <w:sz w:val="18"/>
          <w:szCs w:val="18"/>
          <w:u w:val="single"/>
        </w:rPr>
        <w:t>gediplomeerden</w:t>
      </w:r>
      <w:r w:rsidRPr="00473422">
        <w:rPr>
          <w:rFonts w:ascii="Verdana" w:hAnsi="Verdana"/>
          <w:sz w:val="18"/>
          <w:szCs w:val="18"/>
          <w:u w:val="single"/>
        </w:rPr>
        <w:t xml:space="preserve"> </w:t>
      </w:r>
      <w:r>
        <w:rPr>
          <w:rFonts w:ascii="Verdana" w:hAnsi="Verdana"/>
          <w:sz w:val="18"/>
          <w:szCs w:val="18"/>
          <w:u w:val="single"/>
        </w:rPr>
        <w:t xml:space="preserve">van </w:t>
      </w:r>
      <w:r>
        <w:rPr>
          <w:rFonts w:ascii="Verdana" w:hAnsi="Verdana"/>
          <w:sz w:val="18"/>
          <w:szCs w:val="18"/>
          <w:u w:val="single"/>
        </w:rPr>
        <w:t>buiten de EER</w:t>
      </w:r>
      <w:r>
        <w:rPr>
          <w:rFonts w:ascii="Verdana" w:hAnsi="Verdana"/>
          <w:sz w:val="18"/>
          <w:szCs w:val="18"/>
        </w:rPr>
        <w:br/>
        <w:t>VWS heeft twee contracten in verband met assessment van gediplomeerden van buiten de EER. Nieuwe afspraken voor gediplomeerden van binnen de EER dienen lopende contracten niet te doorkruisen. Er is één contract voor beroepen op academisch niv</w:t>
      </w:r>
      <w:r>
        <w:rPr>
          <w:rFonts w:ascii="Verdana" w:hAnsi="Verdana"/>
          <w:sz w:val="18"/>
          <w:szCs w:val="18"/>
        </w:rPr>
        <w:t xml:space="preserve">eau en één contract voor de beroepen op HBO- en MBO-niveau. Die contracten moeten te zijner tijd opnieuw worden aanbesteed, uiterlijk 1 juli 2019. Openstelling van deze contracten voor de nieuwe groep van binnen de EER garandeert dezelfde kwaliteitseisen, </w:t>
      </w:r>
      <w:r>
        <w:rPr>
          <w:rFonts w:ascii="Verdana" w:hAnsi="Verdana"/>
          <w:sz w:val="18"/>
          <w:szCs w:val="18"/>
        </w:rPr>
        <w:t xml:space="preserve">aanbod en prijs. De prijzen en aanbod zijn via openbare aanbesteding tot stand gekomen. </w:t>
      </w:r>
    </w:p>
    <w:p w:rsidR="00EF70D5" w:rsidP="00EF70D5" w:rsidRDefault="00F900A4">
      <w:pPr>
        <w:spacing w:after="0" w:line="240" w:lineRule="auto"/>
        <w:rPr>
          <w:rFonts w:ascii="Verdana" w:hAnsi="Verdana"/>
          <w:sz w:val="18"/>
          <w:szCs w:val="18"/>
        </w:rPr>
      </w:pPr>
    </w:p>
    <w:p w:rsidR="00EF70D5" w:rsidP="00EF70D5" w:rsidRDefault="00F900A4">
      <w:pPr>
        <w:spacing w:after="0" w:line="240" w:lineRule="auto"/>
        <w:rPr>
          <w:rFonts w:ascii="Verdana" w:hAnsi="Verdana"/>
          <w:sz w:val="18"/>
          <w:szCs w:val="18"/>
        </w:rPr>
      </w:pPr>
      <w:r>
        <w:rPr>
          <w:rFonts w:ascii="Verdana" w:hAnsi="Verdana"/>
          <w:sz w:val="18"/>
          <w:szCs w:val="18"/>
        </w:rPr>
        <w:t>De toetsing voor beroepen op academisch niveau bevat een toets op interactief medisch Nederlands in de omgang met patiënten. De toets voor beroepen op HBO- en MBO-niv</w:t>
      </w:r>
      <w:r>
        <w:rPr>
          <w:rFonts w:ascii="Verdana" w:hAnsi="Verdana"/>
          <w:sz w:val="18"/>
          <w:szCs w:val="18"/>
        </w:rPr>
        <w:t>eau bevat een dergelijke  toets niet maar wel een cognitieve toets op kennis van het Nederlandse uitdrukkingen met relevantie voor de zorg. Voor de academische beroepen garandeert het contract 10 keer per jaar een toetsmogelijkheid en het contract voor HBO</w:t>
      </w:r>
      <w:r>
        <w:rPr>
          <w:rFonts w:ascii="Verdana" w:hAnsi="Verdana"/>
          <w:sz w:val="18"/>
          <w:szCs w:val="18"/>
        </w:rPr>
        <w:t xml:space="preserve">- en MBO-beroepen 3 keer per jaar. </w:t>
      </w:r>
      <w:r>
        <w:rPr>
          <w:rFonts w:ascii="Verdana" w:hAnsi="Verdana"/>
          <w:sz w:val="18"/>
          <w:szCs w:val="18"/>
        </w:rPr>
        <w:br/>
      </w:r>
    </w:p>
    <w:p w:rsidR="00EF70D5" w:rsidP="00EF70D5" w:rsidRDefault="00F900A4">
      <w:pPr>
        <w:spacing w:after="0" w:line="240" w:lineRule="auto"/>
        <w:rPr>
          <w:rFonts w:ascii="Verdana" w:hAnsi="Verdana"/>
          <w:sz w:val="18"/>
          <w:szCs w:val="18"/>
        </w:rPr>
      </w:pPr>
      <w:r>
        <w:rPr>
          <w:rFonts w:ascii="Verdana" w:hAnsi="Verdana"/>
          <w:sz w:val="18"/>
          <w:szCs w:val="18"/>
        </w:rPr>
        <w:t>Betrokken contractpartijen zijn in principe bereid om voor de verdere looptijd van de contracten deze contracten ook voor de nieuwe doelgroep van binnen de EER gediplomeerden open te stellen. De Haagse Inkoop Samenwerki</w:t>
      </w:r>
      <w:r>
        <w:rPr>
          <w:rFonts w:ascii="Verdana" w:hAnsi="Verdana"/>
          <w:sz w:val="18"/>
          <w:szCs w:val="18"/>
        </w:rPr>
        <w:t xml:space="preserve">ng (HIS) stelt vast dat de </w:t>
      </w:r>
      <w:r w:rsidRPr="00803A83">
        <w:rPr>
          <w:rFonts w:ascii="Verdana" w:hAnsi="Verdana"/>
          <w:sz w:val="18"/>
          <w:szCs w:val="18"/>
        </w:rPr>
        <w:t xml:space="preserve">aanbestedingsdocumenten </w:t>
      </w:r>
      <w:r>
        <w:rPr>
          <w:rFonts w:ascii="Verdana" w:hAnsi="Verdana"/>
          <w:sz w:val="18"/>
          <w:szCs w:val="18"/>
        </w:rPr>
        <w:t>de offertes</w:t>
      </w:r>
      <w:r w:rsidRPr="00803A83">
        <w:rPr>
          <w:rFonts w:ascii="Verdana" w:hAnsi="Verdana"/>
          <w:sz w:val="18"/>
          <w:szCs w:val="18"/>
        </w:rPr>
        <w:t xml:space="preserve"> </w:t>
      </w:r>
      <w:r>
        <w:rPr>
          <w:rFonts w:ascii="Verdana" w:hAnsi="Verdana"/>
          <w:sz w:val="18"/>
          <w:szCs w:val="18"/>
        </w:rPr>
        <w:t xml:space="preserve">niet afgrenzen tot </w:t>
      </w:r>
      <w:r w:rsidRPr="00803A83">
        <w:rPr>
          <w:rFonts w:ascii="Verdana" w:hAnsi="Verdana"/>
          <w:sz w:val="18"/>
          <w:szCs w:val="18"/>
        </w:rPr>
        <w:t xml:space="preserve">aanvragers van buiten </w:t>
      </w:r>
      <w:r>
        <w:rPr>
          <w:rFonts w:ascii="Verdana" w:hAnsi="Verdana"/>
          <w:sz w:val="18"/>
          <w:szCs w:val="18"/>
        </w:rPr>
        <w:t>de EER</w:t>
      </w:r>
      <w:r w:rsidRPr="00803A83">
        <w:rPr>
          <w:rFonts w:ascii="Verdana" w:hAnsi="Verdana"/>
          <w:sz w:val="18"/>
          <w:szCs w:val="18"/>
        </w:rPr>
        <w:t xml:space="preserve">. </w:t>
      </w:r>
      <w:r>
        <w:rPr>
          <w:rFonts w:ascii="Verdana" w:hAnsi="Verdana"/>
          <w:sz w:val="18"/>
          <w:szCs w:val="18"/>
        </w:rPr>
        <w:t xml:space="preserve">De </w:t>
      </w:r>
      <w:r w:rsidRPr="00803A83">
        <w:rPr>
          <w:rFonts w:ascii="Verdana" w:hAnsi="Verdana"/>
          <w:sz w:val="18"/>
          <w:szCs w:val="18"/>
        </w:rPr>
        <w:t xml:space="preserve">HIS </w:t>
      </w:r>
      <w:r>
        <w:rPr>
          <w:rFonts w:ascii="Verdana" w:hAnsi="Verdana"/>
          <w:sz w:val="18"/>
          <w:szCs w:val="18"/>
        </w:rPr>
        <w:t>ziet dan ook g</w:t>
      </w:r>
      <w:r w:rsidRPr="00803A83">
        <w:rPr>
          <w:rFonts w:ascii="Verdana" w:hAnsi="Verdana"/>
          <w:sz w:val="18"/>
          <w:szCs w:val="18"/>
        </w:rPr>
        <w:t xml:space="preserve">een </w:t>
      </w:r>
      <w:r>
        <w:rPr>
          <w:rFonts w:ascii="Verdana" w:hAnsi="Verdana"/>
          <w:sz w:val="18"/>
          <w:szCs w:val="18"/>
        </w:rPr>
        <w:t xml:space="preserve">risico om deze </w:t>
      </w:r>
      <w:r w:rsidRPr="00803A83">
        <w:rPr>
          <w:rFonts w:ascii="Verdana" w:hAnsi="Verdana"/>
          <w:sz w:val="18"/>
          <w:szCs w:val="18"/>
        </w:rPr>
        <w:t>nieuwe doelgroep</w:t>
      </w:r>
      <w:r>
        <w:rPr>
          <w:rFonts w:ascii="Verdana" w:hAnsi="Verdana"/>
          <w:sz w:val="18"/>
          <w:szCs w:val="18"/>
        </w:rPr>
        <w:t xml:space="preserve"> van binnen de EER </w:t>
      </w:r>
      <w:r w:rsidRPr="00803A83">
        <w:rPr>
          <w:rFonts w:ascii="Verdana" w:hAnsi="Verdana"/>
          <w:sz w:val="18"/>
          <w:szCs w:val="18"/>
        </w:rPr>
        <w:t xml:space="preserve">ook onder de werking van de bestaande overeenkomsten te </w:t>
      </w:r>
      <w:r>
        <w:rPr>
          <w:rFonts w:ascii="Verdana" w:hAnsi="Verdana"/>
          <w:sz w:val="18"/>
          <w:szCs w:val="18"/>
        </w:rPr>
        <w:t>brengen</w:t>
      </w:r>
      <w:r w:rsidRPr="00803A83">
        <w:rPr>
          <w:rFonts w:ascii="Verdana" w:hAnsi="Verdana"/>
          <w:sz w:val="18"/>
          <w:szCs w:val="18"/>
        </w:rPr>
        <w:t xml:space="preserve">. </w:t>
      </w:r>
      <w:r>
        <w:rPr>
          <w:rFonts w:ascii="Verdana" w:hAnsi="Verdana"/>
          <w:sz w:val="18"/>
          <w:szCs w:val="18"/>
        </w:rPr>
        <w:t xml:space="preserve">De </w:t>
      </w:r>
      <w:r>
        <w:rPr>
          <w:rFonts w:ascii="Verdana" w:hAnsi="Verdana"/>
          <w:sz w:val="18"/>
          <w:szCs w:val="18"/>
        </w:rPr>
        <w:t>HIS beveelt wel aan dat via een side letter</w:t>
      </w:r>
      <w:r w:rsidRPr="007C6826">
        <w:rPr>
          <w:rFonts w:ascii="Verdana" w:hAnsi="Verdana"/>
          <w:sz w:val="18"/>
          <w:szCs w:val="18"/>
        </w:rPr>
        <w:t xml:space="preserve"> </w:t>
      </w:r>
      <w:r>
        <w:rPr>
          <w:rFonts w:ascii="Verdana" w:hAnsi="Verdana"/>
          <w:sz w:val="18"/>
          <w:szCs w:val="18"/>
        </w:rPr>
        <w:t xml:space="preserve">te formaliseren. De </w:t>
      </w:r>
      <w:r w:rsidRPr="00E522D6">
        <w:rPr>
          <w:rFonts w:ascii="Verdana" w:hAnsi="Verdana"/>
          <w:sz w:val="18"/>
          <w:szCs w:val="18"/>
        </w:rPr>
        <w:t>HIS advis</w:t>
      </w:r>
      <w:r>
        <w:rPr>
          <w:rFonts w:ascii="Verdana" w:hAnsi="Verdana"/>
          <w:sz w:val="18"/>
          <w:szCs w:val="18"/>
        </w:rPr>
        <w:t>eert</w:t>
      </w:r>
      <w:r w:rsidRPr="00E522D6">
        <w:rPr>
          <w:rFonts w:ascii="Verdana" w:hAnsi="Verdana"/>
          <w:sz w:val="18"/>
          <w:szCs w:val="18"/>
        </w:rPr>
        <w:t xml:space="preserve"> </w:t>
      </w:r>
      <w:r>
        <w:rPr>
          <w:rFonts w:ascii="Verdana" w:hAnsi="Verdana"/>
          <w:sz w:val="18"/>
          <w:szCs w:val="18"/>
        </w:rPr>
        <w:t xml:space="preserve">verder </w:t>
      </w:r>
      <w:r w:rsidRPr="00E522D6">
        <w:rPr>
          <w:rFonts w:ascii="Verdana" w:hAnsi="Verdana"/>
          <w:sz w:val="18"/>
          <w:szCs w:val="18"/>
        </w:rPr>
        <w:t xml:space="preserve">om aan de hand van de ervaring die de komende periode </w:t>
      </w:r>
      <w:r>
        <w:rPr>
          <w:rFonts w:ascii="Verdana" w:hAnsi="Verdana"/>
          <w:sz w:val="18"/>
          <w:szCs w:val="18"/>
        </w:rPr>
        <w:t xml:space="preserve">worden opgedaan </w:t>
      </w:r>
      <w:r w:rsidRPr="00E522D6">
        <w:rPr>
          <w:rFonts w:ascii="Verdana" w:hAnsi="Verdana"/>
          <w:sz w:val="18"/>
          <w:szCs w:val="18"/>
        </w:rPr>
        <w:t xml:space="preserve">in 2017 een </w:t>
      </w:r>
      <w:r>
        <w:rPr>
          <w:rFonts w:ascii="Verdana" w:hAnsi="Verdana"/>
          <w:sz w:val="18"/>
          <w:szCs w:val="18"/>
        </w:rPr>
        <w:t xml:space="preserve">nieuwe </w:t>
      </w:r>
      <w:r w:rsidRPr="00E522D6">
        <w:rPr>
          <w:rFonts w:ascii="Verdana" w:hAnsi="Verdana"/>
          <w:sz w:val="18"/>
          <w:szCs w:val="18"/>
        </w:rPr>
        <w:t>aanbesteding te starten</w:t>
      </w:r>
      <w:r>
        <w:rPr>
          <w:rFonts w:ascii="Verdana" w:hAnsi="Verdana"/>
          <w:sz w:val="18"/>
          <w:szCs w:val="18"/>
        </w:rPr>
        <w:t xml:space="preserve"> vóór effectuering per 1 januari 2018</w:t>
      </w:r>
      <w:r w:rsidRPr="00E522D6">
        <w:rPr>
          <w:rFonts w:ascii="Verdana" w:hAnsi="Verdana"/>
          <w:sz w:val="18"/>
          <w:szCs w:val="18"/>
        </w:rPr>
        <w:t xml:space="preserve">. </w:t>
      </w:r>
      <w:r>
        <w:rPr>
          <w:rFonts w:ascii="Verdana" w:hAnsi="Verdana"/>
          <w:sz w:val="18"/>
          <w:szCs w:val="18"/>
        </w:rPr>
        <w:t xml:space="preserve">De contracten laten </w:t>
      </w:r>
      <w:r>
        <w:rPr>
          <w:rFonts w:ascii="Verdana" w:hAnsi="Verdana"/>
          <w:sz w:val="18"/>
          <w:szCs w:val="18"/>
        </w:rPr>
        <w:t xml:space="preserve">dat toe. Bij de nieuwe aanbesteding kan dat dan voor zowel de binnen als de buiten de EER gediplomeerden tegen dezelfde uniforme normen. </w:t>
      </w:r>
    </w:p>
    <w:p w:rsidR="00EF70D5" w:rsidP="00EF70D5" w:rsidRDefault="00F900A4">
      <w:pPr>
        <w:spacing w:after="0" w:line="240" w:lineRule="auto"/>
        <w:rPr>
          <w:rFonts w:ascii="Verdana" w:hAnsi="Verdana"/>
          <w:sz w:val="18"/>
          <w:szCs w:val="18"/>
        </w:rPr>
      </w:pPr>
    </w:p>
    <w:p w:rsidRPr="00F22CDC" w:rsidR="00EF70D5" w:rsidP="00EF70D5" w:rsidRDefault="00F900A4">
      <w:pPr>
        <w:spacing w:line="240" w:lineRule="auto"/>
        <w:rPr>
          <w:rFonts w:ascii="Verdana" w:hAnsi="Verdana"/>
          <w:sz w:val="18"/>
          <w:szCs w:val="18"/>
        </w:rPr>
      </w:pPr>
      <w:r>
        <w:rPr>
          <w:rFonts w:ascii="Verdana" w:hAnsi="Verdana"/>
          <w:sz w:val="18"/>
          <w:szCs w:val="18"/>
        </w:rPr>
        <w:t>Bij de invoering is er voor de beroepen op HBO- en MBO-niveau enig verschil tussen toetsen die voor de binnen de EER en voor buiten de EER gediplomeerden gelden. Voor buiten de EER-gediplomeerden gelden de eisen van het assessment en het daartoe gesloten c</w:t>
      </w:r>
      <w:r>
        <w:rPr>
          <w:rFonts w:ascii="Verdana" w:hAnsi="Verdana"/>
          <w:sz w:val="18"/>
          <w:szCs w:val="18"/>
        </w:rPr>
        <w:t>ontract voor deze beroepen. Voor de nieuwe doelgroep volstaat het voldoen aan diezelfde eisen maar daarnaast volstaat ook het staatsexamen Nederlands als Tweede Taal en de Interuniversitaire Taaltoets voor Anderstaligen op het voor respectievelijk beroepen</w:t>
      </w:r>
      <w:r>
        <w:rPr>
          <w:rFonts w:ascii="Verdana" w:hAnsi="Verdana"/>
          <w:sz w:val="18"/>
          <w:szCs w:val="18"/>
        </w:rPr>
        <w:t xml:space="preserve"> op HBO- en MBO gevraagde niveau. Alle drie de toetsen garanderen voldoende niveau en zijn van gegarandeerde kwaliteit en tegen een redelijke prijs en samen garanderen ze voldoende leveringszekerheid. Het niveau van de toetsen in het kader van het contract</w:t>
      </w:r>
      <w:r>
        <w:rPr>
          <w:rFonts w:ascii="Verdana" w:hAnsi="Verdana"/>
          <w:sz w:val="18"/>
          <w:szCs w:val="18"/>
        </w:rPr>
        <w:t xml:space="preserve"> t.b.v. de assessment voor gediplomeerden van buiten de EER is iets specifieker en voor MBO vermoedelijk een fractie hoger. Bij de </w:t>
      </w:r>
      <w:r>
        <w:rPr>
          <w:rFonts w:ascii="Verdana" w:hAnsi="Verdana"/>
          <w:sz w:val="18"/>
          <w:szCs w:val="18"/>
        </w:rPr>
        <w:t>eerst</w:t>
      </w:r>
      <w:r>
        <w:rPr>
          <w:rFonts w:ascii="Verdana" w:hAnsi="Verdana"/>
          <w:sz w:val="18"/>
          <w:szCs w:val="18"/>
        </w:rPr>
        <w:t>volgende aanbesteding kan dat naar boven of naar beneden worden gelijkgetrokken met meewegen van de opgedane ervaringen.</w:t>
      </w:r>
      <w:r>
        <w:rPr>
          <w:rFonts w:ascii="Verdana" w:hAnsi="Verdana"/>
          <w:sz w:val="18"/>
          <w:szCs w:val="18"/>
        </w:rPr>
        <w:t xml:space="preserve">  </w:t>
      </w:r>
    </w:p>
    <w:p w:rsidR="00EF70D5" w:rsidP="00EF70D5" w:rsidRDefault="00F900A4">
      <w:pPr>
        <w:rPr>
          <w:rFonts w:ascii="Verdana" w:hAnsi="Verdana"/>
          <w:sz w:val="18"/>
          <w:szCs w:val="18"/>
        </w:rPr>
      </w:pPr>
    </w:p>
    <w:sectPr w:rsidR="00EF70D5" w:rsidSect="00EF70D5">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0C8" w:rsidRDefault="00BE30C8" w:rsidP="00BE30C8">
      <w:pPr>
        <w:spacing w:after="0" w:line="240" w:lineRule="auto"/>
      </w:pPr>
      <w:r>
        <w:separator/>
      </w:r>
    </w:p>
  </w:endnote>
  <w:endnote w:type="continuationSeparator" w:id="0">
    <w:p w:rsidR="00BE30C8" w:rsidRDefault="00BE30C8" w:rsidP="00BE3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0D5" w:rsidRDefault="00F900A4" w:rsidP="00EF70D5">
      <w:pPr>
        <w:spacing w:after="0" w:line="240" w:lineRule="auto"/>
      </w:pPr>
      <w:r>
        <w:separator/>
      </w:r>
    </w:p>
  </w:footnote>
  <w:footnote w:type="continuationSeparator" w:id="0">
    <w:p w:rsidR="00EF70D5" w:rsidRDefault="00F900A4" w:rsidP="00EF70D5">
      <w:pPr>
        <w:spacing w:after="0" w:line="240" w:lineRule="auto"/>
      </w:pPr>
      <w:r>
        <w:continuationSeparator/>
      </w:r>
    </w:p>
  </w:footnote>
  <w:footnote w:id="1">
    <w:p w:rsidR="00EF70D5" w:rsidRDefault="00F900A4" w:rsidP="00EF70D5">
      <w:pPr>
        <w:autoSpaceDE w:val="0"/>
        <w:autoSpaceDN w:val="0"/>
        <w:adjustRightInd w:val="0"/>
        <w:spacing w:after="0" w:line="240" w:lineRule="auto"/>
      </w:pPr>
      <w:r>
        <w:rPr>
          <w:rStyle w:val="Voetnootmarkering"/>
        </w:rPr>
        <w:footnoteRef/>
      </w:r>
      <w:r>
        <w:t xml:space="preserve"> </w:t>
      </w:r>
      <w:r w:rsidRPr="00CF414E">
        <w:rPr>
          <w:rFonts w:cs="Times New Roman"/>
          <w:sz w:val="20"/>
          <w:szCs w:val="20"/>
        </w:rPr>
        <w:t>Eerste Kamer; Vergaderjaar 2015/16 no. 34 272</w:t>
      </w:r>
    </w:p>
  </w:footnote>
  <w:footnote w:id="2">
    <w:p w:rsidR="00EF70D5" w:rsidRDefault="00F900A4" w:rsidP="00EF70D5">
      <w:pPr>
        <w:pStyle w:val="Voetnoottekst"/>
      </w:pPr>
      <w:r>
        <w:rPr>
          <w:rStyle w:val="Voetnootmarkering"/>
        </w:rPr>
        <w:footnoteRef/>
      </w:r>
      <w:r>
        <w:t xml:space="preserve"> Brief van de Minister van VWS aan de Tweede Kamer d.d. 29-10-2015, </w:t>
      </w:r>
      <w:r>
        <w:rPr>
          <w:rFonts w:ascii="Verdana" w:hAnsi="Verdana" w:cs="Times New Roman"/>
          <w:sz w:val="18"/>
          <w:szCs w:val="18"/>
        </w:rPr>
        <w:t xml:space="preserve">kenmerk </w:t>
      </w:r>
      <w:r w:rsidRPr="007A3AD6">
        <w:rPr>
          <w:rFonts w:ascii="Verdana" w:hAnsi="Verdana" w:cs="Times New Roman"/>
          <w:sz w:val="18"/>
          <w:szCs w:val="18"/>
        </w:rPr>
        <w:t>840255-141531-MEVA</w:t>
      </w:r>
    </w:p>
  </w:footnote>
  <w:footnote w:id="3">
    <w:p w:rsidR="00EF70D5" w:rsidRPr="0063208E" w:rsidRDefault="00F900A4" w:rsidP="00EF70D5">
      <w:pPr>
        <w:pStyle w:val="Voetnoottekst"/>
      </w:pPr>
      <w:r>
        <w:rPr>
          <w:rStyle w:val="Voetnootmarkering"/>
        </w:rPr>
        <w:footnoteRef/>
      </w:r>
      <w:r>
        <w:t xml:space="preserve"> </w:t>
      </w:r>
      <w:r w:rsidRPr="0063208E">
        <w:t>A</w:t>
      </w:r>
      <w:r w:rsidRPr="0063208E">
        <w:rPr>
          <w:rFonts w:cs="Arial"/>
          <w:color w:val="000000"/>
        </w:rPr>
        <w:t xml:space="preserve">rtikel 41, eerste lid, onder b en derde lid, van de Wet BIG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260C"/>
    <w:multiLevelType w:val="hybridMultilevel"/>
    <w:tmpl w:val="316A2246"/>
    <w:lvl w:ilvl="0" w:tplc="329C0712">
      <w:numFmt w:val="bullet"/>
      <w:lvlText w:val="-"/>
      <w:lvlJc w:val="left"/>
      <w:pPr>
        <w:ind w:left="720" w:hanging="360"/>
      </w:pPr>
      <w:rPr>
        <w:rFonts w:ascii="Calibri" w:eastAsiaTheme="minorHAnsi" w:hAnsi="Calibri" w:cs="Calibri" w:hint="default"/>
      </w:rPr>
    </w:lvl>
    <w:lvl w:ilvl="1" w:tplc="BC34C7B4" w:tentative="1">
      <w:start w:val="1"/>
      <w:numFmt w:val="bullet"/>
      <w:lvlText w:val="o"/>
      <w:lvlJc w:val="left"/>
      <w:pPr>
        <w:ind w:left="1440" w:hanging="360"/>
      </w:pPr>
      <w:rPr>
        <w:rFonts w:ascii="Courier New" w:hAnsi="Courier New" w:cs="Courier New" w:hint="default"/>
      </w:rPr>
    </w:lvl>
    <w:lvl w:ilvl="2" w:tplc="CBA4F836" w:tentative="1">
      <w:start w:val="1"/>
      <w:numFmt w:val="bullet"/>
      <w:lvlText w:val=""/>
      <w:lvlJc w:val="left"/>
      <w:pPr>
        <w:ind w:left="2160" w:hanging="360"/>
      </w:pPr>
      <w:rPr>
        <w:rFonts w:ascii="Wingdings" w:hAnsi="Wingdings" w:hint="default"/>
      </w:rPr>
    </w:lvl>
    <w:lvl w:ilvl="3" w:tplc="C10C6286" w:tentative="1">
      <w:start w:val="1"/>
      <w:numFmt w:val="bullet"/>
      <w:lvlText w:val=""/>
      <w:lvlJc w:val="left"/>
      <w:pPr>
        <w:ind w:left="2880" w:hanging="360"/>
      </w:pPr>
      <w:rPr>
        <w:rFonts w:ascii="Symbol" w:hAnsi="Symbol" w:hint="default"/>
      </w:rPr>
    </w:lvl>
    <w:lvl w:ilvl="4" w:tplc="2F24C112" w:tentative="1">
      <w:start w:val="1"/>
      <w:numFmt w:val="bullet"/>
      <w:lvlText w:val="o"/>
      <w:lvlJc w:val="left"/>
      <w:pPr>
        <w:ind w:left="3600" w:hanging="360"/>
      </w:pPr>
      <w:rPr>
        <w:rFonts w:ascii="Courier New" w:hAnsi="Courier New" w:cs="Courier New" w:hint="default"/>
      </w:rPr>
    </w:lvl>
    <w:lvl w:ilvl="5" w:tplc="5562E27E" w:tentative="1">
      <w:start w:val="1"/>
      <w:numFmt w:val="bullet"/>
      <w:lvlText w:val=""/>
      <w:lvlJc w:val="left"/>
      <w:pPr>
        <w:ind w:left="4320" w:hanging="360"/>
      </w:pPr>
      <w:rPr>
        <w:rFonts w:ascii="Wingdings" w:hAnsi="Wingdings" w:hint="default"/>
      </w:rPr>
    </w:lvl>
    <w:lvl w:ilvl="6" w:tplc="9BA0AEAE" w:tentative="1">
      <w:start w:val="1"/>
      <w:numFmt w:val="bullet"/>
      <w:lvlText w:val=""/>
      <w:lvlJc w:val="left"/>
      <w:pPr>
        <w:ind w:left="5040" w:hanging="360"/>
      </w:pPr>
      <w:rPr>
        <w:rFonts w:ascii="Symbol" w:hAnsi="Symbol" w:hint="default"/>
      </w:rPr>
    </w:lvl>
    <w:lvl w:ilvl="7" w:tplc="C0586F48" w:tentative="1">
      <w:start w:val="1"/>
      <w:numFmt w:val="bullet"/>
      <w:lvlText w:val="o"/>
      <w:lvlJc w:val="left"/>
      <w:pPr>
        <w:ind w:left="5760" w:hanging="360"/>
      </w:pPr>
      <w:rPr>
        <w:rFonts w:ascii="Courier New" w:hAnsi="Courier New" w:cs="Courier New" w:hint="default"/>
      </w:rPr>
    </w:lvl>
    <w:lvl w:ilvl="8" w:tplc="98C0805E" w:tentative="1">
      <w:start w:val="1"/>
      <w:numFmt w:val="bullet"/>
      <w:lvlText w:val=""/>
      <w:lvlJc w:val="left"/>
      <w:pPr>
        <w:ind w:left="6480" w:hanging="360"/>
      </w:pPr>
      <w:rPr>
        <w:rFonts w:ascii="Wingdings" w:hAnsi="Wingdings" w:hint="default"/>
      </w:rPr>
    </w:lvl>
  </w:abstractNum>
  <w:abstractNum w:abstractNumId="1">
    <w:nsid w:val="09791AC6"/>
    <w:multiLevelType w:val="hybridMultilevel"/>
    <w:tmpl w:val="F4DC28E6"/>
    <w:lvl w:ilvl="0" w:tplc="702A5FA2">
      <w:start w:val="1"/>
      <w:numFmt w:val="bullet"/>
      <w:lvlText w:val=""/>
      <w:lvlJc w:val="left"/>
      <w:pPr>
        <w:ind w:left="720" w:hanging="360"/>
      </w:pPr>
      <w:rPr>
        <w:rFonts w:ascii="Symbol" w:hAnsi="Symbol" w:hint="default"/>
      </w:rPr>
    </w:lvl>
    <w:lvl w:ilvl="1" w:tplc="4F98104A" w:tentative="1">
      <w:start w:val="1"/>
      <w:numFmt w:val="bullet"/>
      <w:lvlText w:val="o"/>
      <w:lvlJc w:val="left"/>
      <w:pPr>
        <w:ind w:left="1440" w:hanging="360"/>
      </w:pPr>
      <w:rPr>
        <w:rFonts w:ascii="Courier New" w:hAnsi="Courier New" w:cs="Courier New" w:hint="default"/>
      </w:rPr>
    </w:lvl>
    <w:lvl w:ilvl="2" w:tplc="5908DB94" w:tentative="1">
      <w:start w:val="1"/>
      <w:numFmt w:val="bullet"/>
      <w:lvlText w:val=""/>
      <w:lvlJc w:val="left"/>
      <w:pPr>
        <w:ind w:left="2160" w:hanging="360"/>
      </w:pPr>
      <w:rPr>
        <w:rFonts w:ascii="Wingdings" w:hAnsi="Wingdings" w:hint="default"/>
      </w:rPr>
    </w:lvl>
    <w:lvl w:ilvl="3" w:tplc="7EB0882A" w:tentative="1">
      <w:start w:val="1"/>
      <w:numFmt w:val="bullet"/>
      <w:lvlText w:val=""/>
      <w:lvlJc w:val="left"/>
      <w:pPr>
        <w:ind w:left="2880" w:hanging="360"/>
      </w:pPr>
      <w:rPr>
        <w:rFonts w:ascii="Symbol" w:hAnsi="Symbol" w:hint="default"/>
      </w:rPr>
    </w:lvl>
    <w:lvl w:ilvl="4" w:tplc="3E548E70" w:tentative="1">
      <w:start w:val="1"/>
      <w:numFmt w:val="bullet"/>
      <w:lvlText w:val="o"/>
      <w:lvlJc w:val="left"/>
      <w:pPr>
        <w:ind w:left="3600" w:hanging="360"/>
      </w:pPr>
      <w:rPr>
        <w:rFonts w:ascii="Courier New" w:hAnsi="Courier New" w:cs="Courier New" w:hint="default"/>
      </w:rPr>
    </w:lvl>
    <w:lvl w:ilvl="5" w:tplc="055607E0" w:tentative="1">
      <w:start w:val="1"/>
      <w:numFmt w:val="bullet"/>
      <w:lvlText w:val=""/>
      <w:lvlJc w:val="left"/>
      <w:pPr>
        <w:ind w:left="4320" w:hanging="360"/>
      </w:pPr>
      <w:rPr>
        <w:rFonts w:ascii="Wingdings" w:hAnsi="Wingdings" w:hint="default"/>
      </w:rPr>
    </w:lvl>
    <w:lvl w:ilvl="6" w:tplc="5CD4BCDA" w:tentative="1">
      <w:start w:val="1"/>
      <w:numFmt w:val="bullet"/>
      <w:lvlText w:val=""/>
      <w:lvlJc w:val="left"/>
      <w:pPr>
        <w:ind w:left="5040" w:hanging="360"/>
      </w:pPr>
      <w:rPr>
        <w:rFonts w:ascii="Symbol" w:hAnsi="Symbol" w:hint="default"/>
      </w:rPr>
    </w:lvl>
    <w:lvl w:ilvl="7" w:tplc="9CEEDCB2" w:tentative="1">
      <w:start w:val="1"/>
      <w:numFmt w:val="bullet"/>
      <w:lvlText w:val="o"/>
      <w:lvlJc w:val="left"/>
      <w:pPr>
        <w:ind w:left="5760" w:hanging="360"/>
      </w:pPr>
      <w:rPr>
        <w:rFonts w:ascii="Courier New" w:hAnsi="Courier New" w:cs="Courier New" w:hint="default"/>
      </w:rPr>
    </w:lvl>
    <w:lvl w:ilvl="8" w:tplc="41E0806E" w:tentative="1">
      <w:start w:val="1"/>
      <w:numFmt w:val="bullet"/>
      <w:lvlText w:val=""/>
      <w:lvlJc w:val="left"/>
      <w:pPr>
        <w:ind w:left="6480" w:hanging="360"/>
      </w:pPr>
      <w:rPr>
        <w:rFonts w:ascii="Wingdings" w:hAnsi="Wingdings" w:hint="default"/>
      </w:rPr>
    </w:lvl>
  </w:abstractNum>
  <w:abstractNum w:abstractNumId="2">
    <w:nsid w:val="364D6AA5"/>
    <w:multiLevelType w:val="hybridMultilevel"/>
    <w:tmpl w:val="1A4084EA"/>
    <w:lvl w:ilvl="0" w:tplc="CF824B4E">
      <w:start w:val="1"/>
      <w:numFmt w:val="bullet"/>
      <w:lvlText w:val=""/>
      <w:lvlJc w:val="left"/>
      <w:pPr>
        <w:ind w:left="1146" w:hanging="360"/>
      </w:pPr>
      <w:rPr>
        <w:rFonts w:ascii="Symbol" w:hAnsi="Symbol" w:hint="default"/>
      </w:rPr>
    </w:lvl>
    <w:lvl w:ilvl="1" w:tplc="5F500052" w:tentative="1">
      <w:start w:val="1"/>
      <w:numFmt w:val="bullet"/>
      <w:lvlText w:val="o"/>
      <w:lvlJc w:val="left"/>
      <w:pPr>
        <w:ind w:left="1866" w:hanging="360"/>
      </w:pPr>
      <w:rPr>
        <w:rFonts w:ascii="Courier New" w:hAnsi="Courier New" w:cs="Courier New" w:hint="default"/>
      </w:rPr>
    </w:lvl>
    <w:lvl w:ilvl="2" w:tplc="9E4A2878" w:tentative="1">
      <w:start w:val="1"/>
      <w:numFmt w:val="bullet"/>
      <w:lvlText w:val=""/>
      <w:lvlJc w:val="left"/>
      <w:pPr>
        <w:ind w:left="2586" w:hanging="360"/>
      </w:pPr>
      <w:rPr>
        <w:rFonts w:ascii="Wingdings" w:hAnsi="Wingdings" w:hint="default"/>
      </w:rPr>
    </w:lvl>
    <w:lvl w:ilvl="3" w:tplc="DFD487B6" w:tentative="1">
      <w:start w:val="1"/>
      <w:numFmt w:val="bullet"/>
      <w:lvlText w:val=""/>
      <w:lvlJc w:val="left"/>
      <w:pPr>
        <w:ind w:left="3306" w:hanging="360"/>
      </w:pPr>
      <w:rPr>
        <w:rFonts w:ascii="Symbol" w:hAnsi="Symbol" w:hint="default"/>
      </w:rPr>
    </w:lvl>
    <w:lvl w:ilvl="4" w:tplc="D87CCDA6" w:tentative="1">
      <w:start w:val="1"/>
      <w:numFmt w:val="bullet"/>
      <w:lvlText w:val="o"/>
      <w:lvlJc w:val="left"/>
      <w:pPr>
        <w:ind w:left="4026" w:hanging="360"/>
      </w:pPr>
      <w:rPr>
        <w:rFonts w:ascii="Courier New" w:hAnsi="Courier New" w:cs="Courier New" w:hint="default"/>
      </w:rPr>
    </w:lvl>
    <w:lvl w:ilvl="5" w:tplc="FE2C64B8" w:tentative="1">
      <w:start w:val="1"/>
      <w:numFmt w:val="bullet"/>
      <w:lvlText w:val=""/>
      <w:lvlJc w:val="left"/>
      <w:pPr>
        <w:ind w:left="4746" w:hanging="360"/>
      </w:pPr>
      <w:rPr>
        <w:rFonts w:ascii="Wingdings" w:hAnsi="Wingdings" w:hint="default"/>
      </w:rPr>
    </w:lvl>
    <w:lvl w:ilvl="6" w:tplc="743213F4" w:tentative="1">
      <w:start w:val="1"/>
      <w:numFmt w:val="bullet"/>
      <w:lvlText w:val=""/>
      <w:lvlJc w:val="left"/>
      <w:pPr>
        <w:ind w:left="5466" w:hanging="360"/>
      </w:pPr>
      <w:rPr>
        <w:rFonts w:ascii="Symbol" w:hAnsi="Symbol" w:hint="default"/>
      </w:rPr>
    </w:lvl>
    <w:lvl w:ilvl="7" w:tplc="C8EED6F6" w:tentative="1">
      <w:start w:val="1"/>
      <w:numFmt w:val="bullet"/>
      <w:lvlText w:val="o"/>
      <w:lvlJc w:val="left"/>
      <w:pPr>
        <w:ind w:left="6186" w:hanging="360"/>
      </w:pPr>
      <w:rPr>
        <w:rFonts w:ascii="Courier New" w:hAnsi="Courier New" w:cs="Courier New" w:hint="default"/>
      </w:rPr>
    </w:lvl>
    <w:lvl w:ilvl="8" w:tplc="28941EE6" w:tentative="1">
      <w:start w:val="1"/>
      <w:numFmt w:val="bullet"/>
      <w:lvlText w:val=""/>
      <w:lvlJc w:val="left"/>
      <w:pPr>
        <w:ind w:left="6906" w:hanging="360"/>
      </w:pPr>
      <w:rPr>
        <w:rFonts w:ascii="Wingdings" w:hAnsi="Wingdings" w:hint="default"/>
      </w:rPr>
    </w:lvl>
  </w:abstractNum>
  <w:abstractNum w:abstractNumId="3">
    <w:nsid w:val="370B6B26"/>
    <w:multiLevelType w:val="hybridMultilevel"/>
    <w:tmpl w:val="B98CCD8C"/>
    <w:lvl w:ilvl="0" w:tplc="E8D4D410">
      <w:start w:val="1"/>
      <w:numFmt w:val="bullet"/>
      <w:lvlText w:val="-"/>
      <w:lvlJc w:val="left"/>
      <w:pPr>
        <w:ind w:left="720" w:hanging="360"/>
      </w:pPr>
      <w:rPr>
        <w:rFonts w:ascii="Courier New" w:hAnsi="Courier New" w:hint="default"/>
      </w:rPr>
    </w:lvl>
    <w:lvl w:ilvl="1" w:tplc="FF82E9A2" w:tentative="1">
      <w:start w:val="1"/>
      <w:numFmt w:val="bullet"/>
      <w:lvlText w:val="o"/>
      <w:lvlJc w:val="left"/>
      <w:pPr>
        <w:ind w:left="1440" w:hanging="360"/>
      </w:pPr>
      <w:rPr>
        <w:rFonts w:ascii="Courier New" w:hAnsi="Courier New" w:cs="Courier New" w:hint="default"/>
      </w:rPr>
    </w:lvl>
    <w:lvl w:ilvl="2" w:tplc="6CC8BBF6" w:tentative="1">
      <w:start w:val="1"/>
      <w:numFmt w:val="bullet"/>
      <w:lvlText w:val=""/>
      <w:lvlJc w:val="left"/>
      <w:pPr>
        <w:ind w:left="2160" w:hanging="360"/>
      </w:pPr>
      <w:rPr>
        <w:rFonts w:ascii="Wingdings" w:hAnsi="Wingdings" w:hint="default"/>
      </w:rPr>
    </w:lvl>
    <w:lvl w:ilvl="3" w:tplc="8522D378" w:tentative="1">
      <w:start w:val="1"/>
      <w:numFmt w:val="bullet"/>
      <w:lvlText w:val=""/>
      <w:lvlJc w:val="left"/>
      <w:pPr>
        <w:ind w:left="2880" w:hanging="360"/>
      </w:pPr>
      <w:rPr>
        <w:rFonts w:ascii="Symbol" w:hAnsi="Symbol" w:hint="default"/>
      </w:rPr>
    </w:lvl>
    <w:lvl w:ilvl="4" w:tplc="627A456C" w:tentative="1">
      <w:start w:val="1"/>
      <w:numFmt w:val="bullet"/>
      <w:lvlText w:val="o"/>
      <w:lvlJc w:val="left"/>
      <w:pPr>
        <w:ind w:left="3600" w:hanging="360"/>
      </w:pPr>
      <w:rPr>
        <w:rFonts w:ascii="Courier New" w:hAnsi="Courier New" w:cs="Courier New" w:hint="default"/>
      </w:rPr>
    </w:lvl>
    <w:lvl w:ilvl="5" w:tplc="8F0C34AA" w:tentative="1">
      <w:start w:val="1"/>
      <w:numFmt w:val="bullet"/>
      <w:lvlText w:val=""/>
      <w:lvlJc w:val="left"/>
      <w:pPr>
        <w:ind w:left="4320" w:hanging="360"/>
      </w:pPr>
      <w:rPr>
        <w:rFonts w:ascii="Wingdings" w:hAnsi="Wingdings" w:hint="default"/>
      </w:rPr>
    </w:lvl>
    <w:lvl w:ilvl="6" w:tplc="E004BD48" w:tentative="1">
      <w:start w:val="1"/>
      <w:numFmt w:val="bullet"/>
      <w:lvlText w:val=""/>
      <w:lvlJc w:val="left"/>
      <w:pPr>
        <w:ind w:left="5040" w:hanging="360"/>
      </w:pPr>
      <w:rPr>
        <w:rFonts w:ascii="Symbol" w:hAnsi="Symbol" w:hint="default"/>
      </w:rPr>
    </w:lvl>
    <w:lvl w:ilvl="7" w:tplc="0CC891E8" w:tentative="1">
      <w:start w:val="1"/>
      <w:numFmt w:val="bullet"/>
      <w:lvlText w:val="o"/>
      <w:lvlJc w:val="left"/>
      <w:pPr>
        <w:ind w:left="5760" w:hanging="360"/>
      </w:pPr>
      <w:rPr>
        <w:rFonts w:ascii="Courier New" w:hAnsi="Courier New" w:cs="Courier New" w:hint="default"/>
      </w:rPr>
    </w:lvl>
    <w:lvl w:ilvl="8" w:tplc="1A466816"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BE30C8"/>
    <w:rsid w:val="00BE30C8"/>
    <w:rsid w:val="00F900A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3C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ferentiegegevens">
    <w:name w:val="Huisstijl - Referentiegegevens"/>
    <w:basedOn w:val="Standaard"/>
    <w:rsid w:val="00D2447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styleId="Lijstalinea">
    <w:name w:val="List Paragraph"/>
    <w:basedOn w:val="Standaard"/>
    <w:uiPriority w:val="34"/>
    <w:qFormat/>
    <w:rsid w:val="00D2447D"/>
    <w:pPr>
      <w:spacing w:after="0" w:line="240" w:lineRule="auto"/>
      <w:ind w:left="720"/>
    </w:pPr>
    <w:rPr>
      <w:rFonts w:ascii="Calibri" w:hAnsi="Calibri" w:cs="Calibri"/>
      <w:lang w:eastAsia="nl-NL"/>
    </w:rPr>
  </w:style>
  <w:style w:type="table" w:styleId="Tabelraster">
    <w:name w:val="Table Grid"/>
    <w:basedOn w:val="Standaardtabel"/>
    <w:uiPriority w:val="59"/>
    <w:rsid w:val="00956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956DBA"/>
    <w:rPr>
      <w:sz w:val="16"/>
      <w:szCs w:val="16"/>
    </w:rPr>
  </w:style>
  <w:style w:type="paragraph" w:styleId="Tekstopmerking">
    <w:name w:val="annotation text"/>
    <w:basedOn w:val="Standaard"/>
    <w:link w:val="TekstopmerkingChar"/>
    <w:uiPriority w:val="99"/>
    <w:semiHidden/>
    <w:unhideWhenUsed/>
    <w:rsid w:val="00956D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6DBA"/>
    <w:rPr>
      <w:sz w:val="20"/>
      <w:szCs w:val="20"/>
    </w:rPr>
  </w:style>
  <w:style w:type="paragraph" w:styleId="Ballontekst">
    <w:name w:val="Balloon Text"/>
    <w:basedOn w:val="Standaard"/>
    <w:link w:val="BallontekstChar"/>
    <w:uiPriority w:val="99"/>
    <w:semiHidden/>
    <w:unhideWhenUsed/>
    <w:rsid w:val="00956DB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6DBA"/>
    <w:rPr>
      <w:rFonts w:ascii="Tahoma" w:hAnsi="Tahoma" w:cs="Tahoma"/>
      <w:sz w:val="16"/>
      <w:szCs w:val="16"/>
    </w:rPr>
  </w:style>
  <w:style w:type="paragraph" w:styleId="Voetnoottekst">
    <w:name w:val="footnote text"/>
    <w:basedOn w:val="Standaard"/>
    <w:link w:val="VoetnoottekstChar"/>
    <w:uiPriority w:val="99"/>
    <w:semiHidden/>
    <w:unhideWhenUsed/>
    <w:rsid w:val="00ED3C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3CF1"/>
    <w:rPr>
      <w:sz w:val="20"/>
      <w:szCs w:val="20"/>
    </w:rPr>
  </w:style>
  <w:style w:type="character" w:styleId="Voetnootmarkering">
    <w:name w:val="footnote reference"/>
    <w:basedOn w:val="Standaardalinea-lettertype"/>
    <w:uiPriority w:val="99"/>
    <w:semiHidden/>
    <w:unhideWhenUsed/>
    <w:rsid w:val="00ED3CF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1121</ap:Words>
  <ap:Characters>6166</ap:Characters>
  <ap:DocSecurity>12</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2015-11-11T14:03:00.0000000Z</lastPrinted>
  <dcterms:created xsi:type="dcterms:W3CDTF">2015-12-16T14:17:00.0000000Z</dcterms:created>
  <dcterms:modified xsi:type="dcterms:W3CDTF">2015-12-16T14:17:00.0000000Z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0x010100715E90C75482D949853EBAAE84714B28</vt:lpwstr>
  </property>
</Properties>
</file>