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565" w:rsidP="002C2565" w:rsidRDefault="002C2565">
      <w:pPr>
        <w:rPr>
          <w:rFonts w:ascii="Verdana" w:hAnsi="Verdana"/>
          <w:sz w:val="18"/>
          <w:szCs w:val="18"/>
        </w:rPr>
      </w:pPr>
      <w:bookmarkStart w:name="_GoBack" w:id="0"/>
      <w:bookmarkEnd w:id="0"/>
    </w:p>
    <w:p w:rsidR="002C2565" w:rsidP="002C2565" w:rsidRDefault="002C256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Bijlage </w:t>
      </w:r>
      <w:r w:rsidR="00AA7096">
        <w:rPr>
          <w:rFonts w:ascii="Verdana" w:hAnsi="Verdana"/>
          <w:sz w:val="18"/>
          <w:szCs w:val="18"/>
        </w:rPr>
        <w:t>2</w:t>
      </w:r>
      <w:r w:rsidR="00E16F0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bij nota naar aanleiding van het verslag Wetsvoorstel doorberekening kosten en toezicht juridische beroepen (</w:t>
      </w:r>
      <w:r w:rsidR="00C72BDE">
        <w:rPr>
          <w:rFonts w:ascii="Verdana" w:hAnsi="Verdana"/>
          <w:sz w:val="18"/>
          <w:szCs w:val="18"/>
        </w:rPr>
        <w:t xml:space="preserve">Kamerstukken </w:t>
      </w:r>
      <w:r>
        <w:rPr>
          <w:rFonts w:ascii="Verdana" w:hAnsi="Verdana"/>
          <w:sz w:val="18"/>
          <w:szCs w:val="18"/>
        </w:rPr>
        <w:t>34</w:t>
      </w:r>
      <w:r w:rsidR="00C72BDE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145)  </w:t>
      </w:r>
    </w:p>
    <w:p w:rsidR="00AA7096" w:rsidP="00AA7096" w:rsidRDefault="00AA7096">
      <w:pPr>
        <w:rPr>
          <w:rFonts w:eastAsia="Times New Roman" w:cstheme="minorHAnsi"/>
          <w:lang w:eastAsia="nl-NL"/>
        </w:rPr>
      </w:pPr>
    </w:p>
    <w:p w:rsidR="00AA7096" w:rsidP="00AA7096" w:rsidRDefault="00AA7096">
      <w:pPr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t xml:space="preserve">In het onderstaande overzicht </w:t>
      </w:r>
      <w:r w:rsidR="00C72BDE">
        <w:rPr>
          <w:rFonts w:eastAsia="Times New Roman" w:cstheme="minorHAnsi"/>
          <w:lang w:eastAsia="nl-NL"/>
        </w:rPr>
        <w:t>worden</w:t>
      </w:r>
      <w:r w:rsidR="007D1DD3">
        <w:rPr>
          <w:rFonts w:eastAsia="Times New Roman" w:cstheme="minorHAnsi"/>
          <w:lang w:eastAsia="nl-NL"/>
        </w:rPr>
        <w:t xml:space="preserve"> </w:t>
      </w:r>
      <w:r>
        <w:rPr>
          <w:rFonts w:eastAsia="Times New Roman" w:cstheme="minorHAnsi"/>
          <w:lang w:eastAsia="nl-NL"/>
        </w:rPr>
        <w:t>de kosten weergegeven over de periode 2010 – 2014 v</w:t>
      </w:r>
      <w:r w:rsidR="00C72BDE">
        <w:rPr>
          <w:rFonts w:eastAsia="Times New Roman" w:cstheme="minorHAnsi"/>
          <w:lang w:eastAsia="nl-NL"/>
        </w:rPr>
        <w:t>an</w:t>
      </w:r>
      <w:r>
        <w:rPr>
          <w:rFonts w:eastAsia="Times New Roman" w:cstheme="minorHAnsi"/>
          <w:lang w:eastAsia="nl-NL"/>
        </w:rPr>
        <w:t xml:space="preserve"> het </w:t>
      </w:r>
      <w:r w:rsidR="00C72BDE">
        <w:rPr>
          <w:rFonts w:eastAsia="Times New Roman" w:cstheme="minorHAnsi"/>
          <w:lang w:eastAsia="nl-NL"/>
        </w:rPr>
        <w:t>C</w:t>
      </w:r>
      <w:r>
        <w:rPr>
          <w:rFonts w:eastAsia="Times New Roman" w:cstheme="minorHAnsi"/>
          <w:lang w:eastAsia="nl-NL"/>
        </w:rPr>
        <w:t xml:space="preserve">ollege van </w:t>
      </w:r>
      <w:r w:rsidR="00C72BDE">
        <w:rPr>
          <w:rFonts w:eastAsia="Times New Roman" w:cstheme="minorHAnsi"/>
          <w:lang w:eastAsia="nl-NL"/>
        </w:rPr>
        <w:t>B</w:t>
      </w:r>
      <w:r>
        <w:rPr>
          <w:rFonts w:eastAsia="Times New Roman" w:cstheme="minorHAnsi"/>
          <w:lang w:eastAsia="nl-NL"/>
        </w:rPr>
        <w:t xml:space="preserve">eroep voor het bedrijfsleven, de bijzondere kamers bij de rechtspraak (deze kamers </w:t>
      </w:r>
      <w:r w:rsidR="00C72BDE">
        <w:rPr>
          <w:rFonts w:eastAsia="Times New Roman" w:cstheme="minorHAnsi"/>
          <w:lang w:eastAsia="nl-NL"/>
        </w:rPr>
        <w:t xml:space="preserve">maken geen onderdeel uit van </w:t>
      </w:r>
      <w:r>
        <w:rPr>
          <w:rFonts w:eastAsia="Times New Roman" w:cstheme="minorHAnsi"/>
          <w:lang w:eastAsia="nl-NL"/>
        </w:rPr>
        <w:t>de outputbekostiging</w:t>
      </w:r>
      <w:r w:rsidR="00C72BDE">
        <w:rPr>
          <w:rFonts w:eastAsia="Times New Roman" w:cstheme="minorHAnsi"/>
          <w:lang w:eastAsia="nl-NL"/>
        </w:rPr>
        <w:t xml:space="preserve"> van de re</w:t>
      </w:r>
      <w:r w:rsidR="007D1DD3">
        <w:rPr>
          <w:rFonts w:eastAsia="Times New Roman" w:cstheme="minorHAnsi"/>
          <w:lang w:eastAsia="nl-NL"/>
        </w:rPr>
        <w:t>g</w:t>
      </w:r>
      <w:r w:rsidR="00C72BDE">
        <w:rPr>
          <w:rFonts w:eastAsia="Times New Roman" w:cstheme="minorHAnsi"/>
          <w:lang w:eastAsia="nl-NL"/>
        </w:rPr>
        <w:t>uliere rechtspraak</w:t>
      </w:r>
      <w:r>
        <w:rPr>
          <w:rFonts w:eastAsia="Times New Roman" w:cstheme="minorHAnsi"/>
          <w:lang w:eastAsia="nl-NL"/>
        </w:rPr>
        <w:t>) en de grotere tuchtcolleges.</w:t>
      </w:r>
    </w:p>
    <w:p w:rsidRPr="00021EB5" w:rsidR="00AA7096" w:rsidP="00AA7096" w:rsidRDefault="00AA7096">
      <w:pPr>
        <w:tabs>
          <w:tab w:val="right" w:pos="8931"/>
        </w:tabs>
        <w:rPr>
          <w:rFonts w:eastAsia="Times New Roman" w:cstheme="minorHAnsi"/>
          <w:sz w:val="16"/>
          <w:szCs w:val="16"/>
          <w:lang w:eastAsia="nl-NL"/>
        </w:rPr>
      </w:pPr>
      <w:r w:rsidRPr="00021EB5">
        <w:rPr>
          <w:rFonts w:eastAsia="Times New Roman" w:cstheme="minorHAnsi"/>
          <w:sz w:val="16"/>
          <w:szCs w:val="16"/>
          <w:lang w:eastAsia="nl-NL"/>
        </w:rPr>
        <w:tab/>
        <w:t>(bedragen x € 1,0 mln.)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8"/>
        <w:gridCol w:w="941"/>
        <w:gridCol w:w="942"/>
        <w:gridCol w:w="942"/>
        <w:gridCol w:w="942"/>
        <w:gridCol w:w="1343"/>
      </w:tblGrid>
      <w:tr w:rsidRPr="005F4CBB" w:rsidR="00AA7096" w:rsidTr="001878B0">
        <w:trPr>
          <w:trHeight w:val="300"/>
        </w:trPr>
        <w:tc>
          <w:tcPr>
            <w:tcW w:w="4178" w:type="dxa"/>
            <w:shd w:val="clear" w:color="auto" w:fill="FDE9D9" w:themeFill="accent6" w:themeFillTint="33"/>
            <w:noWrap/>
            <w:hideMark/>
          </w:tcPr>
          <w:p w:rsidRPr="005F4CBB" w:rsidR="00AA7096" w:rsidP="001878B0" w:rsidRDefault="00AA7096">
            <w:pP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nl-NL"/>
              </w:rPr>
            </w:pPr>
          </w:p>
        </w:tc>
        <w:tc>
          <w:tcPr>
            <w:tcW w:w="941" w:type="dxa"/>
            <w:shd w:val="clear" w:color="auto" w:fill="FDE9D9" w:themeFill="accent6" w:themeFillTint="33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  <w:t>2010</w:t>
            </w:r>
          </w:p>
        </w:tc>
        <w:tc>
          <w:tcPr>
            <w:tcW w:w="942" w:type="dxa"/>
            <w:shd w:val="clear" w:color="auto" w:fill="FDE9D9" w:themeFill="accent6" w:themeFillTint="33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  <w:t>2011</w:t>
            </w:r>
          </w:p>
        </w:tc>
        <w:tc>
          <w:tcPr>
            <w:tcW w:w="942" w:type="dxa"/>
            <w:shd w:val="clear" w:color="auto" w:fill="FDE9D9" w:themeFill="accent6" w:themeFillTint="33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  <w:t>2012</w:t>
            </w:r>
          </w:p>
        </w:tc>
        <w:tc>
          <w:tcPr>
            <w:tcW w:w="942" w:type="dxa"/>
            <w:shd w:val="clear" w:color="auto" w:fill="FDE9D9" w:themeFill="accent6" w:themeFillTint="33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  <w:t>2013</w:t>
            </w:r>
          </w:p>
        </w:tc>
        <w:tc>
          <w:tcPr>
            <w:tcW w:w="1343" w:type="dxa"/>
            <w:shd w:val="clear" w:color="auto" w:fill="FDE9D9" w:themeFill="accent6" w:themeFillTint="33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  <w:t>2014</w:t>
            </w:r>
          </w:p>
        </w:tc>
      </w:tr>
      <w:tr w:rsidRPr="005F4CBB" w:rsidR="00AA7096" w:rsidTr="001878B0">
        <w:trPr>
          <w:trHeight w:val="300"/>
        </w:trPr>
        <w:tc>
          <w:tcPr>
            <w:tcW w:w="4178" w:type="dxa"/>
            <w:noWrap/>
            <w:hideMark/>
          </w:tcPr>
          <w:p w:rsidRPr="005F4CBB" w:rsidR="00AA7096" w:rsidP="001878B0" w:rsidRDefault="00AA7096">
            <w:pP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nl-NL"/>
              </w:rPr>
            </w:pPr>
          </w:p>
        </w:tc>
        <w:tc>
          <w:tcPr>
            <w:tcW w:w="941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</w:pPr>
          </w:p>
        </w:tc>
        <w:tc>
          <w:tcPr>
            <w:tcW w:w="942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</w:pPr>
          </w:p>
        </w:tc>
        <w:tc>
          <w:tcPr>
            <w:tcW w:w="942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</w:pPr>
          </w:p>
        </w:tc>
        <w:tc>
          <w:tcPr>
            <w:tcW w:w="942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</w:pPr>
          </w:p>
        </w:tc>
        <w:tc>
          <w:tcPr>
            <w:tcW w:w="1343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</w:pPr>
          </w:p>
        </w:tc>
      </w:tr>
      <w:tr w:rsidRPr="005F4CBB" w:rsidR="00AA7096" w:rsidTr="001878B0">
        <w:trPr>
          <w:trHeight w:val="300"/>
        </w:trPr>
        <w:tc>
          <w:tcPr>
            <w:tcW w:w="4178" w:type="dxa"/>
            <w:noWrap/>
            <w:hideMark/>
          </w:tcPr>
          <w:p w:rsidRPr="005F4CBB" w:rsidR="00AA7096" w:rsidP="001878B0" w:rsidRDefault="00AA7096">
            <w:pPr>
              <w:rPr>
                <w:rFonts w:eastAsia="Times New Roman" w:cstheme="minorHAnsi"/>
                <w:bCs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bCs/>
                <w:sz w:val="18"/>
                <w:szCs w:val="18"/>
                <w:lang w:eastAsia="nl-NL"/>
              </w:rPr>
              <w:t>College van Beroep voor het bedrijfsleven</w:t>
            </w:r>
            <w:r>
              <w:rPr>
                <w:rFonts w:eastAsia="Times New Roman" w:cstheme="minorHAnsi"/>
                <w:bCs/>
                <w:sz w:val="18"/>
                <w:szCs w:val="18"/>
                <w:lang w:eastAsia="nl-NL"/>
              </w:rPr>
              <w:t xml:space="preserve"> (totaal)</w:t>
            </w:r>
          </w:p>
        </w:tc>
        <w:tc>
          <w:tcPr>
            <w:tcW w:w="941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6,1</w:t>
            </w:r>
          </w:p>
        </w:tc>
        <w:tc>
          <w:tcPr>
            <w:tcW w:w="942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6,6</w:t>
            </w:r>
          </w:p>
        </w:tc>
        <w:tc>
          <w:tcPr>
            <w:tcW w:w="942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6,7</w:t>
            </w:r>
          </w:p>
        </w:tc>
        <w:tc>
          <w:tcPr>
            <w:tcW w:w="942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6,7</w:t>
            </w:r>
          </w:p>
        </w:tc>
        <w:tc>
          <w:tcPr>
            <w:tcW w:w="1343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6,5</w:t>
            </w:r>
          </w:p>
        </w:tc>
      </w:tr>
      <w:tr w:rsidRPr="005F4CBB" w:rsidR="00AA7096" w:rsidTr="00A877AC">
        <w:trPr>
          <w:trHeight w:val="415"/>
        </w:trPr>
        <w:tc>
          <w:tcPr>
            <w:tcW w:w="4178" w:type="dxa"/>
            <w:noWrap/>
            <w:hideMark/>
          </w:tcPr>
          <w:p w:rsidRPr="005F4CBB" w:rsidR="00AA7096" w:rsidP="001878B0" w:rsidRDefault="00AA7096">
            <w:pPr>
              <w:rPr>
                <w:rFonts w:eastAsia="Times New Roman" w:cstheme="minorHAnsi"/>
                <w:bCs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bCs/>
                <w:sz w:val="18"/>
                <w:szCs w:val="18"/>
                <w:lang w:eastAsia="nl-NL"/>
              </w:rPr>
              <w:t>Bijzondere Kamers</w:t>
            </w:r>
          </w:p>
        </w:tc>
        <w:tc>
          <w:tcPr>
            <w:tcW w:w="941" w:type="dxa"/>
            <w:noWrap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bCs/>
                <w:sz w:val="18"/>
                <w:szCs w:val="18"/>
                <w:lang w:eastAsia="nl-NL"/>
              </w:rPr>
            </w:pPr>
          </w:p>
        </w:tc>
        <w:tc>
          <w:tcPr>
            <w:tcW w:w="942" w:type="dxa"/>
            <w:noWrap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bCs/>
                <w:sz w:val="18"/>
                <w:szCs w:val="18"/>
                <w:lang w:eastAsia="nl-NL"/>
              </w:rPr>
            </w:pPr>
          </w:p>
        </w:tc>
        <w:tc>
          <w:tcPr>
            <w:tcW w:w="942" w:type="dxa"/>
            <w:noWrap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bCs/>
                <w:sz w:val="18"/>
                <w:szCs w:val="18"/>
                <w:lang w:eastAsia="nl-NL"/>
              </w:rPr>
            </w:pPr>
          </w:p>
        </w:tc>
        <w:tc>
          <w:tcPr>
            <w:tcW w:w="942" w:type="dxa"/>
            <w:noWrap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bCs/>
                <w:sz w:val="18"/>
                <w:szCs w:val="18"/>
                <w:lang w:eastAsia="nl-NL"/>
              </w:rPr>
            </w:pPr>
          </w:p>
        </w:tc>
        <w:tc>
          <w:tcPr>
            <w:tcW w:w="1343" w:type="dxa"/>
            <w:noWrap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bCs/>
                <w:sz w:val="18"/>
                <w:szCs w:val="18"/>
                <w:lang w:eastAsia="nl-NL"/>
              </w:rPr>
            </w:pPr>
          </w:p>
        </w:tc>
      </w:tr>
      <w:tr w:rsidRPr="005F4CBB" w:rsidR="00AA7096" w:rsidTr="001878B0">
        <w:trPr>
          <w:trHeight w:val="300"/>
        </w:trPr>
        <w:tc>
          <w:tcPr>
            <w:tcW w:w="4178" w:type="dxa"/>
            <w:noWrap/>
            <w:hideMark/>
          </w:tcPr>
          <w:p w:rsidRPr="00A877AC" w:rsidR="00AA7096" w:rsidP="00AA7096" w:rsidRDefault="00AA7096">
            <w:pPr>
              <w:pStyle w:val="ListParagraph"/>
              <w:numPr>
                <w:ilvl w:val="0"/>
                <w:numId w:val="1"/>
              </w:numPr>
              <w:ind w:left="227" w:hanging="227"/>
              <w:contextualSpacing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A877AC">
              <w:rPr>
                <w:rFonts w:eastAsia="Times New Roman" w:cstheme="minorHAnsi"/>
                <w:sz w:val="18"/>
                <w:szCs w:val="18"/>
                <w:lang w:eastAsia="nl-NL"/>
              </w:rPr>
              <w:t>Mulderzaken (incl. hof)</w:t>
            </w:r>
          </w:p>
        </w:tc>
        <w:tc>
          <w:tcPr>
            <w:tcW w:w="941" w:type="dxa"/>
            <w:noWrap/>
            <w:hideMark/>
          </w:tcPr>
          <w:p w:rsidRPr="00A877AC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A877AC">
              <w:rPr>
                <w:rFonts w:eastAsia="Times New Roman" w:cstheme="minorHAnsi"/>
                <w:sz w:val="18"/>
                <w:szCs w:val="18"/>
                <w:lang w:eastAsia="nl-NL"/>
              </w:rPr>
              <w:t>2,2</w:t>
            </w:r>
          </w:p>
        </w:tc>
        <w:tc>
          <w:tcPr>
            <w:tcW w:w="942" w:type="dxa"/>
            <w:noWrap/>
            <w:hideMark/>
          </w:tcPr>
          <w:p w:rsidRPr="00A877AC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A877AC">
              <w:rPr>
                <w:rFonts w:eastAsia="Times New Roman" w:cstheme="minorHAnsi"/>
                <w:sz w:val="18"/>
                <w:szCs w:val="18"/>
                <w:lang w:eastAsia="nl-NL"/>
              </w:rPr>
              <w:t>1,4</w:t>
            </w:r>
          </w:p>
        </w:tc>
        <w:tc>
          <w:tcPr>
            <w:tcW w:w="942" w:type="dxa"/>
            <w:noWrap/>
            <w:hideMark/>
          </w:tcPr>
          <w:p w:rsidRPr="00A877AC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A877AC">
              <w:rPr>
                <w:rFonts w:eastAsia="Times New Roman" w:cstheme="minorHAnsi"/>
                <w:sz w:val="18"/>
                <w:szCs w:val="18"/>
                <w:lang w:eastAsia="nl-NL"/>
              </w:rPr>
              <w:t>1,4</w:t>
            </w:r>
          </w:p>
        </w:tc>
        <w:tc>
          <w:tcPr>
            <w:tcW w:w="942" w:type="dxa"/>
            <w:noWrap/>
            <w:hideMark/>
          </w:tcPr>
          <w:p w:rsidRPr="00A877AC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A877AC">
              <w:rPr>
                <w:rFonts w:eastAsia="Times New Roman" w:cstheme="minorHAnsi"/>
                <w:sz w:val="18"/>
                <w:szCs w:val="18"/>
                <w:lang w:eastAsia="nl-NL"/>
              </w:rPr>
              <w:t>2,1</w:t>
            </w:r>
          </w:p>
        </w:tc>
        <w:tc>
          <w:tcPr>
            <w:tcW w:w="1343" w:type="dxa"/>
            <w:noWrap/>
            <w:hideMark/>
          </w:tcPr>
          <w:p w:rsidRPr="00A877AC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A877AC">
              <w:rPr>
                <w:rFonts w:eastAsia="Times New Roman" w:cstheme="minorHAnsi"/>
                <w:sz w:val="18"/>
                <w:szCs w:val="18"/>
                <w:lang w:eastAsia="nl-NL"/>
              </w:rPr>
              <w:t>2,1</w:t>
            </w:r>
          </w:p>
        </w:tc>
      </w:tr>
      <w:tr w:rsidRPr="005F4CBB" w:rsidR="00AA7096" w:rsidTr="001878B0">
        <w:trPr>
          <w:trHeight w:val="300"/>
        </w:trPr>
        <w:tc>
          <w:tcPr>
            <w:tcW w:w="4178" w:type="dxa"/>
            <w:noWrap/>
            <w:hideMark/>
          </w:tcPr>
          <w:p w:rsidRPr="005F4CBB" w:rsidR="00AA7096" w:rsidP="00AA7096" w:rsidRDefault="00AA7096">
            <w:pPr>
              <w:pStyle w:val="ListParagraph"/>
              <w:numPr>
                <w:ilvl w:val="0"/>
                <w:numId w:val="1"/>
              </w:numPr>
              <w:ind w:left="227" w:hanging="227"/>
              <w:contextualSpacing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Ondernemingskamer</w:t>
            </w:r>
          </w:p>
        </w:tc>
        <w:tc>
          <w:tcPr>
            <w:tcW w:w="941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1,2</w:t>
            </w:r>
          </w:p>
        </w:tc>
        <w:tc>
          <w:tcPr>
            <w:tcW w:w="942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1,5</w:t>
            </w:r>
          </w:p>
        </w:tc>
        <w:tc>
          <w:tcPr>
            <w:tcW w:w="942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1,4</w:t>
            </w:r>
          </w:p>
        </w:tc>
        <w:tc>
          <w:tcPr>
            <w:tcW w:w="942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1,7</w:t>
            </w:r>
          </w:p>
        </w:tc>
        <w:tc>
          <w:tcPr>
            <w:tcW w:w="1343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1,7</w:t>
            </w:r>
          </w:p>
        </w:tc>
      </w:tr>
      <w:tr w:rsidRPr="005F4CBB" w:rsidR="00AA7096" w:rsidTr="001878B0">
        <w:trPr>
          <w:trHeight w:val="300"/>
        </w:trPr>
        <w:tc>
          <w:tcPr>
            <w:tcW w:w="4178" w:type="dxa"/>
            <w:noWrap/>
            <w:hideMark/>
          </w:tcPr>
          <w:p w:rsidRPr="00A877AC" w:rsidR="00AA7096" w:rsidP="00AA7096" w:rsidRDefault="00AA7096">
            <w:pPr>
              <w:pStyle w:val="ListParagraph"/>
              <w:numPr>
                <w:ilvl w:val="0"/>
                <w:numId w:val="1"/>
              </w:numPr>
              <w:ind w:left="227" w:hanging="227"/>
              <w:contextualSpacing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A877AC">
              <w:rPr>
                <w:rFonts w:eastAsia="Times New Roman" w:cstheme="minorHAnsi"/>
                <w:sz w:val="18"/>
                <w:szCs w:val="18"/>
                <w:lang w:eastAsia="nl-NL"/>
              </w:rPr>
              <w:t>Octrooizaken</w:t>
            </w:r>
            <w:r w:rsidR="00A877AC">
              <w:rPr>
                <w:rFonts w:eastAsia="Times New Roman" w:cstheme="minorHAnsi"/>
                <w:sz w:val="18"/>
                <w:szCs w:val="18"/>
                <w:lang w:eastAsia="nl-NL"/>
              </w:rPr>
              <w:t>*</w:t>
            </w:r>
          </w:p>
        </w:tc>
        <w:tc>
          <w:tcPr>
            <w:tcW w:w="941" w:type="dxa"/>
            <w:noWrap/>
            <w:hideMark/>
          </w:tcPr>
          <w:p w:rsidRPr="00A877AC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A877AC">
              <w:rPr>
                <w:rFonts w:eastAsia="Times New Roman" w:cstheme="minorHAnsi"/>
                <w:sz w:val="18"/>
                <w:szCs w:val="18"/>
                <w:lang w:eastAsia="nl-NL"/>
              </w:rPr>
              <w:t>0,9</w:t>
            </w:r>
          </w:p>
        </w:tc>
        <w:tc>
          <w:tcPr>
            <w:tcW w:w="942" w:type="dxa"/>
            <w:noWrap/>
            <w:hideMark/>
          </w:tcPr>
          <w:p w:rsidRPr="00A877AC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A877AC">
              <w:rPr>
                <w:rFonts w:eastAsia="Times New Roman" w:cstheme="minorHAnsi"/>
                <w:sz w:val="18"/>
                <w:szCs w:val="18"/>
                <w:lang w:eastAsia="nl-NL"/>
              </w:rPr>
              <w:t>1,0</w:t>
            </w:r>
          </w:p>
        </w:tc>
        <w:tc>
          <w:tcPr>
            <w:tcW w:w="942" w:type="dxa"/>
            <w:noWrap/>
            <w:hideMark/>
          </w:tcPr>
          <w:p w:rsidRPr="00A877AC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A877AC">
              <w:rPr>
                <w:rFonts w:eastAsia="Times New Roman" w:cstheme="minorHAnsi"/>
                <w:sz w:val="18"/>
                <w:szCs w:val="18"/>
                <w:lang w:eastAsia="nl-NL"/>
              </w:rPr>
              <w:t>1,3</w:t>
            </w:r>
          </w:p>
        </w:tc>
        <w:tc>
          <w:tcPr>
            <w:tcW w:w="942" w:type="dxa"/>
            <w:noWrap/>
            <w:hideMark/>
          </w:tcPr>
          <w:p w:rsidRPr="00A877AC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A877AC">
              <w:rPr>
                <w:rFonts w:eastAsia="Times New Roman" w:cstheme="minorHAnsi"/>
                <w:sz w:val="18"/>
                <w:szCs w:val="18"/>
                <w:lang w:eastAsia="nl-NL"/>
              </w:rPr>
              <w:t>1,1</w:t>
            </w:r>
          </w:p>
        </w:tc>
        <w:tc>
          <w:tcPr>
            <w:tcW w:w="1343" w:type="dxa"/>
            <w:noWrap/>
            <w:hideMark/>
          </w:tcPr>
          <w:p w:rsidRPr="00A877AC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A877AC">
              <w:rPr>
                <w:rFonts w:eastAsia="Times New Roman" w:cstheme="minorHAnsi"/>
                <w:sz w:val="18"/>
                <w:szCs w:val="18"/>
                <w:lang w:eastAsia="nl-NL"/>
              </w:rPr>
              <w:t>1,3</w:t>
            </w:r>
          </w:p>
        </w:tc>
      </w:tr>
      <w:tr w:rsidRPr="005F4CBB" w:rsidR="00AA7096" w:rsidTr="001878B0">
        <w:trPr>
          <w:trHeight w:val="300"/>
        </w:trPr>
        <w:tc>
          <w:tcPr>
            <w:tcW w:w="4178" w:type="dxa"/>
            <w:noWrap/>
            <w:hideMark/>
          </w:tcPr>
          <w:p w:rsidRPr="00A877AC" w:rsidR="00AA7096" w:rsidP="00AA7096" w:rsidRDefault="00AA7096">
            <w:pPr>
              <w:pStyle w:val="ListParagraph"/>
              <w:numPr>
                <w:ilvl w:val="0"/>
                <w:numId w:val="1"/>
              </w:numPr>
              <w:ind w:left="227" w:hanging="227"/>
              <w:contextualSpacing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A877AC">
              <w:rPr>
                <w:rFonts w:eastAsia="Times New Roman" w:cstheme="minorHAnsi"/>
                <w:sz w:val="18"/>
                <w:szCs w:val="18"/>
                <w:lang w:eastAsia="nl-NL"/>
              </w:rPr>
              <w:t>Bijzondere Competentie</w:t>
            </w:r>
          </w:p>
        </w:tc>
        <w:tc>
          <w:tcPr>
            <w:tcW w:w="941" w:type="dxa"/>
            <w:noWrap/>
            <w:hideMark/>
          </w:tcPr>
          <w:p w:rsidRPr="00A877AC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A877AC">
              <w:rPr>
                <w:rFonts w:eastAsia="Times New Roman" w:cstheme="minorHAnsi"/>
                <w:sz w:val="18"/>
                <w:szCs w:val="18"/>
                <w:lang w:eastAsia="nl-NL"/>
              </w:rPr>
              <w:t>1,3</w:t>
            </w:r>
          </w:p>
        </w:tc>
        <w:tc>
          <w:tcPr>
            <w:tcW w:w="942" w:type="dxa"/>
            <w:noWrap/>
            <w:hideMark/>
          </w:tcPr>
          <w:p w:rsidRPr="00A877AC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A877AC">
              <w:rPr>
                <w:rFonts w:eastAsia="Times New Roman" w:cstheme="minorHAnsi"/>
                <w:sz w:val="18"/>
                <w:szCs w:val="18"/>
                <w:lang w:eastAsia="nl-NL"/>
              </w:rPr>
              <w:t>0,9</w:t>
            </w:r>
          </w:p>
        </w:tc>
        <w:tc>
          <w:tcPr>
            <w:tcW w:w="942" w:type="dxa"/>
            <w:noWrap/>
            <w:hideMark/>
          </w:tcPr>
          <w:p w:rsidRPr="00A877AC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A877AC">
              <w:rPr>
                <w:rFonts w:eastAsia="Times New Roman" w:cstheme="minorHAnsi"/>
                <w:sz w:val="18"/>
                <w:szCs w:val="18"/>
                <w:lang w:eastAsia="nl-NL"/>
              </w:rPr>
              <w:t>0,8</w:t>
            </w:r>
          </w:p>
        </w:tc>
        <w:tc>
          <w:tcPr>
            <w:tcW w:w="942" w:type="dxa"/>
            <w:noWrap/>
            <w:hideMark/>
          </w:tcPr>
          <w:p w:rsidRPr="00A877AC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A877AC">
              <w:rPr>
                <w:rFonts w:eastAsia="Times New Roman" w:cstheme="minorHAnsi"/>
                <w:sz w:val="18"/>
                <w:szCs w:val="18"/>
                <w:lang w:eastAsia="nl-NL"/>
              </w:rPr>
              <w:t>1,0</w:t>
            </w:r>
          </w:p>
        </w:tc>
        <w:tc>
          <w:tcPr>
            <w:tcW w:w="1343" w:type="dxa"/>
            <w:noWrap/>
            <w:hideMark/>
          </w:tcPr>
          <w:p w:rsidRPr="00A877AC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A877AC">
              <w:rPr>
                <w:rFonts w:eastAsia="Times New Roman" w:cstheme="minorHAnsi"/>
                <w:sz w:val="18"/>
                <w:szCs w:val="18"/>
                <w:lang w:eastAsia="nl-NL"/>
              </w:rPr>
              <w:t>1,1</w:t>
            </w:r>
          </w:p>
        </w:tc>
      </w:tr>
      <w:tr w:rsidRPr="005F4CBB" w:rsidR="00AA7096" w:rsidTr="001878B0">
        <w:trPr>
          <w:trHeight w:val="300"/>
        </w:trPr>
        <w:tc>
          <w:tcPr>
            <w:tcW w:w="4178" w:type="dxa"/>
            <w:noWrap/>
            <w:hideMark/>
          </w:tcPr>
          <w:p w:rsidRPr="005F4CBB" w:rsidR="00AA7096" w:rsidP="00AA7096" w:rsidRDefault="00AA7096">
            <w:pPr>
              <w:pStyle w:val="ListParagraph"/>
              <w:numPr>
                <w:ilvl w:val="0"/>
                <w:numId w:val="1"/>
              </w:numPr>
              <w:ind w:left="227" w:hanging="227"/>
              <w:contextualSpacing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Douanekamer (incl. hof)</w:t>
            </w:r>
          </w:p>
        </w:tc>
        <w:tc>
          <w:tcPr>
            <w:tcW w:w="941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1,3</w:t>
            </w:r>
          </w:p>
        </w:tc>
        <w:tc>
          <w:tcPr>
            <w:tcW w:w="942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1,3</w:t>
            </w:r>
          </w:p>
        </w:tc>
        <w:tc>
          <w:tcPr>
            <w:tcW w:w="942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1,3</w:t>
            </w:r>
          </w:p>
        </w:tc>
        <w:tc>
          <w:tcPr>
            <w:tcW w:w="942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1,1</w:t>
            </w:r>
          </w:p>
        </w:tc>
        <w:tc>
          <w:tcPr>
            <w:tcW w:w="1343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1,1</w:t>
            </w:r>
          </w:p>
        </w:tc>
      </w:tr>
      <w:tr w:rsidRPr="005F4CBB" w:rsidR="00AA7096" w:rsidTr="001878B0">
        <w:trPr>
          <w:trHeight w:val="300"/>
        </w:trPr>
        <w:tc>
          <w:tcPr>
            <w:tcW w:w="4178" w:type="dxa"/>
            <w:noWrap/>
            <w:hideMark/>
          </w:tcPr>
          <w:p w:rsidRPr="000B72C5" w:rsidR="00AA7096" w:rsidP="00AA7096" w:rsidRDefault="00AA7096">
            <w:pPr>
              <w:pStyle w:val="ListParagraph"/>
              <w:numPr>
                <w:ilvl w:val="0"/>
                <w:numId w:val="1"/>
              </w:numPr>
              <w:ind w:left="227" w:hanging="227"/>
              <w:contextualSpacing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0B72C5">
              <w:rPr>
                <w:rFonts w:eastAsia="Times New Roman" w:cstheme="minorHAnsi"/>
                <w:sz w:val="18"/>
                <w:szCs w:val="18"/>
                <w:lang w:eastAsia="nl-NL"/>
              </w:rPr>
              <w:t>overige bijzondere kamer</w:t>
            </w:r>
            <w:r w:rsidR="00C72BDE">
              <w:rPr>
                <w:rFonts w:eastAsia="Times New Roman" w:cstheme="minorHAnsi"/>
                <w:sz w:val="18"/>
                <w:szCs w:val="18"/>
                <w:lang w:eastAsia="nl-NL"/>
              </w:rPr>
              <w:t>s</w:t>
            </w:r>
            <w:r>
              <w:rPr>
                <w:rFonts w:eastAsia="Times New Roman" w:cstheme="minorHAnsi"/>
                <w:sz w:val="18"/>
                <w:szCs w:val="18"/>
                <w:lang w:eastAsia="nl-NL"/>
              </w:rPr>
              <w:t>*</w:t>
            </w:r>
            <w:r w:rsidR="00A877AC">
              <w:rPr>
                <w:rFonts w:eastAsia="Times New Roman" w:cstheme="minorHAnsi"/>
                <w:sz w:val="18"/>
                <w:szCs w:val="18"/>
                <w:lang w:eastAsia="nl-NL"/>
              </w:rPr>
              <w:t>*</w:t>
            </w:r>
          </w:p>
        </w:tc>
        <w:tc>
          <w:tcPr>
            <w:tcW w:w="941" w:type="dxa"/>
            <w:noWrap/>
            <w:hideMark/>
          </w:tcPr>
          <w:p w:rsidRPr="000B72C5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0B72C5">
              <w:rPr>
                <w:rFonts w:eastAsia="Times New Roman" w:cstheme="minorHAnsi"/>
                <w:sz w:val="18"/>
                <w:szCs w:val="18"/>
                <w:lang w:eastAsia="nl-NL"/>
              </w:rPr>
              <w:t>1,1</w:t>
            </w:r>
          </w:p>
        </w:tc>
        <w:tc>
          <w:tcPr>
            <w:tcW w:w="942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1,0</w:t>
            </w:r>
          </w:p>
        </w:tc>
        <w:tc>
          <w:tcPr>
            <w:tcW w:w="942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1,1</w:t>
            </w:r>
          </w:p>
        </w:tc>
        <w:tc>
          <w:tcPr>
            <w:tcW w:w="942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1,2</w:t>
            </w:r>
          </w:p>
        </w:tc>
        <w:tc>
          <w:tcPr>
            <w:tcW w:w="1343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1,2</w:t>
            </w:r>
          </w:p>
        </w:tc>
      </w:tr>
      <w:tr w:rsidRPr="005F4CBB" w:rsidR="00AA7096" w:rsidTr="001878B0">
        <w:trPr>
          <w:trHeight w:val="300"/>
        </w:trPr>
        <w:tc>
          <w:tcPr>
            <w:tcW w:w="4178" w:type="dxa"/>
            <w:noWrap/>
            <w:hideMark/>
          </w:tcPr>
          <w:p w:rsidRPr="005F4CBB" w:rsidR="00AA7096" w:rsidP="001878B0" w:rsidRDefault="00AA7096">
            <w:pPr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tuchtrecht BIG-geregistreerden (via VWS)</w:t>
            </w:r>
          </w:p>
        </w:tc>
        <w:tc>
          <w:tcPr>
            <w:tcW w:w="941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4,2</w:t>
            </w:r>
          </w:p>
        </w:tc>
        <w:tc>
          <w:tcPr>
            <w:tcW w:w="942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4,8</w:t>
            </w:r>
          </w:p>
        </w:tc>
        <w:tc>
          <w:tcPr>
            <w:tcW w:w="942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4,4</w:t>
            </w:r>
          </w:p>
        </w:tc>
        <w:tc>
          <w:tcPr>
            <w:tcW w:w="942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4,6</w:t>
            </w:r>
          </w:p>
        </w:tc>
        <w:tc>
          <w:tcPr>
            <w:tcW w:w="1343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6,2</w:t>
            </w:r>
          </w:p>
        </w:tc>
      </w:tr>
      <w:tr w:rsidRPr="005F4CBB" w:rsidR="00AA7096" w:rsidTr="001878B0">
        <w:trPr>
          <w:trHeight w:val="300"/>
        </w:trPr>
        <w:tc>
          <w:tcPr>
            <w:tcW w:w="4178" w:type="dxa"/>
            <w:noWrap/>
            <w:hideMark/>
          </w:tcPr>
          <w:p w:rsidRPr="005F4CBB" w:rsidR="00AA7096" w:rsidP="001878B0" w:rsidRDefault="00AA7096">
            <w:pPr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accountantskamer (via Financiën)</w:t>
            </w:r>
          </w:p>
        </w:tc>
        <w:tc>
          <w:tcPr>
            <w:tcW w:w="941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0,6</w:t>
            </w:r>
          </w:p>
        </w:tc>
        <w:tc>
          <w:tcPr>
            <w:tcW w:w="942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1,2</w:t>
            </w:r>
          </w:p>
        </w:tc>
        <w:tc>
          <w:tcPr>
            <w:tcW w:w="942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0,7</w:t>
            </w:r>
          </w:p>
        </w:tc>
        <w:tc>
          <w:tcPr>
            <w:tcW w:w="942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1,1</w:t>
            </w:r>
          </w:p>
        </w:tc>
        <w:tc>
          <w:tcPr>
            <w:tcW w:w="1343" w:type="dxa"/>
            <w:noWrap/>
            <w:hideMark/>
          </w:tcPr>
          <w:p w:rsidRPr="005F4CBB" w:rsidR="00AA7096" w:rsidP="001878B0" w:rsidRDefault="00AA7096">
            <w:pPr>
              <w:jc w:val="right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5F4CBB">
              <w:rPr>
                <w:rFonts w:eastAsia="Times New Roman" w:cstheme="minorHAnsi"/>
                <w:sz w:val="18"/>
                <w:szCs w:val="18"/>
                <w:lang w:eastAsia="nl-NL"/>
              </w:rPr>
              <w:t>1,0</w:t>
            </w:r>
          </w:p>
        </w:tc>
      </w:tr>
    </w:tbl>
    <w:p w:rsidR="00A877AC" w:rsidP="00AA7096" w:rsidRDefault="00A877AC">
      <w:pPr>
        <w:rPr>
          <w:rFonts w:eastAsia="Times New Roman" w:cstheme="minorHAnsi"/>
          <w:sz w:val="20"/>
          <w:szCs w:val="20"/>
          <w:lang w:eastAsia="nl-NL"/>
        </w:rPr>
      </w:pPr>
      <w:r>
        <w:rPr>
          <w:rFonts w:eastAsia="Times New Roman" w:cstheme="minorHAnsi"/>
          <w:sz w:val="20"/>
          <w:szCs w:val="20"/>
          <w:lang w:eastAsia="nl-NL"/>
        </w:rPr>
        <w:t>*</w:t>
      </w:r>
      <w:r w:rsidRPr="00A877AC">
        <w:t xml:space="preserve"> </w:t>
      </w:r>
      <w:r w:rsidRPr="00A877AC">
        <w:rPr>
          <w:sz w:val="20"/>
          <w:szCs w:val="20"/>
        </w:rPr>
        <w:t>Deze categorie ziet op inhoudelijke octrooizaken en niet op tuchtzaken</w:t>
      </w:r>
      <w:r w:rsidR="00C72BDE">
        <w:rPr>
          <w:sz w:val="20"/>
          <w:szCs w:val="20"/>
        </w:rPr>
        <w:t xml:space="preserve"> voor octrooigemachtigden</w:t>
      </w:r>
      <w:r w:rsidRPr="00A877AC">
        <w:rPr>
          <w:sz w:val="20"/>
          <w:szCs w:val="20"/>
        </w:rPr>
        <w:t>.</w:t>
      </w:r>
    </w:p>
    <w:p w:rsidR="00AA7096" w:rsidP="00AA7096" w:rsidRDefault="00A877AC">
      <w:pPr>
        <w:rPr>
          <w:rFonts w:eastAsia="Times New Roman" w:cstheme="minorHAnsi"/>
          <w:sz w:val="20"/>
          <w:szCs w:val="20"/>
          <w:lang w:eastAsia="nl-NL"/>
        </w:rPr>
      </w:pPr>
      <w:r>
        <w:rPr>
          <w:rFonts w:eastAsia="Times New Roman" w:cstheme="minorHAnsi"/>
          <w:sz w:val="20"/>
          <w:szCs w:val="20"/>
          <w:lang w:eastAsia="nl-NL"/>
        </w:rPr>
        <w:t>*</w:t>
      </w:r>
      <w:r w:rsidR="00AA7096">
        <w:rPr>
          <w:rFonts w:eastAsia="Times New Roman" w:cstheme="minorHAnsi"/>
          <w:sz w:val="20"/>
          <w:szCs w:val="20"/>
          <w:lang w:eastAsia="nl-NL"/>
        </w:rPr>
        <w:t>* Hieronder valt onder meer de grondkamer die pachtzaken behandelt</w:t>
      </w:r>
    </w:p>
    <w:p w:rsidRPr="00B4578A" w:rsidR="00AA7096" w:rsidP="00AA7096" w:rsidRDefault="00AA7096">
      <w:pPr>
        <w:rPr>
          <w:color w:val="4F81BD" w:themeColor="accent1"/>
        </w:rPr>
      </w:pPr>
    </w:p>
    <w:p w:rsidR="00AA7096" w:rsidP="002C2565" w:rsidRDefault="00AA7096">
      <w:pPr>
        <w:rPr>
          <w:rFonts w:ascii="Verdana" w:hAnsi="Verdana"/>
          <w:sz w:val="18"/>
          <w:szCs w:val="18"/>
        </w:rPr>
      </w:pPr>
    </w:p>
    <w:sectPr w:rsidR="00AA709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F3D"/>
    <w:multiLevelType w:val="hybridMultilevel"/>
    <w:tmpl w:val="5CCA3EF0"/>
    <w:lvl w:ilvl="0" w:tplc="27B00C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565"/>
    <w:rsid w:val="000C272D"/>
    <w:rsid w:val="0010441E"/>
    <w:rsid w:val="002C2565"/>
    <w:rsid w:val="003556FB"/>
    <w:rsid w:val="00494E45"/>
    <w:rsid w:val="007D1DD3"/>
    <w:rsid w:val="00A26355"/>
    <w:rsid w:val="00A877AC"/>
    <w:rsid w:val="00AA7096"/>
    <w:rsid w:val="00BC5C65"/>
    <w:rsid w:val="00C72BDE"/>
    <w:rsid w:val="00D76F7E"/>
    <w:rsid w:val="00E1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2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C25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25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256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5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7096"/>
    <w:pPr>
      <w:spacing w:after="0" w:line="240" w:lineRule="auto"/>
      <w:ind w:left="720"/>
    </w:pPr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BD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2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C25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25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256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5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7096"/>
    <w:pPr>
      <w:spacing w:after="0" w:line="240" w:lineRule="auto"/>
      <w:ind w:left="720"/>
    </w:pPr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B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microsoft.com/office/2007/relationships/stylesWithEffects" Target="stylesWithEffect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175</ap:Words>
  <ap:Characters>966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2015-12-09T08:09:00.0000000Z</dcterms:created>
  <dcterms:modified xsi:type="dcterms:W3CDTF">2015-12-09T08:09:00.0000000Z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0x010100F4C9FFF4C4FE1240A93E0154E9DC6F29</vt:lpwstr>
  </property>
</Properties>
</file>