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75" w:rsidP="00C33E41" w:rsidRDefault="00030E75" w14:paraId="71045B14" w14:textId="0F8ECDFC">
      <w:pPr>
        <w:spacing w:after="120"/>
        <w:jc w:val="both"/>
        <w:rPr>
          <w:b/>
          <w:lang w:val="nl-NL"/>
        </w:rPr>
      </w:pPr>
      <w:r w:rsidRPr="002400BB">
        <w:rPr>
          <w:b/>
          <w:lang w:val="nl-NL"/>
        </w:rPr>
        <w:t>NOTITIE</w:t>
      </w:r>
    </w:p>
    <w:p w:rsidRPr="002400BB" w:rsidR="00327EE6" w:rsidP="00C33E41" w:rsidRDefault="00327EE6" w14:paraId="2264C964" w14:textId="427258BB">
      <w:pPr>
        <w:spacing w:after="120"/>
        <w:jc w:val="both"/>
        <w:rPr>
          <w:b/>
          <w:lang w:val="nl-NL"/>
        </w:rPr>
      </w:pPr>
      <w:r>
        <w:rPr>
          <w:b/>
          <w:lang w:val="nl-NL"/>
        </w:rPr>
        <w:t>prof. mr. G-J. Zwenne (Universiteit Leiden, Bird &amp; Bird LLP)</w:t>
      </w:r>
    </w:p>
    <w:p w:rsidRPr="002400BB" w:rsidR="00C33E41" w:rsidP="00C33E41" w:rsidRDefault="00F17E47" w14:paraId="7F900CC7" w14:textId="08779831">
      <w:pPr>
        <w:pStyle w:val="Lijstalinea"/>
        <w:numPr>
          <w:ilvl w:val="0"/>
          <w:numId w:val="2"/>
        </w:numPr>
        <w:tabs>
          <w:tab w:val="left" w:pos="426"/>
        </w:tabs>
        <w:spacing w:after="120"/>
        <w:ind w:left="426" w:hanging="284"/>
        <w:contextualSpacing w:val="0"/>
        <w:jc w:val="both"/>
        <w:rPr>
          <w:lang w:val="nl-NL"/>
        </w:rPr>
      </w:pPr>
      <w:r w:rsidRPr="002400BB">
        <w:rPr>
          <w:lang w:val="nl-NL"/>
        </w:rPr>
        <w:t>Over de argumentatie van het Hof van Justitie van de Europese Unie valt veel te ze</w:t>
      </w:r>
      <w:r w:rsidRPr="002400BB">
        <w:rPr>
          <w:lang w:val="nl-NL"/>
        </w:rPr>
        <w:t>g</w:t>
      </w:r>
      <w:r w:rsidRPr="002400BB">
        <w:rPr>
          <w:lang w:val="nl-NL"/>
        </w:rPr>
        <w:t xml:space="preserve">gen. </w:t>
      </w:r>
      <w:r w:rsidR="00327EE6">
        <w:rPr>
          <w:lang w:val="nl-NL"/>
        </w:rPr>
        <w:t xml:space="preserve">Onverwacht was </w:t>
      </w:r>
      <w:r w:rsidRPr="002400BB">
        <w:rPr>
          <w:lang w:val="nl-NL"/>
        </w:rPr>
        <w:t xml:space="preserve">de uitspraak </w:t>
      </w:r>
      <w:r w:rsidR="00327EE6">
        <w:rPr>
          <w:lang w:val="nl-NL"/>
        </w:rPr>
        <w:t xml:space="preserve">echter </w:t>
      </w:r>
      <w:r w:rsidRPr="002400BB">
        <w:rPr>
          <w:lang w:val="nl-NL"/>
        </w:rPr>
        <w:t xml:space="preserve">niet. De uitspraak sluit </w:t>
      </w:r>
      <w:r w:rsidRPr="002400BB" w:rsidR="00493413">
        <w:rPr>
          <w:lang w:val="nl-NL"/>
        </w:rPr>
        <w:t xml:space="preserve">inhoudelijk </w:t>
      </w:r>
      <w:r w:rsidRPr="002400BB">
        <w:rPr>
          <w:lang w:val="nl-NL"/>
        </w:rPr>
        <w:t xml:space="preserve">aan bij eerdere </w:t>
      </w:r>
      <w:r w:rsidR="00327EE6">
        <w:rPr>
          <w:lang w:val="nl-NL"/>
        </w:rPr>
        <w:t xml:space="preserve">recente </w:t>
      </w:r>
      <w:r w:rsidRPr="002400BB">
        <w:rPr>
          <w:lang w:val="nl-NL"/>
        </w:rPr>
        <w:t>arresten</w:t>
      </w:r>
      <w:r w:rsidR="00327EE6">
        <w:rPr>
          <w:lang w:val="nl-NL"/>
        </w:rPr>
        <w:t xml:space="preserve"> van het Hof</w:t>
      </w:r>
      <w:r w:rsidRPr="002400BB">
        <w:rPr>
          <w:lang w:val="nl-NL"/>
        </w:rPr>
        <w:t>, zoals natuur</w:t>
      </w:r>
      <w:r w:rsidRPr="002400BB" w:rsidR="00C33E41">
        <w:rPr>
          <w:lang w:val="nl-NL"/>
        </w:rPr>
        <w:t>lijk het dataretentie-arrest (</w:t>
      </w:r>
      <w:proofErr w:type="spellStart"/>
      <w:r w:rsidRPr="002400BB" w:rsidR="00C33E41">
        <w:rPr>
          <w:lang w:val="nl-NL"/>
        </w:rPr>
        <w:t>Hv</w:t>
      </w:r>
      <w:r w:rsidRPr="002400BB">
        <w:rPr>
          <w:lang w:val="nl-NL"/>
        </w:rPr>
        <w:t>JEU</w:t>
      </w:r>
      <w:proofErr w:type="spellEnd"/>
      <w:r w:rsidRPr="002400BB">
        <w:rPr>
          <w:lang w:val="nl-NL"/>
        </w:rPr>
        <w:t xml:space="preserve"> 8 april 2014 C-293/12 en C-594/12) waarin de richtlijn bewaarplicht o</w:t>
      </w:r>
      <w:r w:rsidRPr="002400BB">
        <w:rPr>
          <w:lang w:val="nl-NL"/>
        </w:rPr>
        <w:t>n</w:t>
      </w:r>
      <w:r w:rsidRPr="002400BB">
        <w:rPr>
          <w:lang w:val="nl-NL"/>
        </w:rPr>
        <w:t xml:space="preserve">geldig werd verklaard om min-of-meer </w:t>
      </w:r>
      <w:r w:rsidRPr="002400BB" w:rsidR="00C33E41">
        <w:rPr>
          <w:lang w:val="nl-NL"/>
        </w:rPr>
        <w:t xml:space="preserve">(of: grotendeels) </w:t>
      </w:r>
      <w:r w:rsidRPr="002400BB">
        <w:rPr>
          <w:lang w:val="nl-NL"/>
        </w:rPr>
        <w:t xml:space="preserve">dezelfde redenen als die waarom de safe </w:t>
      </w:r>
      <w:proofErr w:type="spellStart"/>
      <w:r w:rsidRPr="002400BB">
        <w:rPr>
          <w:lang w:val="nl-NL"/>
        </w:rPr>
        <w:t>harbor</w:t>
      </w:r>
      <w:proofErr w:type="spellEnd"/>
      <w:r w:rsidRPr="002400BB">
        <w:rPr>
          <w:lang w:val="nl-NL"/>
        </w:rPr>
        <w:t xml:space="preserve"> beschikking ongeldig werd verklaard. Zie bijv. de overw</w:t>
      </w:r>
      <w:r w:rsidRPr="002400BB">
        <w:rPr>
          <w:lang w:val="nl-NL"/>
        </w:rPr>
        <w:t>e</w:t>
      </w:r>
      <w:r w:rsidRPr="002400BB">
        <w:rPr>
          <w:lang w:val="nl-NL"/>
        </w:rPr>
        <w:t>gingen</w:t>
      </w:r>
      <w:r w:rsidRPr="002400BB" w:rsidR="00C33E41">
        <w:rPr>
          <w:lang w:val="nl-NL"/>
        </w:rPr>
        <w:t xml:space="preserve"> 39, 58, 78, 87, 91-94 van het safe </w:t>
      </w:r>
      <w:proofErr w:type="spellStart"/>
      <w:r w:rsidRPr="002400BB" w:rsidR="00C33E41">
        <w:rPr>
          <w:lang w:val="nl-NL"/>
        </w:rPr>
        <w:t>harbor</w:t>
      </w:r>
      <w:proofErr w:type="spellEnd"/>
      <w:r w:rsidRPr="002400BB" w:rsidR="00C33E41">
        <w:rPr>
          <w:lang w:val="nl-NL"/>
        </w:rPr>
        <w:t xml:space="preserve"> arrest waarin het Hof zelf verwijst naar het datarete</w:t>
      </w:r>
      <w:r w:rsidRPr="002400BB" w:rsidR="00C33E41">
        <w:rPr>
          <w:lang w:val="nl-NL"/>
        </w:rPr>
        <w:t>n</w:t>
      </w:r>
      <w:r w:rsidRPr="002400BB" w:rsidR="00C33E41">
        <w:rPr>
          <w:lang w:val="nl-NL"/>
        </w:rPr>
        <w:t>tie-arrest.</w:t>
      </w:r>
    </w:p>
    <w:p w:rsidRPr="002400BB" w:rsidR="001F7AC9" w:rsidP="00C33E41" w:rsidRDefault="00C33E41" w14:paraId="4F26FC2F" w14:textId="7BDDC7B5">
      <w:pPr>
        <w:pStyle w:val="Lijstalinea"/>
        <w:numPr>
          <w:ilvl w:val="0"/>
          <w:numId w:val="2"/>
        </w:numPr>
        <w:tabs>
          <w:tab w:val="left" w:pos="426"/>
        </w:tabs>
        <w:spacing w:after="120"/>
        <w:ind w:left="426" w:hanging="284"/>
        <w:contextualSpacing w:val="0"/>
        <w:jc w:val="both"/>
        <w:rPr>
          <w:lang w:val="nl-NL"/>
        </w:rPr>
      </w:pPr>
      <w:r w:rsidRPr="002400BB">
        <w:rPr>
          <w:lang w:val="nl-NL"/>
        </w:rPr>
        <w:t>Ook het Google Spain-arrest kan in die rechtsontwikkeling worden geplaatst. Dat a</w:t>
      </w:r>
      <w:r w:rsidRPr="002400BB">
        <w:rPr>
          <w:lang w:val="nl-NL"/>
        </w:rPr>
        <w:t>r</w:t>
      </w:r>
      <w:r w:rsidRPr="002400BB">
        <w:rPr>
          <w:lang w:val="nl-NL"/>
        </w:rPr>
        <w:t>rest gaat weliswaar over iets heel anders, maar erin heeft het Hof zonder veel voo</w:t>
      </w:r>
      <w:r w:rsidRPr="002400BB">
        <w:rPr>
          <w:lang w:val="nl-NL"/>
        </w:rPr>
        <w:t>r</w:t>
      </w:r>
      <w:r w:rsidRPr="002400BB">
        <w:rPr>
          <w:lang w:val="nl-NL"/>
        </w:rPr>
        <w:t xml:space="preserve">behoud gesteld dat er </w:t>
      </w:r>
      <w:r w:rsidRPr="002400BB" w:rsidR="00493413">
        <w:rPr>
          <w:lang w:val="nl-NL"/>
        </w:rPr>
        <w:t>veel (of: overwegende) betekenis</w:t>
      </w:r>
      <w:r w:rsidRPr="002400BB">
        <w:rPr>
          <w:lang w:val="nl-NL"/>
        </w:rPr>
        <w:t xml:space="preserve"> toekomt aan de in de artikel 7 en 8 van het Handvest beschermde rechten (privacy en gegevensbescherming). Volgens het Hof hebben deze rechten ‘in de regel voorrang’ op andere rechten en b</w:t>
      </w:r>
      <w:r w:rsidRPr="002400BB">
        <w:rPr>
          <w:lang w:val="nl-NL"/>
        </w:rPr>
        <w:t>e</w:t>
      </w:r>
      <w:r w:rsidRPr="002400BB">
        <w:rPr>
          <w:lang w:val="nl-NL"/>
        </w:rPr>
        <w:t>langen.</w:t>
      </w:r>
      <w:r w:rsidRPr="002400BB" w:rsidR="00467ED3">
        <w:rPr>
          <w:lang w:val="nl-NL"/>
        </w:rPr>
        <w:t xml:space="preserve"> Zie </w:t>
      </w:r>
      <w:proofErr w:type="spellStart"/>
      <w:r w:rsidRPr="002400BB" w:rsidR="00467ED3">
        <w:rPr>
          <w:lang w:val="nl-NL"/>
        </w:rPr>
        <w:t>overw</w:t>
      </w:r>
      <w:proofErr w:type="spellEnd"/>
      <w:r w:rsidRPr="002400BB" w:rsidR="00467ED3">
        <w:rPr>
          <w:lang w:val="nl-NL"/>
        </w:rPr>
        <w:t>. 81 van het Google Spain arrest.</w:t>
      </w:r>
    </w:p>
    <w:p w:rsidRPr="002400BB" w:rsidR="00030E75" w:rsidP="00493413" w:rsidRDefault="00467ED3" w14:paraId="599B73A4" w14:textId="6AD7D3FD">
      <w:pPr>
        <w:pStyle w:val="Lijstalinea"/>
        <w:numPr>
          <w:ilvl w:val="0"/>
          <w:numId w:val="2"/>
        </w:numPr>
        <w:tabs>
          <w:tab w:val="left" w:pos="426"/>
        </w:tabs>
        <w:spacing w:after="120"/>
        <w:ind w:left="426" w:hanging="284"/>
        <w:contextualSpacing w:val="0"/>
        <w:jc w:val="both"/>
        <w:rPr>
          <w:lang w:val="nl-NL"/>
        </w:rPr>
      </w:pPr>
      <w:r w:rsidRPr="002400BB">
        <w:rPr>
          <w:lang w:val="nl-NL"/>
        </w:rPr>
        <w:t xml:space="preserve">In deze drie arresten vaart het Hof een opvallende, volgens sommigen als </w:t>
      </w:r>
      <w:r w:rsidRPr="002400BB">
        <w:rPr>
          <w:i/>
          <w:lang w:val="nl-NL"/>
        </w:rPr>
        <w:t>spectac</w:t>
      </w:r>
      <w:r w:rsidRPr="002400BB">
        <w:rPr>
          <w:i/>
          <w:lang w:val="nl-NL"/>
        </w:rPr>
        <w:t>u</w:t>
      </w:r>
      <w:r w:rsidRPr="002400BB">
        <w:rPr>
          <w:i/>
          <w:lang w:val="nl-NL"/>
        </w:rPr>
        <w:t>lair</w:t>
      </w:r>
      <w:r w:rsidRPr="002400BB">
        <w:rPr>
          <w:lang w:val="nl-NL"/>
        </w:rPr>
        <w:t xml:space="preserve"> of zelfs als </w:t>
      </w:r>
      <w:r w:rsidRPr="002400BB">
        <w:rPr>
          <w:i/>
          <w:lang w:val="nl-NL"/>
        </w:rPr>
        <w:t>activistisch</w:t>
      </w:r>
      <w:r w:rsidR="00327EE6">
        <w:rPr>
          <w:lang w:val="nl-NL"/>
        </w:rPr>
        <w:t xml:space="preserve"> te typeren koers (z</w:t>
      </w:r>
      <w:r w:rsidRPr="002400BB">
        <w:rPr>
          <w:lang w:val="nl-NL"/>
        </w:rPr>
        <w:t>ie bijv. het interview met Koen L</w:t>
      </w:r>
      <w:r w:rsidRPr="002400BB">
        <w:rPr>
          <w:lang w:val="nl-NL"/>
        </w:rPr>
        <w:t>e</w:t>
      </w:r>
      <w:r w:rsidRPr="002400BB">
        <w:rPr>
          <w:lang w:val="nl-NL"/>
        </w:rPr>
        <w:t>naerts in NRC van 13 november jl.</w:t>
      </w:r>
      <w:r w:rsidR="00327EE6">
        <w:rPr>
          <w:lang w:val="nl-NL"/>
        </w:rPr>
        <w:t>).</w:t>
      </w:r>
      <w:r w:rsidRPr="002400BB">
        <w:rPr>
          <w:lang w:val="nl-NL"/>
        </w:rPr>
        <w:t xml:space="preserve"> Een verklaring daarvoor---en ik realiseer mij dat dit misschien </w:t>
      </w:r>
      <w:r w:rsidRPr="002400BB" w:rsidR="00493413">
        <w:rPr>
          <w:lang w:val="nl-NL"/>
        </w:rPr>
        <w:t>als wat</w:t>
      </w:r>
      <w:r w:rsidRPr="002400BB">
        <w:rPr>
          <w:lang w:val="nl-NL"/>
        </w:rPr>
        <w:t xml:space="preserve"> suggestief kan worden opgevat---wordt wel </w:t>
      </w:r>
      <w:r w:rsidRPr="002400BB" w:rsidR="00030E75">
        <w:rPr>
          <w:lang w:val="nl-NL"/>
        </w:rPr>
        <w:t xml:space="preserve"> </w:t>
      </w:r>
      <w:r w:rsidRPr="002400BB">
        <w:rPr>
          <w:lang w:val="nl-NL"/>
        </w:rPr>
        <w:t>gezocht in de g</w:t>
      </w:r>
      <w:r w:rsidRPr="002400BB">
        <w:rPr>
          <w:lang w:val="nl-NL"/>
        </w:rPr>
        <w:t>e</w:t>
      </w:r>
      <w:r w:rsidRPr="002400BB">
        <w:rPr>
          <w:lang w:val="nl-NL"/>
        </w:rPr>
        <w:t>dachte dat, als gevolg van de eventuele toetreding van de Europese Unie tot het E</w:t>
      </w:r>
      <w:r w:rsidRPr="002400BB">
        <w:rPr>
          <w:lang w:val="nl-NL"/>
        </w:rPr>
        <w:t>u</w:t>
      </w:r>
      <w:r w:rsidRPr="002400BB">
        <w:rPr>
          <w:lang w:val="nl-NL"/>
        </w:rPr>
        <w:t>ropees Verdrag voor de Rechten van de Mens, het Europees Hof voor de Rechten van Mens</w:t>
      </w:r>
      <w:r w:rsidRPr="002400BB" w:rsidR="00D942A4">
        <w:rPr>
          <w:lang w:val="nl-NL"/>
        </w:rPr>
        <w:t xml:space="preserve"> uit Straatsburg boven het Hof van Justitie van de EU uit Luxem</w:t>
      </w:r>
      <w:r w:rsidR="00327EE6">
        <w:rPr>
          <w:lang w:val="nl-NL"/>
        </w:rPr>
        <w:t>burg zou worden geplaatst</w:t>
      </w:r>
      <w:r w:rsidRPr="002400BB" w:rsidR="00D942A4">
        <w:rPr>
          <w:lang w:val="nl-NL"/>
        </w:rPr>
        <w:t>. Het laatstgenoemde rechtscollege heeft zich daartegen uitgespr</w:t>
      </w:r>
      <w:r w:rsidRPr="002400BB" w:rsidR="00D942A4">
        <w:rPr>
          <w:lang w:val="nl-NL"/>
        </w:rPr>
        <w:t>o</w:t>
      </w:r>
      <w:r w:rsidRPr="002400BB" w:rsidR="00D942A4">
        <w:rPr>
          <w:lang w:val="nl-NL"/>
        </w:rPr>
        <w:t xml:space="preserve">ken. </w:t>
      </w:r>
      <w:r w:rsidRPr="002400BB" w:rsidR="00327EE6">
        <w:rPr>
          <w:lang w:val="nl-NL"/>
        </w:rPr>
        <w:t>Zie CJEU, Press Release No 180/14, Luxembourg, 18 December 2014 &lt;</w:t>
      </w:r>
      <w:hyperlink w:history="1" r:id="rId8">
        <w:r w:rsidRPr="002400BB" w:rsidR="00327EE6">
          <w:rPr>
            <w:rStyle w:val="Hyperlink"/>
            <w:lang w:val="nl-NL"/>
          </w:rPr>
          <w:t>http://www.euractiv.com/sections/eu-priorities-2020/court-justice-rej</w:t>
        </w:r>
        <w:r w:rsidRPr="002400BB" w:rsidR="00327EE6">
          <w:rPr>
            <w:rStyle w:val="Hyperlink"/>
            <w:lang w:val="nl-NL"/>
          </w:rPr>
          <w:t>e</w:t>
        </w:r>
        <w:r w:rsidRPr="002400BB" w:rsidR="00327EE6">
          <w:rPr>
            <w:rStyle w:val="Hyperlink"/>
            <w:lang w:val="nl-NL"/>
          </w:rPr>
          <w:t>cts-draft-agreement-eu-accession-echr-310983</w:t>
        </w:r>
      </w:hyperlink>
      <w:r w:rsidRPr="002400BB" w:rsidR="00327EE6">
        <w:rPr>
          <w:lang w:val="nl-NL"/>
        </w:rPr>
        <w:t>&gt;</w:t>
      </w:r>
      <w:r w:rsidR="00327EE6">
        <w:rPr>
          <w:lang w:val="nl-NL"/>
        </w:rPr>
        <w:t xml:space="preserve">. </w:t>
      </w:r>
      <w:r w:rsidRPr="002400BB" w:rsidR="00D942A4">
        <w:rPr>
          <w:lang w:val="nl-NL"/>
        </w:rPr>
        <w:t xml:space="preserve">De vraag is </w:t>
      </w:r>
      <w:r w:rsidRPr="002400BB" w:rsidR="00AF01E8">
        <w:rPr>
          <w:lang w:val="nl-NL"/>
        </w:rPr>
        <w:t xml:space="preserve">dan </w:t>
      </w:r>
      <w:r w:rsidRPr="002400BB" w:rsidR="00D942A4">
        <w:rPr>
          <w:lang w:val="nl-NL"/>
        </w:rPr>
        <w:t xml:space="preserve">of dat </w:t>
      </w:r>
      <w:r w:rsidRPr="002400BB" w:rsidR="00AF01E8">
        <w:rPr>
          <w:lang w:val="nl-NL"/>
        </w:rPr>
        <w:t xml:space="preserve">misschien ook </w:t>
      </w:r>
      <w:r w:rsidRPr="002400BB" w:rsidR="00D942A4">
        <w:rPr>
          <w:lang w:val="nl-NL"/>
        </w:rPr>
        <w:t>ve</w:t>
      </w:r>
      <w:r w:rsidRPr="002400BB" w:rsidR="00D942A4">
        <w:rPr>
          <w:lang w:val="nl-NL"/>
        </w:rPr>
        <w:t>r</w:t>
      </w:r>
      <w:r w:rsidRPr="002400BB" w:rsidR="00D942A4">
        <w:rPr>
          <w:lang w:val="nl-NL"/>
        </w:rPr>
        <w:t>band houdt met de recente (spectac</w:t>
      </w:r>
      <w:r w:rsidRPr="002400BB" w:rsidR="00D942A4">
        <w:rPr>
          <w:lang w:val="nl-NL"/>
        </w:rPr>
        <w:t>u</w:t>
      </w:r>
      <w:r w:rsidRPr="002400BB" w:rsidR="00D942A4">
        <w:rPr>
          <w:lang w:val="nl-NL"/>
        </w:rPr>
        <w:t>laire of activistische</w:t>
      </w:r>
      <w:r w:rsidRPr="002400BB" w:rsidR="00493413">
        <w:rPr>
          <w:lang w:val="nl-NL"/>
        </w:rPr>
        <w:t xml:space="preserve">) arresten. </w:t>
      </w:r>
    </w:p>
    <w:p w:rsidRPr="002400BB" w:rsidR="00055251" w:rsidP="00493413" w:rsidRDefault="00493413" w14:paraId="3BB03C5C" w14:textId="11714692">
      <w:pPr>
        <w:pStyle w:val="Lijstalinea"/>
        <w:numPr>
          <w:ilvl w:val="0"/>
          <w:numId w:val="2"/>
        </w:numPr>
        <w:tabs>
          <w:tab w:val="left" w:pos="426"/>
        </w:tabs>
        <w:spacing w:after="120"/>
        <w:ind w:left="426" w:hanging="284"/>
        <w:contextualSpacing w:val="0"/>
        <w:jc w:val="both"/>
        <w:rPr>
          <w:lang w:val="nl-NL"/>
        </w:rPr>
      </w:pPr>
      <w:r w:rsidRPr="002400BB">
        <w:rPr>
          <w:lang w:val="nl-NL"/>
        </w:rPr>
        <w:t xml:space="preserve">Als gevolg van de ongeldigverklaring van de safe </w:t>
      </w:r>
      <w:proofErr w:type="spellStart"/>
      <w:r w:rsidRPr="002400BB">
        <w:rPr>
          <w:lang w:val="nl-NL"/>
        </w:rPr>
        <w:t>harbor</w:t>
      </w:r>
      <w:proofErr w:type="spellEnd"/>
      <w:r w:rsidRPr="002400BB">
        <w:rPr>
          <w:lang w:val="nl-NL"/>
        </w:rPr>
        <w:t xml:space="preserve"> beschikking ligt er nu een politiek probleem bij de toezichthouders, in Nederland ons College bescherming persoonsgegevens</w:t>
      </w:r>
      <w:r w:rsidRPr="002400BB" w:rsidR="00AF01E8">
        <w:rPr>
          <w:lang w:val="nl-NL"/>
        </w:rPr>
        <w:t xml:space="preserve">, en bij degenen die persoonsgegevens </w:t>
      </w:r>
      <w:r w:rsidR="00327EE6">
        <w:rPr>
          <w:lang w:val="nl-NL"/>
        </w:rPr>
        <w:t>(</w:t>
      </w:r>
      <w:r w:rsidRPr="002400BB" w:rsidR="00AF01E8">
        <w:rPr>
          <w:lang w:val="nl-NL"/>
        </w:rPr>
        <w:t>laten</w:t>
      </w:r>
      <w:r w:rsidR="00327EE6">
        <w:rPr>
          <w:lang w:val="nl-NL"/>
        </w:rPr>
        <w:t>)</w:t>
      </w:r>
      <w:r w:rsidRPr="002400BB" w:rsidR="00AF01E8">
        <w:rPr>
          <w:lang w:val="nl-NL"/>
        </w:rPr>
        <w:t xml:space="preserve"> verwerken in de Verenigde Staten. </w:t>
      </w:r>
      <w:r w:rsidRPr="002400BB">
        <w:rPr>
          <w:lang w:val="nl-NL"/>
        </w:rPr>
        <w:t xml:space="preserve"> </w:t>
      </w:r>
      <w:r w:rsidRPr="002400BB" w:rsidR="00AF01E8">
        <w:rPr>
          <w:lang w:val="nl-NL"/>
        </w:rPr>
        <w:t>Het ligt voor de hand dat zo een politiek probleem wordt opgelost door de politiek, maar of dat gaat g</w:t>
      </w:r>
      <w:r w:rsidRPr="002400BB" w:rsidR="00AF01E8">
        <w:rPr>
          <w:lang w:val="nl-NL"/>
        </w:rPr>
        <w:t>e</w:t>
      </w:r>
      <w:r w:rsidRPr="002400BB" w:rsidR="00AF01E8">
        <w:rPr>
          <w:lang w:val="nl-NL"/>
        </w:rPr>
        <w:t xml:space="preserve">beuren is onzeker. Onze Minister van Veiligheid en Justitie verwacht </w:t>
      </w:r>
      <w:r w:rsidR="00327EE6">
        <w:rPr>
          <w:lang w:val="nl-NL"/>
        </w:rPr>
        <w:t xml:space="preserve">in elk geval </w:t>
      </w:r>
      <w:r w:rsidRPr="002400BB" w:rsidR="00AF01E8">
        <w:rPr>
          <w:lang w:val="nl-NL"/>
        </w:rPr>
        <w:t>niet dat de onderhandelingen met de VS op zeer korte ter</w:t>
      </w:r>
      <w:r w:rsidR="00327EE6">
        <w:rPr>
          <w:lang w:val="nl-NL"/>
        </w:rPr>
        <w:t>mijn, dus voor 1 februari a.s.,</w:t>
      </w:r>
      <w:r w:rsidRPr="002400BB" w:rsidR="00AF01E8">
        <w:rPr>
          <w:lang w:val="nl-NL"/>
        </w:rPr>
        <w:t xml:space="preserve"> zijn afgerond. Zie Kamerstukken II 2015/16, 32 317, nr. 363, </w:t>
      </w:r>
      <w:proofErr w:type="spellStart"/>
      <w:r w:rsidRPr="002400BB" w:rsidR="00AF01E8">
        <w:rPr>
          <w:lang w:val="nl-NL"/>
        </w:rPr>
        <w:t>bldz</w:t>
      </w:r>
      <w:proofErr w:type="spellEnd"/>
      <w:r w:rsidRPr="002400BB" w:rsidR="00AF01E8">
        <w:rPr>
          <w:lang w:val="nl-NL"/>
        </w:rPr>
        <w:t>. 10.</w:t>
      </w:r>
    </w:p>
    <w:p w:rsidRPr="002400BB" w:rsidR="00AF01E8" w:rsidP="00493413" w:rsidRDefault="009659A5" w14:paraId="173690D3" w14:textId="41AD04B0">
      <w:pPr>
        <w:pStyle w:val="Lijstalinea"/>
        <w:numPr>
          <w:ilvl w:val="0"/>
          <w:numId w:val="2"/>
        </w:numPr>
        <w:tabs>
          <w:tab w:val="left" w:pos="426"/>
        </w:tabs>
        <w:spacing w:after="120"/>
        <w:ind w:left="426" w:hanging="284"/>
        <w:contextualSpacing w:val="0"/>
        <w:jc w:val="both"/>
        <w:rPr>
          <w:lang w:val="nl-NL"/>
        </w:rPr>
      </w:pPr>
      <w:r w:rsidRPr="002400BB">
        <w:rPr>
          <w:lang w:val="nl-NL"/>
        </w:rPr>
        <w:t>In het licht daarvan is het zaak dat Nederland, en andere lidstaten, zich erop voorb</w:t>
      </w:r>
      <w:r w:rsidRPr="002400BB">
        <w:rPr>
          <w:lang w:val="nl-NL"/>
        </w:rPr>
        <w:t>e</w:t>
      </w:r>
      <w:r w:rsidRPr="002400BB">
        <w:rPr>
          <w:lang w:val="nl-NL"/>
        </w:rPr>
        <w:t xml:space="preserve">reiden dat er straks géén nieuwe safe </w:t>
      </w:r>
      <w:proofErr w:type="spellStart"/>
      <w:r w:rsidRPr="002400BB">
        <w:rPr>
          <w:lang w:val="nl-NL"/>
        </w:rPr>
        <w:t>harbor</w:t>
      </w:r>
      <w:proofErr w:type="spellEnd"/>
      <w:r w:rsidRPr="002400BB">
        <w:rPr>
          <w:lang w:val="nl-NL"/>
        </w:rPr>
        <w:t xml:space="preserve"> beschikking is. Is dat erg? Misschien. </w:t>
      </w:r>
      <w:r w:rsidRPr="002400BB" w:rsidR="00AF01E8">
        <w:rPr>
          <w:lang w:val="nl-NL"/>
        </w:rPr>
        <w:t xml:space="preserve">Er zijn </w:t>
      </w:r>
      <w:r w:rsidRPr="002400BB">
        <w:rPr>
          <w:lang w:val="nl-NL"/>
        </w:rPr>
        <w:t xml:space="preserve">wel </w:t>
      </w:r>
      <w:r w:rsidRPr="002400BB" w:rsidR="00AF01E8">
        <w:rPr>
          <w:lang w:val="nl-NL"/>
        </w:rPr>
        <w:t>alternatieven. Voor de hand ligt, en daarop werd ook gewezen door de gezamenlijke toezichthouders (zgn. Werkgroep Art. 29), dat g</w:t>
      </w:r>
      <w:r w:rsidRPr="002400BB" w:rsidR="00AF01E8">
        <w:rPr>
          <w:lang w:val="nl-NL"/>
        </w:rPr>
        <w:t>e</w:t>
      </w:r>
      <w:r w:rsidRPr="002400BB" w:rsidR="00AF01E8">
        <w:rPr>
          <w:lang w:val="nl-NL"/>
        </w:rPr>
        <w:t>bruik wordt gemaakt van Sta</w:t>
      </w:r>
      <w:r w:rsidRPr="002400BB">
        <w:rPr>
          <w:lang w:val="nl-NL"/>
        </w:rPr>
        <w:t xml:space="preserve">ndard </w:t>
      </w:r>
      <w:proofErr w:type="spellStart"/>
      <w:r w:rsidRPr="002400BB">
        <w:rPr>
          <w:lang w:val="nl-NL"/>
        </w:rPr>
        <w:t>Contractual</w:t>
      </w:r>
      <w:proofErr w:type="spellEnd"/>
      <w:r w:rsidRPr="002400BB">
        <w:rPr>
          <w:lang w:val="nl-NL"/>
        </w:rPr>
        <w:t xml:space="preserve"> </w:t>
      </w:r>
      <w:proofErr w:type="spellStart"/>
      <w:r w:rsidRPr="002400BB">
        <w:rPr>
          <w:lang w:val="nl-NL"/>
        </w:rPr>
        <w:t>Clauses</w:t>
      </w:r>
      <w:proofErr w:type="spellEnd"/>
      <w:r w:rsidRPr="002400BB">
        <w:rPr>
          <w:lang w:val="nl-NL"/>
        </w:rPr>
        <w:t xml:space="preserve"> (‘</w:t>
      </w:r>
      <w:proofErr w:type="spellStart"/>
      <w:r w:rsidRPr="002400BB">
        <w:rPr>
          <w:lang w:val="nl-NL"/>
        </w:rPr>
        <w:t>SCC</w:t>
      </w:r>
      <w:r w:rsidRPr="002400BB" w:rsidR="00AF01E8">
        <w:rPr>
          <w:lang w:val="nl-NL"/>
        </w:rPr>
        <w:t>s</w:t>
      </w:r>
      <w:proofErr w:type="spellEnd"/>
      <w:r w:rsidRPr="002400BB" w:rsidR="00AF01E8">
        <w:rPr>
          <w:lang w:val="nl-NL"/>
        </w:rPr>
        <w:t>’) of Binding Corporate Rules</w:t>
      </w:r>
      <w:r w:rsidRPr="002400BB">
        <w:rPr>
          <w:lang w:val="nl-NL"/>
        </w:rPr>
        <w:t xml:space="preserve"> (</w:t>
      </w:r>
      <w:proofErr w:type="spellStart"/>
      <w:r w:rsidRPr="002400BB">
        <w:rPr>
          <w:lang w:val="nl-NL"/>
        </w:rPr>
        <w:t>BCRs</w:t>
      </w:r>
      <w:proofErr w:type="spellEnd"/>
      <w:r w:rsidRPr="002400BB">
        <w:rPr>
          <w:lang w:val="nl-NL"/>
        </w:rPr>
        <w:t>)</w:t>
      </w:r>
      <w:r w:rsidRPr="002400BB" w:rsidR="00AF01E8">
        <w:rPr>
          <w:lang w:val="nl-NL"/>
        </w:rPr>
        <w:t>.</w:t>
      </w:r>
      <w:r w:rsidRPr="002400BB">
        <w:rPr>
          <w:lang w:val="nl-NL"/>
        </w:rPr>
        <w:t xml:space="preserve"> </w:t>
      </w:r>
      <w:r w:rsidRPr="002400BB" w:rsidR="00AF01E8">
        <w:rPr>
          <w:lang w:val="nl-NL"/>
        </w:rPr>
        <w:t xml:space="preserve"> De SCC-s zijn het meest praktisch en blijken in de praktijk niet overdreven kostbaar, maar zijn </w:t>
      </w:r>
      <w:r w:rsidRPr="002400BB">
        <w:rPr>
          <w:lang w:val="nl-NL"/>
        </w:rPr>
        <w:t xml:space="preserve">omdat ook daaraan een beschikking van de EC ten grondslag ligt, </w:t>
      </w:r>
      <w:r w:rsidRPr="002400BB" w:rsidR="00AF01E8">
        <w:rPr>
          <w:lang w:val="nl-NL"/>
        </w:rPr>
        <w:t>op o</w:t>
      </w:r>
      <w:r w:rsidRPr="002400BB" w:rsidR="00AF01E8">
        <w:rPr>
          <w:lang w:val="nl-NL"/>
        </w:rPr>
        <w:t>n</w:t>
      </w:r>
      <w:r w:rsidRPr="002400BB" w:rsidR="00AF01E8">
        <w:rPr>
          <w:lang w:val="nl-NL"/>
        </w:rPr>
        <w:t xml:space="preserve">derdelen mogelijk even kwetsbaar als </w:t>
      </w:r>
      <w:r w:rsidRPr="002400BB">
        <w:rPr>
          <w:lang w:val="nl-NL"/>
        </w:rPr>
        <w:t xml:space="preserve">safe </w:t>
      </w:r>
      <w:proofErr w:type="spellStart"/>
      <w:r w:rsidRPr="002400BB">
        <w:rPr>
          <w:lang w:val="nl-NL"/>
        </w:rPr>
        <w:t>harbor</w:t>
      </w:r>
      <w:proofErr w:type="spellEnd"/>
      <w:r w:rsidRPr="002400BB">
        <w:rPr>
          <w:lang w:val="nl-NL"/>
        </w:rPr>
        <w:t xml:space="preserve">. De </w:t>
      </w:r>
      <w:proofErr w:type="spellStart"/>
      <w:r w:rsidRPr="002400BB">
        <w:rPr>
          <w:lang w:val="nl-NL"/>
        </w:rPr>
        <w:t>BCR’s</w:t>
      </w:r>
      <w:proofErr w:type="spellEnd"/>
      <w:r w:rsidRPr="002400BB">
        <w:rPr>
          <w:lang w:val="nl-NL"/>
        </w:rPr>
        <w:t xml:space="preserve"> zijn voor veel organis</w:t>
      </w:r>
      <w:r w:rsidRPr="002400BB">
        <w:rPr>
          <w:lang w:val="nl-NL"/>
        </w:rPr>
        <w:t>a</w:t>
      </w:r>
      <w:r w:rsidRPr="002400BB">
        <w:rPr>
          <w:lang w:val="nl-NL"/>
        </w:rPr>
        <w:t>ties waarschijnlijk te kostbaar, hoewel we wel kunnen verwachten dat de kosten daarvan omlaag gaan als de vraag ernaar to</w:t>
      </w:r>
      <w:r w:rsidRPr="002400BB">
        <w:rPr>
          <w:lang w:val="nl-NL"/>
        </w:rPr>
        <w:t>e</w:t>
      </w:r>
      <w:r w:rsidRPr="002400BB">
        <w:rPr>
          <w:lang w:val="nl-NL"/>
        </w:rPr>
        <w:t>neemt.</w:t>
      </w:r>
    </w:p>
    <w:p w:rsidRPr="002400BB" w:rsidR="009659A5" w:rsidP="009659A5" w:rsidRDefault="009659A5" w14:paraId="1F85B7CB" w14:textId="2EFC15F5">
      <w:pPr>
        <w:pStyle w:val="Lijstalinea"/>
        <w:numPr>
          <w:ilvl w:val="0"/>
          <w:numId w:val="2"/>
        </w:numPr>
        <w:tabs>
          <w:tab w:val="left" w:pos="426"/>
        </w:tabs>
        <w:spacing w:after="120"/>
        <w:ind w:left="426" w:hanging="284"/>
        <w:contextualSpacing w:val="0"/>
        <w:jc w:val="both"/>
        <w:rPr>
          <w:lang w:val="nl-NL"/>
        </w:rPr>
      </w:pPr>
      <w:r w:rsidRPr="002400BB">
        <w:rPr>
          <w:lang w:val="nl-NL"/>
        </w:rPr>
        <w:lastRenderedPageBreak/>
        <w:t>Een en ander doet er niet aan af dat we er goed aan doen verder te denken dan de thans beschikbare oplossingen (waarvan ik de ondubbelzinnige toestemming van art. 77, eerste lid, onder a, Wbp niet heb besproken omdat die in veel situaties, zoals arbeidsrelaties, niet goed bruikbaar zal zijn). We hebben een ‘Plan B’ nodig. Daaraan wordt gewerkt, is mijn indruk, door o.a. Cbp en ICT Nede</w:t>
      </w:r>
      <w:r w:rsidRPr="002400BB">
        <w:rPr>
          <w:lang w:val="nl-NL"/>
        </w:rPr>
        <w:t>r</w:t>
      </w:r>
      <w:r w:rsidRPr="002400BB">
        <w:rPr>
          <w:lang w:val="nl-NL"/>
        </w:rPr>
        <w:t>land.</w:t>
      </w:r>
      <w:r w:rsidR="002400BB">
        <w:rPr>
          <w:lang w:val="nl-NL"/>
        </w:rPr>
        <w:t xml:space="preserve"> </w:t>
      </w:r>
    </w:p>
    <w:p w:rsidR="009659A5" w:rsidP="00493413" w:rsidRDefault="009659A5" w14:paraId="33670C23" w14:textId="2599AFE0">
      <w:pPr>
        <w:pStyle w:val="Lijstalinea"/>
        <w:numPr>
          <w:ilvl w:val="0"/>
          <w:numId w:val="2"/>
        </w:numPr>
        <w:tabs>
          <w:tab w:val="left" w:pos="426"/>
        </w:tabs>
        <w:spacing w:after="120"/>
        <w:ind w:left="426" w:hanging="284"/>
        <w:contextualSpacing w:val="0"/>
        <w:jc w:val="both"/>
        <w:rPr>
          <w:lang w:val="nl-NL"/>
        </w:rPr>
      </w:pPr>
      <w:r w:rsidRPr="002400BB">
        <w:rPr>
          <w:lang w:val="nl-NL"/>
        </w:rPr>
        <w:t xml:space="preserve">Voor Nederland, dat als handelsland </w:t>
      </w:r>
      <w:r w:rsidR="00327EE6">
        <w:rPr>
          <w:lang w:val="nl-NL"/>
        </w:rPr>
        <w:t xml:space="preserve">waarschijnlijk </w:t>
      </w:r>
      <w:r w:rsidRPr="002400BB">
        <w:rPr>
          <w:lang w:val="nl-NL"/>
        </w:rPr>
        <w:t>meer dan andere lidstaten b</w:t>
      </w:r>
      <w:r w:rsidRPr="002400BB">
        <w:rPr>
          <w:lang w:val="nl-NL"/>
        </w:rPr>
        <w:t>e</w:t>
      </w:r>
      <w:r w:rsidRPr="002400BB">
        <w:rPr>
          <w:lang w:val="nl-NL"/>
        </w:rPr>
        <w:t xml:space="preserve">hoefte heeft aan onbelemmerd gegevensverkeer, lijkt het risico </w:t>
      </w:r>
      <w:r w:rsidR="002400BB">
        <w:rPr>
          <w:lang w:val="nl-NL"/>
        </w:rPr>
        <w:t xml:space="preserve">vooral </w:t>
      </w:r>
      <w:r w:rsidRPr="002400BB">
        <w:rPr>
          <w:lang w:val="nl-NL"/>
        </w:rPr>
        <w:t xml:space="preserve">te zijn dat </w:t>
      </w:r>
      <w:r w:rsidR="002400BB">
        <w:rPr>
          <w:lang w:val="nl-NL"/>
        </w:rPr>
        <w:t>li</w:t>
      </w:r>
      <w:r w:rsidR="002400BB">
        <w:rPr>
          <w:lang w:val="nl-NL"/>
        </w:rPr>
        <w:t>d</w:t>
      </w:r>
      <w:r w:rsidR="002400BB">
        <w:rPr>
          <w:lang w:val="nl-NL"/>
        </w:rPr>
        <w:t xml:space="preserve">staten van </w:t>
      </w:r>
      <w:r w:rsidRPr="002400BB">
        <w:rPr>
          <w:lang w:val="nl-NL"/>
        </w:rPr>
        <w:t>de Europese Unie ve</w:t>
      </w:r>
      <w:r w:rsidR="002400BB">
        <w:rPr>
          <w:lang w:val="nl-NL"/>
        </w:rPr>
        <w:t>rvallen</w:t>
      </w:r>
      <w:r w:rsidRPr="002400BB">
        <w:rPr>
          <w:lang w:val="nl-NL"/>
        </w:rPr>
        <w:t xml:space="preserve"> in protectionisme. Er is een kans dat lidstaten de ontstane situatie een excuus zien om </w:t>
      </w:r>
      <w:r w:rsidRPr="002400BB" w:rsidR="002400BB">
        <w:rPr>
          <w:lang w:val="nl-NL"/>
        </w:rPr>
        <w:t>een voorkeursbeleid te ontwikkelen ten b</w:t>
      </w:r>
      <w:r w:rsidRPr="002400BB" w:rsidR="002400BB">
        <w:rPr>
          <w:lang w:val="nl-NL"/>
        </w:rPr>
        <w:t>e</w:t>
      </w:r>
      <w:r w:rsidRPr="002400BB" w:rsidR="002400BB">
        <w:rPr>
          <w:lang w:val="nl-NL"/>
        </w:rPr>
        <w:t>hoeve van de eig</w:t>
      </w:r>
      <w:r w:rsidRPr="002400BB">
        <w:rPr>
          <w:lang w:val="nl-NL"/>
        </w:rPr>
        <w:t xml:space="preserve">en </w:t>
      </w:r>
      <w:r w:rsidRPr="002400BB" w:rsidR="002400BB">
        <w:rPr>
          <w:lang w:val="nl-NL"/>
        </w:rPr>
        <w:t xml:space="preserve">nationale </w:t>
      </w:r>
      <w:r w:rsidRPr="002400BB">
        <w:rPr>
          <w:lang w:val="nl-NL"/>
        </w:rPr>
        <w:t>ICT-dienstverleners</w:t>
      </w:r>
      <w:r w:rsidR="002400BB">
        <w:rPr>
          <w:lang w:val="nl-NL"/>
        </w:rPr>
        <w:t xml:space="preserve">. Op de langere termijn lijkt dat </w:t>
      </w:r>
      <w:proofErr w:type="spellStart"/>
      <w:r w:rsidR="002400BB">
        <w:rPr>
          <w:lang w:val="nl-NL"/>
        </w:rPr>
        <w:t>contra-productief</w:t>
      </w:r>
      <w:proofErr w:type="spellEnd"/>
      <w:r w:rsidR="002400BB">
        <w:rPr>
          <w:lang w:val="nl-NL"/>
        </w:rPr>
        <w:t xml:space="preserve">, ook in termen van privacy en gegevensbescherming. </w:t>
      </w:r>
    </w:p>
    <w:p w:rsidRPr="002400BB" w:rsidR="00327EE6" w:rsidP="00493413" w:rsidRDefault="00594E8E" w14:paraId="13FCF959" w14:textId="0D2AB544">
      <w:pPr>
        <w:pStyle w:val="Lijstalinea"/>
        <w:numPr>
          <w:ilvl w:val="0"/>
          <w:numId w:val="2"/>
        </w:numPr>
        <w:tabs>
          <w:tab w:val="left" w:pos="426"/>
        </w:tabs>
        <w:spacing w:after="120"/>
        <w:ind w:left="426" w:hanging="284"/>
        <w:contextualSpacing w:val="0"/>
        <w:jc w:val="both"/>
        <w:rPr>
          <w:lang w:val="nl-NL"/>
        </w:rPr>
      </w:pPr>
      <w:r>
        <w:rPr>
          <w:lang w:val="nl-NL"/>
        </w:rPr>
        <w:t>A</w:t>
      </w:r>
      <w:r w:rsidR="00327EE6">
        <w:rPr>
          <w:lang w:val="nl-NL"/>
        </w:rPr>
        <w:t xml:space="preserve">ls Nederland </w:t>
      </w:r>
      <w:r>
        <w:rPr>
          <w:lang w:val="nl-NL"/>
        </w:rPr>
        <w:t xml:space="preserve">erin slaagt voorop lopen bij </w:t>
      </w:r>
      <w:r w:rsidR="00327EE6">
        <w:rPr>
          <w:lang w:val="nl-NL"/>
        </w:rPr>
        <w:t>het vinden van een goed evenwicht tu</w:t>
      </w:r>
      <w:r w:rsidR="00327EE6">
        <w:rPr>
          <w:lang w:val="nl-NL"/>
        </w:rPr>
        <w:t>s</w:t>
      </w:r>
      <w:r w:rsidR="00327EE6">
        <w:rPr>
          <w:lang w:val="nl-NL"/>
        </w:rPr>
        <w:t xml:space="preserve">sen enerzijds privacybescherming en anderzijds een onbelemmerd internationaal gegevensverkeer, maakt dat ons aantrekkelijk voor </w:t>
      </w:r>
      <w:proofErr w:type="spellStart"/>
      <w:r w:rsidR="00327EE6">
        <w:rPr>
          <w:lang w:val="nl-NL"/>
        </w:rPr>
        <w:t>gegevensintensieve</w:t>
      </w:r>
      <w:proofErr w:type="spellEnd"/>
      <w:r w:rsidR="00327EE6">
        <w:rPr>
          <w:lang w:val="nl-NL"/>
        </w:rPr>
        <w:t xml:space="preserve"> ondern</w:t>
      </w:r>
      <w:r w:rsidR="00327EE6">
        <w:rPr>
          <w:lang w:val="nl-NL"/>
        </w:rPr>
        <w:t>e</w:t>
      </w:r>
      <w:r w:rsidR="00327EE6">
        <w:rPr>
          <w:lang w:val="nl-NL"/>
        </w:rPr>
        <w:t>mingen.</w:t>
      </w:r>
      <w:r>
        <w:rPr>
          <w:lang w:val="nl-NL"/>
        </w:rPr>
        <w:t xml:space="preserve"> Daar liggen wellicht kansen. </w:t>
      </w:r>
      <w:bookmarkStart w:name="_GoBack" w:id="0"/>
      <w:bookmarkEnd w:id="0"/>
    </w:p>
    <w:sectPr w:rsidRPr="002400BB" w:rsidR="00327EE6" w:rsidSect="002B098A">
      <w:head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2E0A" w14:textId="77777777" w:rsidR="00327EE6" w:rsidRDefault="00327EE6" w:rsidP="00030E75">
      <w:r>
        <w:separator/>
      </w:r>
    </w:p>
  </w:endnote>
  <w:endnote w:type="continuationSeparator" w:id="0">
    <w:p w14:paraId="132FF067" w14:textId="77777777" w:rsidR="00327EE6" w:rsidRDefault="00327EE6" w:rsidP="0003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870D5" w14:textId="77777777" w:rsidR="00327EE6" w:rsidRDefault="00327EE6" w:rsidP="00030E75">
      <w:r>
        <w:separator/>
      </w:r>
    </w:p>
  </w:footnote>
  <w:footnote w:type="continuationSeparator" w:id="0">
    <w:p w14:paraId="3F5C0F42" w14:textId="77777777" w:rsidR="00327EE6" w:rsidRDefault="00327EE6" w:rsidP="00030E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7DF79" w14:textId="27F1A924" w:rsidR="00327EE6" w:rsidRPr="00030E75" w:rsidRDefault="00327EE6" w:rsidP="00E03F4E">
    <w:pPr>
      <w:pStyle w:val="Koptekst"/>
      <w:jc w:val="center"/>
      <w:rPr>
        <w:b/>
        <w:i/>
        <w:sz w:val="16"/>
        <w:szCs w:val="16"/>
      </w:rPr>
    </w:pPr>
    <w:r w:rsidRPr="00030E75">
      <w:rPr>
        <w:b/>
        <w:i/>
        <w:sz w:val="16"/>
        <w:szCs w:val="16"/>
      </w:rPr>
      <w:t>PROF. MR. G-J. ZWENNE | NOTITIE OV</w:t>
    </w:r>
    <w:r>
      <w:rPr>
        <w:b/>
        <w:i/>
        <w:sz w:val="16"/>
        <w:szCs w:val="16"/>
      </w:rPr>
      <w:t>ER HVJEU 6 OKTOBER 2015, C-362/14</w:t>
    </w:r>
    <w:r w:rsidRPr="00030E75">
      <w:rPr>
        <w:b/>
        <w:i/>
        <w:sz w:val="16"/>
        <w:szCs w:val="16"/>
      </w:rPr>
      <w:t xml:space="preserve"> (SCHREMS V. DATA PROTECTION COMMISSIONER)| T.B.V. RONDETAFELGESPREK TWEEDE KAMER | 10 DECEMBER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217F9"/>
    <w:multiLevelType w:val="multilevel"/>
    <w:tmpl w:val="502E7D38"/>
    <w:lvl w:ilvl="0">
      <w:start w:val="1"/>
      <w:numFmt w:val="decimal"/>
      <w:lvlText w:val="%1"/>
      <w:lvlJc w:val="left"/>
      <w:pPr>
        <w:ind w:left="432" w:hanging="432"/>
      </w:pPr>
      <w:rPr>
        <w:rFonts w:hint="default"/>
      </w:rPr>
    </w:lvl>
    <w:lvl w:ilvl="1">
      <w:start w:val="1"/>
      <w:numFmt w:val="decimal"/>
      <w:pStyle w:val="Kop2"/>
      <w:lvlText w:val="%2.%1"/>
      <w:lvlJc w:val="left"/>
      <w:pPr>
        <w:ind w:left="576" w:hanging="576"/>
      </w:pPr>
      <w:rPr>
        <w:rFonts w:ascii="Georgia" w:hAnsi="Georgia" w:hint="default"/>
        <w:b/>
        <w:bCs/>
        <w:i/>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26AC4D0B"/>
    <w:multiLevelType w:val="hybridMultilevel"/>
    <w:tmpl w:val="A66C2B2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08"/>
  <w:autoHyphenation/>
  <w:hyphenationZone w:val="14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75"/>
    <w:rsid w:val="00030E75"/>
    <w:rsid w:val="00055251"/>
    <w:rsid w:val="000B2D80"/>
    <w:rsid w:val="001273A6"/>
    <w:rsid w:val="001F7AC9"/>
    <w:rsid w:val="002400BB"/>
    <w:rsid w:val="002B098A"/>
    <w:rsid w:val="00327EE6"/>
    <w:rsid w:val="00467ED3"/>
    <w:rsid w:val="00493413"/>
    <w:rsid w:val="00594E8E"/>
    <w:rsid w:val="00734FB2"/>
    <w:rsid w:val="007A0AF2"/>
    <w:rsid w:val="009659A5"/>
    <w:rsid w:val="00AF01E8"/>
    <w:rsid w:val="00AF5B49"/>
    <w:rsid w:val="00C33E41"/>
    <w:rsid w:val="00D942A4"/>
    <w:rsid w:val="00E03F4E"/>
    <w:rsid w:val="00F17E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929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1"/>
    <w:qFormat/>
    <w:rsid w:val="007A0AF2"/>
    <w:pPr>
      <w:keepNext/>
      <w:widowControl w:val="0"/>
      <w:spacing w:before="360" w:after="120"/>
      <w:outlineLvl w:val="0"/>
    </w:pPr>
    <w:rPr>
      <w:rFonts w:ascii="Georgia" w:eastAsia="Times New Roman" w:hAnsi="Georgia"/>
      <w:b/>
      <w:bCs/>
      <w:sz w:val="28"/>
      <w:szCs w:val="41"/>
      <w:lang w:val="en-US" w:eastAsia="en-US"/>
    </w:rPr>
  </w:style>
  <w:style w:type="paragraph" w:styleId="Kop2">
    <w:name w:val="heading 2"/>
    <w:basedOn w:val="Normaal"/>
    <w:next w:val="Normaal"/>
    <w:link w:val="Kop2Teken"/>
    <w:uiPriority w:val="9"/>
    <w:unhideWhenUsed/>
    <w:qFormat/>
    <w:rsid w:val="00AF5B49"/>
    <w:pPr>
      <w:keepNext/>
      <w:keepLines/>
      <w:numPr>
        <w:ilvl w:val="1"/>
        <w:numId w:val="2"/>
      </w:numPr>
      <w:spacing w:before="200"/>
      <w:ind w:left="576" w:hanging="576"/>
      <w:outlineLvl w:val="1"/>
    </w:pPr>
    <w:rPr>
      <w:rFonts w:ascii="Georgia" w:eastAsiaTheme="majorEastAsia" w:hAnsi="Georgia" w:cstheme="majorBidi"/>
      <w:b/>
      <w:bCs/>
      <w:i/>
      <w:color w:val="4F81BD" w:themeColor="accent1"/>
      <w:sz w:val="26"/>
      <w:szCs w:val="26"/>
    </w:rPr>
  </w:style>
  <w:style w:type="paragraph" w:styleId="Kop3">
    <w:name w:val="heading 3"/>
    <w:basedOn w:val="Normaal"/>
    <w:link w:val="Kop3Teken"/>
    <w:autoRedefine/>
    <w:uiPriority w:val="1"/>
    <w:qFormat/>
    <w:rsid w:val="007A0AF2"/>
    <w:pPr>
      <w:widowControl w:val="0"/>
      <w:ind w:left="676"/>
      <w:outlineLvl w:val="2"/>
    </w:pPr>
    <w:rPr>
      <w:rFonts w:ascii="Georgia" w:eastAsia="Georgia" w:hAnsi="Georgia"/>
      <w:b/>
      <w:bCs/>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AF5B49"/>
    <w:rPr>
      <w:rFonts w:ascii="Georgia" w:eastAsiaTheme="majorEastAsia" w:hAnsi="Georgia" w:cstheme="majorBidi"/>
      <w:b/>
      <w:bCs/>
      <w:i/>
      <w:color w:val="4F81BD" w:themeColor="accent1"/>
      <w:sz w:val="26"/>
      <w:szCs w:val="26"/>
    </w:rPr>
  </w:style>
  <w:style w:type="paragraph" w:styleId="Voetnoottekst">
    <w:name w:val="footnote text"/>
    <w:basedOn w:val="Normaal"/>
    <w:link w:val="VoetnoottekstTeken"/>
    <w:uiPriority w:val="99"/>
    <w:unhideWhenUsed/>
    <w:qFormat/>
    <w:rsid w:val="007A0AF2"/>
    <w:pPr>
      <w:widowControl w:val="0"/>
      <w:spacing w:before="40"/>
      <w:jc w:val="both"/>
    </w:pPr>
    <w:rPr>
      <w:sz w:val="18"/>
    </w:rPr>
  </w:style>
  <w:style w:type="character" w:customStyle="1" w:styleId="VoetnoottekstTeken">
    <w:name w:val="Voetnoottekst Teken"/>
    <w:basedOn w:val="Standaardalinea-lettertype"/>
    <w:link w:val="Voetnoottekst"/>
    <w:uiPriority w:val="99"/>
    <w:rsid w:val="007A0AF2"/>
    <w:rPr>
      <w:sz w:val="18"/>
    </w:rPr>
  </w:style>
  <w:style w:type="character" w:customStyle="1" w:styleId="Kop3Teken">
    <w:name w:val="Kop 3 Teken"/>
    <w:basedOn w:val="Standaardalinea-lettertype"/>
    <w:link w:val="Kop3"/>
    <w:uiPriority w:val="1"/>
    <w:rsid w:val="007A0AF2"/>
    <w:rPr>
      <w:rFonts w:ascii="Georgia" w:eastAsia="Georgia" w:hAnsi="Georgia"/>
      <w:b/>
      <w:bCs/>
      <w:lang w:val="en-US" w:eastAsia="en-US"/>
    </w:rPr>
  </w:style>
  <w:style w:type="character" w:customStyle="1" w:styleId="Kop1Teken">
    <w:name w:val="Kop 1 Teken"/>
    <w:basedOn w:val="Standaardalinea-lettertype"/>
    <w:link w:val="Kop1"/>
    <w:uiPriority w:val="1"/>
    <w:rsid w:val="007A0AF2"/>
    <w:rPr>
      <w:rFonts w:ascii="Georgia" w:eastAsia="Times New Roman" w:hAnsi="Georgia"/>
      <w:b/>
      <w:bCs/>
      <w:sz w:val="28"/>
      <w:szCs w:val="41"/>
      <w:lang w:val="en-US" w:eastAsia="en-US"/>
    </w:rPr>
  </w:style>
  <w:style w:type="paragraph" w:styleId="Eindnoottekst">
    <w:name w:val="endnote text"/>
    <w:basedOn w:val="Normaal"/>
    <w:link w:val="EindnoottekstTeken"/>
    <w:uiPriority w:val="99"/>
    <w:semiHidden/>
    <w:unhideWhenUsed/>
    <w:qFormat/>
    <w:rsid w:val="007A0AF2"/>
    <w:pPr>
      <w:spacing w:after="120"/>
    </w:pPr>
    <w:rPr>
      <w:sz w:val="20"/>
      <w:szCs w:val="20"/>
    </w:rPr>
  </w:style>
  <w:style w:type="character" w:customStyle="1" w:styleId="EindnoottekstTeken">
    <w:name w:val="Eindnoottekst Teken"/>
    <w:basedOn w:val="Standaardalinea-lettertype"/>
    <w:link w:val="Eindnoottekst"/>
    <w:uiPriority w:val="99"/>
    <w:semiHidden/>
    <w:rsid w:val="007A0AF2"/>
    <w:rPr>
      <w:sz w:val="20"/>
      <w:szCs w:val="20"/>
    </w:rPr>
  </w:style>
  <w:style w:type="paragraph" w:styleId="Koptekst">
    <w:name w:val="header"/>
    <w:basedOn w:val="Normaal"/>
    <w:link w:val="KoptekstTeken"/>
    <w:uiPriority w:val="99"/>
    <w:unhideWhenUsed/>
    <w:rsid w:val="00030E75"/>
    <w:pPr>
      <w:tabs>
        <w:tab w:val="center" w:pos="4536"/>
        <w:tab w:val="right" w:pos="9072"/>
      </w:tabs>
    </w:pPr>
  </w:style>
  <w:style w:type="character" w:customStyle="1" w:styleId="KoptekstTeken">
    <w:name w:val="Koptekst Teken"/>
    <w:basedOn w:val="Standaardalinea-lettertype"/>
    <w:link w:val="Koptekst"/>
    <w:uiPriority w:val="99"/>
    <w:rsid w:val="00030E75"/>
  </w:style>
  <w:style w:type="paragraph" w:styleId="Voettekst">
    <w:name w:val="footer"/>
    <w:basedOn w:val="Normaal"/>
    <w:link w:val="VoettekstTeken"/>
    <w:uiPriority w:val="99"/>
    <w:unhideWhenUsed/>
    <w:rsid w:val="00030E75"/>
    <w:pPr>
      <w:tabs>
        <w:tab w:val="center" w:pos="4536"/>
        <w:tab w:val="right" w:pos="9072"/>
      </w:tabs>
    </w:pPr>
  </w:style>
  <w:style w:type="character" w:customStyle="1" w:styleId="VoettekstTeken">
    <w:name w:val="Voettekst Teken"/>
    <w:basedOn w:val="Standaardalinea-lettertype"/>
    <w:link w:val="Voettekst"/>
    <w:uiPriority w:val="99"/>
    <w:rsid w:val="00030E75"/>
  </w:style>
  <w:style w:type="paragraph" w:styleId="Lijstalinea">
    <w:name w:val="List Paragraph"/>
    <w:basedOn w:val="Normaal"/>
    <w:uiPriority w:val="34"/>
    <w:qFormat/>
    <w:rsid w:val="00030E75"/>
    <w:pPr>
      <w:ind w:left="720"/>
      <w:contextualSpacing/>
    </w:pPr>
  </w:style>
  <w:style w:type="character" w:styleId="Hyperlink">
    <w:name w:val="Hyperlink"/>
    <w:basedOn w:val="Standaardalinea-lettertype"/>
    <w:uiPriority w:val="99"/>
    <w:unhideWhenUsed/>
    <w:rsid w:val="00055251"/>
    <w:rPr>
      <w:color w:val="0000FF" w:themeColor="hyperlink"/>
      <w:u w:val="single"/>
    </w:rPr>
  </w:style>
  <w:style w:type="character" w:styleId="GevolgdeHyperlink">
    <w:name w:val="FollowedHyperlink"/>
    <w:basedOn w:val="Standaardalinea-lettertype"/>
    <w:uiPriority w:val="99"/>
    <w:semiHidden/>
    <w:unhideWhenUsed/>
    <w:rsid w:val="00467E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1"/>
    <w:qFormat/>
    <w:rsid w:val="007A0AF2"/>
    <w:pPr>
      <w:keepNext/>
      <w:widowControl w:val="0"/>
      <w:spacing w:before="360" w:after="120"/>
      <w:outlineLvl w:val="0"/>
    </w:pPr>
    <w:rPr>
      <w:rFonts w:ascii="Georgia" w:eastAsia="Times New Roman" w:hAnsi="Georgia"/>
      <w:b/>
      <w:bCs/>
      <w:sz w:val="28"/>
      <w:szCs w:val="41"/>
      <w:lang w:val="en-US" w:eastAsia="en-US"/>
    </w:rPr>
  </w:style>
  <w:style w:type="paragraph" w:styleId="Kop2">
    <w:name w:val="heading 2"/>
    <w:basedOn w:val="Normaal"/>
    <w:next w:val="Normaal"/>
    <w:link w:val="Kop2Teken"/>
    <w:uiPriority w:val="9"/>
    <w:unhideWhenUsed/>
    <w:qFormat/>
    <w:rsid w:val="00AF5B49"/>
    <w:pPr>
      <w:keepNext/>
      <w:keepLines/>
      <w:numPr>
        <w:ilvl w:val="1"/>
        <w:numId w:val="2"/>
      </w:numPr>
      <w:spacing w:before="200"/>
      <w:ind w:left="576" w:hanging="576"/>
      <w:outlineLvl w:val="1"/>
    </w:pPr>
    <w:rPr>
      <w:rFonts w:ascii="Georgia" w:eastAsiaTheme="majorEastAsia" w:hAnsi="Georgia" w:cstheme="majorBidi"/>
      <w:b/>
      <w:bCs/>
      <w:i/>
      <w:color w:val="4F81BD" w:themeColor="accent1"/>
      <w:sz w:val="26"/>
      <w:szCs w:val="26"/>
    </w:rPr>
  </w:style>
  <w:style w:type="paragraph" w:styleId="Kop3">
    <w:name w:val="heading 3"/>
    <w:basedOn w:val="Normaal"/>
    <w:link w:val="Kop3Teken"/>
    <w:autoRedefine/>
    <w:uiPriority w:val="1"/>
    <w:qFormat/>
    <w:rsid w:val="007A0AF2"/>
    <w:pPr>
      <w:widowControl w:val="0"/>
      <w:ind w:left="676"/>
      <w:outlineLvl w:val="2"/>
    </w:pPr>
    <w:rPr>
      <w:rFonts w:ascii="Georgia" w:eastAsia="Georgia" w:hAnsi="Georgia"/>
      <w:b/>
      <w:bCs/>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AF5B49"/>
    <w:rPr>
      <w:rFonts w:ascii="Georgia" w:eastAsiaTheme="majorEastAsia" w:hAnsi="Georgia" w:cstheme="majorBidi"/>
      <w:b/>
      <w:bCs/>
      <w:i/>
      <w:color w:val="4F81BD" w:themeColor="accent1"/>
      <w:sz w:val="26"/>
      <w:szCs w:val="26"/>
    </w:rPr>
  </w:style>
  <w:style w:type="paragraph" w:styleId="Voetnoottekst">
    <w:name w:val="footnote text"/>
    <w:basedOn w:val="Normaal"/>
    <w:link w:val="VoetnoottekstTeken"/>
    <w:uiPriority w:val="99"/>
    <w:unhideWhenUsed/>
    <w:qFormat/>
    <w:rsid w:val="007A0AF2"/>
    <w:pPr>
      <w:widowControl w:val="0"/>
      <w:spacing w:before="40"/>
      <w:jc w:val="both"/>
    </w:pPr>
    <w:rPr>
      <w:sz w:val="18"/>
    </w:rPr>
  </w:style>
  <w:style w:type="character" w:customStyle="1" w:styleId="VoetnoottekstTeken">
    <w:name w:val="Voetnoottekst Teken"/>
    <w:basedOn w:val="Standaardalinea-lettertype"/>
    <w:link w:val="Voetnoottekst"/>
    <w:uiPriority w:val="99"/>
    <w:rsid w:val="007A0AF2"/>
    <w:rPr>
      <w:sz w:val="18"/>
    </w:rPr>
  </w:style>
  <w:style w:type="character" w:customStyle="1" w:styleId="Kop3Teken">
    <w:name w:val="Kop 3 Teken"/>
    <w:basedOn w:val="Standaardalinea-lettertype"/>
    <w:link w:val="Kop3"/>
    <w:uiPriority w:val="1"/>
    <w:rsid w:val="007A0AF2"/>
    <w:rPr>
      <w:rFonts w:ascii="Georgia" w:eastAsia="Georgia" w:hAnsi="Georgia"/>
      <w:b/>
      <w:bCs/>
      <w:lang w:val="en-US" w:eastAsia="en-US"/>
    </w:rPr>
  </w:style>
  <w:style w:type="character" w:customStyle="1" w:styleId="Kop1Teken">
    <w:name w:val="Kop 1 Teken"/>
    <w:basedOn w:val="Standaardalinea-lettertype"/>
    <w:link w:val="Kop1"/>
    <w:uiPriority w:val="1"/>
    <w:rsid w:val="007A0AF2"/>
    <w:rPr>
      <w:rFonts w:ascii="Georgia" w:eastAsia="Times New Roman" w:hAnsi="Georgia"/>
      <w:b/>
      <w:bCs/>
      <w:sz w:val="28"/>
      <w:szCs w:val="41"/>
      <w:lang w:val="en-US" w:eastAsia="en-US"/>
    </w:rPr>
  </w:style>
  <w:style w:type="paragraph" w:styleId="Eindnoottekst">
    <w:name w:val="endnote text"/>
    <w:basedOn w:val="Normaal"/>
    <w:link w:val="EindnoottekstTeken"/>
    <w:uiPriority w:val="99"/>
    <w:semiHidden/>
    <w:unhideWhenUsed/>
    <w:qFormat/>
    <w:rsid w:val="007A0AF2"/>
    <w:pPr>
      <w:spacing w:after="120"/>
    </w:pPr>
    <w:rPr>
      <w:sz w:val="20"/>
      <w:szCs w:val="20"/>
    </w:rPr>
  </w:style>
  <w:style w:type="character" w:customStyle="1" w:styleId="EindnoottekstTeken">
    <w:name w:val="Eindnoottekst Teken"/>
    <w:basedOn w:val="Standaardalinea-lettertype"/>
    <w:link w:val="Eindnoottekst"/>
    <w:uiPriority w:val="99"/>
    <w:semiHidden/>
    <w:rsid w:val="007A0AF2"/>
    <w:rPr>
      <w:sz w:val="20"/>
      <w:szCs w:val="20"/>
    </w:rPr>
  </w:style>
  <w:style w:type="paragraph" w:styleId="Koptekst">
    <w:name w:val="header"/>
    <w:basedOn w:val="Normaal"/>
    <w:link w:val="KoptekstTeken"/>
    <w:uiPriority w:val="99"/>
    <w:unhideWhenUsed/>
    <w:rsid w:val="00030E75"/>
    <w:pPr>
      <w:tabs>
        <w:tab w:val="center" w:pos="4536"/>
        <w:tab w:val="right" w:pos="9072"/>
      </w:tabs>
    </w:pPr>
  </w:style>
  <w:style w:type="character" w:customStyle="1" w:styleId="KoptekstTeken">
    <w:name w:val="Koptekst Teken"/>
    <w:basedOn w:val="Standaardalinea-lettertype"/>
    <w:link w:val="Koptekst"/>
    <w:uiPriority w:val="99"/>
    <w:rsid w:val="00030E75"/>
  </w:style>
  <w:style w:type="paragraph" w:styleId="Voettekst">
    <w:name w:val="footer"/>
    <w:basedOn w:val="Normaal"/>
    <w:link w:val="VoettekstTeken"/>
    <w:uiPriority w:val="99"/>
    <w:unhideWhenUsed/>
    <w:rsid w:val="00030E75"/>
    <w:pPr>
      <w:tabs>
        <w:tab w:val="center" w:pos="4536"/>
        <w:tab w:val="right" w:pos="9072"/>
      </w:tabs>
    </w:pPr>
  </w:style>
  <w:style w:type="character" w:customStyle="1" w:styleId="VoettekstTeken">
    <w:name w:val="Voettekst Teken"/>
    <w:basedOn w:val="Standaardalinea-lettertype"/>
    <w:link w:val="Voettekst"/>
    <w:uiPriority w:val="99"/>
    <w:rsid w:val="00030E75"/>
  </w:style>
  <w:style w:type="paragraph" w:styleId="Lijstalinea">
    <w:name w:val="List Paragraph"/>
    <w:basedOn w:val="Normaal"/>
    <w:uiPriority w:val="34"/>
    <w:qFormat/>
    <w:rsid w:val="00030E75"/>
    <w:pPr>
      <w:ind w:left="720"/>
      <w:contextualSpacing/>
    </w:pPr>
  </w:style>
  <w:style w:type="character" w:styleId="Hyperlink">
    <w:name w:val="Hyperlink"/>
    <w:basedOn w:val="Standaardalinea-lettertype"/>
    <w:uiPriority w:val="99"/>
    <w:unhideWhenUsed/>
    <w:rsid w:val="00055251"/>
    <w:rPr>
      <w:color w:val="0000FF" w:themeColor="hyperlink"/>
      <w:u w:val="single"/>
    </w:rPr>
  </w:style>
  <w:style w:type="character" w:styleId="GevolgdeHyperlink">
    <w:name w:val="FollowedHyperlink"/>
    <w:basedOn w:val="Standaardalinea-lettertype"/>
    <w:uiPriority w:val="99"/>
    <w:semiHidden/>
    <w:unhideWhenUsed/>
    <w:rsid w:val="0046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091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www.euractiv.com/sections/eu-priorities-2020/court-justice-rejects-draft-agreement-eu-accession-echr-310983"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730</ap:Words>
  <ap:Characters>4015</ap:Characters>
  <ap:DocSecurity>0</ap:DocSecurity>
  <ap:Lines>33</ap:Lines>
  <ap:Paragraphs>9</ap:Paragraphs>
  <ap:ScaleCrop>false</ap:ScaleCrop>
  <ap:LinksUpToDate>false</ap:LinksUpToDate>
  <ap:CharactersWithSpaces>4736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2015-11-27T21:20:00.0000000Z</dcterms:created>
  <dcterms:modified xsi:type="dcterms:W3CDTF">2015-12-07T21:04:00.0000000Z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