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A2ABC" w:rsidR="00576674" w:rsidP="00576674" w:rsidRDefault="001A2ABC">
      <w:pPr>
        <w:rPr>
          <w:rFonts w:asciiTheme="minorHAnsi" w:hAnsiTheme="minorHAnsi"/>
          <w:b/>
          <w:sz w:val="28"/>
          <w:szCs w:val="22"/>
        </w:rPr>
      </w:pPr>
      <w:r w:rsidRPr="00F153A4">
        <w:rPr>
          <w:rFonts w:asciiTheme="minorHAnsi" w:hAnsiTheme="minorHAnsi"/>
          <w:b/>
          <w:szCs w:val="22"/>
        </w:rPr>
        <w:t>Vaste commissie voor Veiligheid en Justitie</w:t>
      </w:r>
      <w:r w:rsidRPr="00F153A4">
        <w:rPr>
          <w:rFonts w:asciiTheme="minorHAnsi" w:hAnsiTheme="minorHAnsi"/>
          <w:b/>
          <w:szCs w:val="22"/>
        </w:rPr>
        <w:br/>
      </w:r>
      <w:r w:rsidRPr="00460B45" w:rsidR="00F50A0B">
        <w:rPr>
          <w:rFonts w:asciiTheme="minorHAnsi" w:hAnsiTheme="minorHAnsi"/>
          <w:b/>
          <w:sz w:val="22"/>
          <w:szCs w:val="22"/>
        </w:rPr>
        <w:t>Overzicht nieuw gepubliceerde EU-voorstellen</w:t>
      </w:r>
      <w:r w:rsidRPr="00460B45" w:rsidR="00576674">
        <w:rPr>
          <w:rFonts w:asciiTheme="minorHAnsi" w:hAnsiTheme="minorHAnsi"/>
          <w:b/>
          <w:sz w:val="22"/>
          <w:szCs w:val="22"/>
        </w:rPr>
        <w:t xml:space="preserve"> </w:t>
      </w:r>
      <w:r w:rsidRPr="00460B45" w:rsidR="00F153A4">
        <w:rPr>
          <w:rFonts w:asciiTheme="minorHAnsi" w:hAnsiTheme="minorHAnsi"/>
          <w:b/>
          <w:sz w:val="22"/>
          <w:szCs w:val="22"/>
        </w:rPr>
        <w:t xml:space="preserve"> op het terrein van V&amp;J</w:t>
      </w:r>
    </w:p>
    <w:p w:rsidR="00F50A0B" w:rsidP="00576674" w:rsidRDefault="00BD6B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Datum: 27-11-2015</w:t>
      </w:r>
    </w:p>
    <w:p w:rsidRPr="00F67F5B" w:rsidR="00BD6B9A" w:rsidP="00576674" w:rsidRDefault="00BD6B9A">
      <w:pPr>
        <w:rPr>
          <w:rFonts w:asciiTheme="minorHAnsi" w:hAnsiTheme="minorHAnsi"/>
          <w:sz w:val="22"/>
          <w:szCs w:val="22"/>
        </w:rPr>
      </w:pPr>
    </w:p>
    <w:p w:rsidR="00576674" w:rsidP="00576674" w:rsidRDefault="006C7264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Voorstellen over de p</w:t>
      </w:r>
      <w:r w:rsidR="00707885">
        <w:rPr>
          <w:rFonts w:asciiTheme="minorHAnsi" w:hAnsiTheme="minorHAnsi"/>
          <w:b/>
          <w:sz w:val="22"/>
          <w:szCs w:val="22"/>
          <w:u w:val="single"/>
        </w:rPr>
        <w:t xml:space="preserve">eriode: </w:t>
      </w:r>
      <w:r w:rsidR="006A3426">
        <w:rPr>
          <w:rFonts w:asciiTheme="minorHAnsi" w:hAnsiTheme="minorHAnsi"/>
          <w:b/>
          <w:sz w:val="22"/>
          <w:szCs w:val="22"/>
          <w:u w:val="single"/>
        </w:rPr>
        <w:t xml:space="preserve">10 </w:t>
      </w:r>
      <w:r w:rsidRPr="00EF694A" w:rsidR="001A2ABC">
        <w:rPr>
          <w:rFonts w:asciiTheme="minorHAnsi" w:hAnsiTheme="minorHAnsi"/>
          <w:b/>
          <w:sz w:val="22"/>
          <w:szCs w:val="22"/>
          <w:u w:val="single"/>
        </w:rPr>
        <w:t xml:space="preserve">– </w:t>
      </w:r>
      <w:r w:rsidR="006A3426">
        <w:rPr>
          <w:rFonts w:asciiTheme="minorHAnsi" w:hAnsiTheme="minorHAnsi"/>
          <w:b/>
          <w:sz w:val="22"/>
          <w:szCs w:val="22"/>
          <w:u w:val="single"/>
        </w:rPr>
        <w:t>20</w:t>
      </w:r>
      <w:r w:rsidR="00342728">
        <w:rPr>
          <w:rFonts w:asciiTheme="minorHAnsi" w:hAnsiTheme="minorHAnsi"/>
          <w:b/>
          <w:sz w:val="22"/>
          <w:szCs w:val="22"/>
          <w:u w:val="single"/>
        </w:rPr>
        <w:t xml:space="preserve"> november </w:t>
      </w:r>
      <w:r w:rsidRPr="00EF694A" w:rsidR="00576674">
        <w:rPr>
          <w:rFonts w:asciiTheme="minorHAnsi" w:hAnsiTheme="minorHAnsi"/>
          <w:b/>
          <w:sz w:val="22"/>
          <w:szCs w:val="22"/>
          <w:u w:val="single"/>
        </w:rPr>
        <w:t>2015</w:t>
      </w:r>
      <w:r w:rsidR="006A3426">
        <w:rPr>
          <w:rFonts w:asciiTheme="minorHAnsi" w:hAnsiTheme="minorHAnsi"/>
          <w:b/>
          <w:sz w:val="22"/>
          <w:szCs w:val="22"/>
          <w:u w:val="single"/>
        </w:rPr>
        <w:t xml:space="preserve"> (week 45-46)</w:t>
      </w:r>
    </w:p>
    <w:p w:rsidRPr="00BD6B9A" w:rsidR="00B70DB1" w:rsidP="00576674" w:rsidRDefault="00B70DB1">
      <w:pPr>
        <w:rPr>
          <w:rFonts w:asciiTheme="minorHAnsi" w:hAnsiTheme="minorHAnsi"/>
          <w:sz w:val="22"/>
          <w:szCs w:val="22"/>
        </w:rPr>
      </w:pPr>
    </w:p>
    <w:p w:rsidRPr="00F67F5B" w:rsidR="00576674" w:rsidP="00576674" w:rsidRDefault="00576674">
      <w:pPr>
        <w:rPr>
          <w:rFonts w:asciiTheme="minorHAnsi" w:hAnsiTheme="minorHAnsi"/>
          <w:sz w:val="22"/>
          <w:szCs w:val="22"/>
        </w:rPr>
      </w:pPr>
    </w:p>
    <w:tbl>
      <w:tblPr>
        <w:tblW w:w="1465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34"/>
        <w:gridCol w:w="708"/>
        <w:gridCol w:w="1418"/>
        <w:gridCol w:w="4331"/>
        <w:gridCol w:w="554"/>
        <w:gridCol w:w="1213"/>
        <w:gridCol w:w="4856"/>
      </w:tblGrid>
      <w:tr w:rsidRPr="00F67F5B" w:rsidR="006247A5" w:rsidTr="003C3E53">
        <w:trPr>
          <w:trHeight w:val="1550"/>
        </w:trPr>
        <w:tc>
          <w:tcPr>
            <w:tcW w:w="441" w:type="dxa"/>
            <w:textDirection w:val="btLr"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Nummer</w:t>
            </w:r>
          </w:p>
        </w:tc>
        <w:tc>
          <w:tcPr>
            <w:tcW w:w="1134" w:type="dxa"/>
            <w:shd w:val="clear" w:color="auto" w:fill="auto"/>
            <w:textDirection w:val="btLr"/>
            <w:vAlign w:val="bottom"/>
            <w:hideMark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Publicatie-</w:t>
            </w:r>
          </w:p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708" w:type="dxa"/>
            <w:shd w:val="clear" w:color="auto" w:fill="auto"/>
            <w:textDirection w:val="btLr"/>
            <w:vAlign w:val="bottom"/>
            <w:hideMark/>
          </w:tcPr>
          <w:p w:rsidRPr="0088310D" w:rsidR="006247A5" w:rsidP="00E512BF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Voortouw</w:t>
            </w:r>
          </w:p>
        </w:tc>
        <w:tc>
          <w:tcPr>
            <w:tcW w:w="1418" w:type="dxa"/>
            <w:shd w:val="clear" w:color="auto" w:fill="auto"/>
            <w:textDirection w:val="btLr"/>
            <w:vAlign w:val="bottom"/>
            <w:hideMark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4331" w:type="dxa"/>
            <w:shd w:val="clear" w:color="auto" w:fill="auto"/>
            <w:textDirection w:val="btLr"/>
            <w:vAlign w:val="bottom"/>
            <w:hideMark/>
          </w:tcPr>
          <w:p w:rsidRPr="00F67F5B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Titel</w:t>
            </w:r>
          </w:p>
        </w:tc>
        <w:tc>
          <w:tcPr>
            <w:tcW w:w="554" w:type="dxa"/>
            <w:shd w:val="clear" w:color="auto" w:fill="auto"/>
            <w:textDirection w:val="btLr"/>
            <w:vAlign w:val="bottom"/>
            <w:hideMark/>
          </w:tcPr>
          <w:p w:rsidRPr="00F67F5B" w:rsidR="006247A5" w:rsidP="00827F2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OM</w:t>
            </w: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-nummer</w:t>
            </w:r>
          </w:p>
        </w:tc>
        <w:tc>
          <w:tcPr>
            <w:tcW w:w="1213" w:type="dxa"/>
            <w:textDirection w:val="btLr"/>
          </w:tcPr>
          <w:p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Pr="00F50A0B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Deadline</w:t>
            </w:r>
          </w:p>
          <w:p w:rsidRPr="00F67F5B" w:rsidR="006247A5" w:rsidP="00454C0B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Sub.toets</w:t>
            </w:r>
            <w:proofErr w:type="spellEnd"/>
          </w:p>
        </w:tc>
        <w:tc>
          <w:tcPr>
            <w:tcW w:w="4856" w:type="dxa"/>
            <w:shd w:val="clear" w:color="auto" w:fill="auto"/>
            <w:textDirection w:val="btLr"/>
            <w:vAlign w:val="bottom"/>
            <w:hideMark/>
          </w:tcPr>
          <w:p w:rsidRPr="00F67F5B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Opmerking</w:t>
            </w:r>
          </w:p>
        </w:tc>
      </w:tr>
      <w:tr w:rsidRPr="00F67F5B" w:rsidR="006247A5" w:rsidTr="003C3E53">
        <w:trPr>
          <w:trHeight w:val="300"/>
        </w:trPr>
        <w:tc>
          <w:tcPr>
            <w:tcW w:w="441" w:type="dxa"/>
            <w:tcBorders>
              <w:bottom w:val="single" w:color="auto" w:sz="4" w:space="0"/>
            </w:tcBorders>
            <w:shd w:val="clear" w:color="000000" w:fill="538DD5"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88310D" w:rsidR="006247A5" w:rsidP="00651515" w:rsidRDefault="006247A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shd w:val="clear" w:color="000000" w:fill="538DD5"/>
          </w:tcPr>
          <w:p w:rsidRPr="00F67F5B" w:rsidR="006247A5" w:rsidP="00651515" w:rsidRDefault="006247A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6" w:type="dxa"/>
            <w:tcBorders>
              <w:bottom w:val="single" w:color="auto" w:sz="4" w:space="0"/>
            </w:tcBorders>
            <w:shd w:val="clear" w:color="000000" w:fill="538DD5"/>
            <w:hideMark/>
          </w:tcPr>
          <w:p w:rsidRPr="00F67F5B" w:rsidR="006247A5" w:rsidP="00651515" w:rsidRDefault="006247A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Pr="00A62907" w:rsidR="00DD29B9" w:rsidTr="00981E16">
        <w:trPr>
          <w:trHeight w:val="884"/>
        </w:trPr>
        <w:tc>
          <w:tcPr>
            <w:tcW w:w="441" w:type="dxa"/>
          </w:tcPr>
          <w:p w:rsidR="00DD29B9" w:rsidP="001A2ABC" w:rsidRDefault="00DD29B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34" w:type="dxa"/>
            <w:shd w:val="clear" w:color="auto" w:fill="auto"/>
            <w:noWrap/>
          </w:tcPr>
          <w:p w:rsidR="00981E16" w:rsidP="00981E16" w:rsidRDefault="006A34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  <w:r w:rsidR="00981E16">
              <w:rPr>
                <w:rFonts w:ascii="Calibri" w:hAnsi="Calibri"/>
                <w:color w:val="000000"/>
                <w:sz w:val="22"/>
                <w:szCs w:val="22"/>
              </w:rPr>
              <w:t>-nov-15</w:t>
            </w:r>
          </w:p>
          <w:p w:rsidR="00DD29B9" w:rsidP="00DD29B9" w:rsidRDefault="00DD29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D29B9" w:rsidP="00DD29B9" w:rsidRDefault="00DD29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V&amp;J</w:t>
            </w:r>
          </w:p>
          <w:p w:rsidR="00DD29B9" w:rsidP="00DD29B9" w:rsidRDefault="00DD29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81E16" w:rsidP="00981E16" w:rsidRDefault="006A34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richtlijn</w:t>
            </w:r>
          </w:p>
          <w:p w:rsidR="00DD29B9" w:rsidP="00DD29B9" w:rsidRDefault="00DD29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shd w:val="clear" w:color="auto" w:fill="auto"/>
          </w:tcPr>
          <w:p w:rsidR="00DD29B9" w:rsidP="006A3426" w:rsidRDefault="006A342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DIRECTIVE OF THE EUROPEAN PARLIAMENT AND OF THE COUNCIL (…) on control of the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acquisition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possession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weapons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shd w:val="clear" w:color="auto" w:fill="auto"/>
            <w:noWrap/>
          </w:tcPr>
          <w:p w:rsidR="006A3426" w:rsidP="006A3426" w:rsidRDefault="00BD6B9A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w:history="1" r:id="rId9">
              <w:r w:rsidR="006A3426">
                <w:rPr>
                  <w:rStyle w:val="Hyperlink"/>
                  <w:rFonts w:ascii="Calibri" w:hAnsi="Calibri"/>
                  <w:sz w:val="22"/>
                  <w:szCs w:val="22"/>
                </w:rPr>
                <w:t>750</w:t>
              </w:r>
            </w:hyperlink>
          </w:p>
          <w:p w:rsidR="00DD29B9" w:rsidP="006A3426" w:rsidRDefault="00DD29B9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213" w:type="dxa"/>
            <w:shd w:val="clear" w:color="auto" w:fill="auto"/>
          </w:tcPr>
          <w:p w:rsidRPr="00A62907" w:rsidR="00DD29B9" w:rsidP="00BD6B9A" w:rsidRDefault="006A342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6B9A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nog niet bekend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</w:t>
            </w:r>
            <w:r w:rsidR="00BD6B9A">
              <w:rPr>
                <w:rFonts w:asciiTheme="minorHAnsi" w:hAnsiTheme="minorHAnsi"/>
                <w:color w:val="000000"/>
                <w:sz w:val="22"/>
                <w:szCs w:val="22"/>
              </w:rPr>
              <w:t>termijn</w:t>
            </w:r>
            <w:bookmarkStart w:name="_GoBack" w:id="0"/>
            <w:bookmarkEnd w:id="0"/>
            <w:r w:rsidR="00BD6B9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is nog niet gaan lopen, zie toelichting hieronder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56" w:type="dxa"/>
            <w:shd w:val="clear" w:color="auto" w:fill="auto"/>
          </w:tcPr>
          <w:p w:rsidR="00FB7CA6" w:rsidP="00D72DE5" w:rsidRDefault="00B0701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B7CA6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Voorstel</w:t>
            </w:r>
            <w:r w:rsidRPr="00FB7CA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A3426">
              <w:rPr>
                <w:rFonts w:asciiTheme="minorHAnsi" w:hAnsiTheme="minorHAnsi"/>
                <w:color w:val="000000"/>
                <w:sz w:val="22"/>
                <w:szCs w:val="22"/>
              </w:rPr>
              <w:t>behandeling aanhouden.</w:t>
            </w:r>
          </w:p>
          <w:p w:rsidR="006A3426" w:rsidP="006A3426" w:rsidRDefault="006A342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Het betreft een voorstel </w:t>
            </w:r>
            <w:r w:rsidR="007A4F5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(Engelstalige versie)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ter aanscherping van de bestaande </w:t>
            </w:r>
            <w:r w:rsidR="00EA3F3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Europese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richtlijn over aanschaf en bezit van wapens.</w:t>
            </w:r>
          </w:p>
          <w:p w:rsidRPr="00431C6C" w:rsidR="0094620E" w:rsidP="007A4F5B" w:rsidRDefault="006A342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Zodra de Nederlandstalige tekst beschikbaar is </w:t>
            </w:r>
            <w:r w:rsidR="007A4F5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wordt dit voorstel geagendeerd voor de procedurevergadering, vergezeld van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een </w:t>
            </w:r>
            <w:r w:rsidR="00BF3135">
              <w:rPr>
                <w:rFonts w:asciiTheme="minorHAnsi" w:hAnsiTheme="minorHAnsi"/>
                <w:color w:val="000000"/>
                <w:sz w:val="22"/>
                <w:szCs w:val="22"/>
              </w:rPr>
              <w:t>EU-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stafnotitie met een behandelvoorstel.</w:t>
            </w:r>
          </w:p>
        </w:tc>
      </w:tr>
      <w:tr w:rsidRPr="00A62907" w:rsidR="003C0D55" w:rsidTr="00981E16">
        <w:trPr>
          <w:trHeight w:val="884"/>
        </w:trPr>
        <w:tc>
          <w:tcPr>
            <w:tcW w:w="441" w:type="dxa"/>
          </w:tcPr>
          <w:p w:rsidR="003C0D55" w:rsidP="001A2ABC" w:rsidRDefault="003C0D5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34" w:type="dxa"/>
            <w:shd w:val="clear" w:color="auto" w:fill="auto"/>
            <w:noWrap/>
          </w:tcPr>
          <w:p w:rsidR="003C0D55" w:rsidP="00981E16" w:rsidRDefault="003C0D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18-nov-15</w:t>
            </w:r>
          </w:p>
        </w:tc>
        <w:tc>
          <w:tcPr>
            <w:tcW w:w="708" w:type="dxa"/>
            <w:shd w:val="clear" w:color="auto" w:fill="auto"/>
            <w:noWrap/>
          </w:tcPr>
          <w:p w:rsidR="003C0D55" w:rsidP="00DD29B9" w:rsidRDefault="003C0D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V&amp;J</w:t>
            </w:r>
          </w:p>
        </w:tc>
        <w:tc>
          <w:tcPr>
            <w:tcW w:w="1418" w:type="dxa"/>
            <w:shd w:val="clear" w:color="auto" w:fill="auto"/>
            <w:noWrap/>
          </w:tcPr>
          <w:p w:rsidR="003C0D55" w:rsidP="00981E16" w:rsidRDefault="003C0D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verslag</w:t>
            </w:r>
          </w:p>
        </w:tc>
        <w:tc>
          <w:tcPr>
            <w:tcW w:w="4331" w:type="dxa"/>
            <w:shd w:val="clear" w:color="auto" w:fill="auto"/>
          </w:tcPr>
          <w:p w:rsidR="003C0D55" w:rsidP="006A3426" w:rsidRDefault="003C0D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REPORT FROM THE COMMISSION TO THE EUROPEAN PARLIAMENT AND THE COUNCIL Evaluation of Council Directive 91/477/EC of 18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June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1991, as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amended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Directive 2008/51/EC of 21 May 2008, on control of the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acquisition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possession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weapons</w:t>
            </w:r>
            <w:proofErr w:type="spellEnd"/>
          </w:p>
        </w:tc>
        <w:tc>
          <w:tcPr>
            <w:tcW w:w="554" w:type="dxa"/>
            <w:shd w:val="clear" w:color="auto" w:fill="auto"/>
            <w:noWrap/>
          </w:tcPr>
          <w:p w:rsidR="003C0D55" w:rsidP="003C0D55" w:rsidRDefault="003C0D55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  <w:t>751</w:t>
            </w:r>
          </w:p>
          <w:p w:rsidR="003C0D55" w:rsidP="006A3426" w:rsidRDefault="003C0D55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213" w:type="dxa"/>
            <w:shd w:val="clear" w:color="auto" w:fill="auto"/>
          </w:tcPr>
          <w:p w:rsidR="003C0D55" w:rsidP="000B3DF2" w:rsidRDefault="003C0D5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n.v.t.</w:t>
            </w:r>
          </w:p>
        </w:tc>
        <w:tc>
          <w:tcPr>
            <w:tcW w:w="4856" w:type="dxa"/>
            <w:shd w:val="clear" w:color="auto" w:fill="auto"/>
          </w:tcPr>
          <w:p w:rsidR="003C0D55" w:rsidP="00D72DE5" w:rsidRDefault="003C0D5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Voorstel: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behandeling aanhouden.</w:t>
            </w:r>
          </w:p>
          <w:p w:rsidR="003C0D55" w:rsidP="003C0D55" w:rsidRDefault="003C0D5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Het betreft een verslag van een evaluatie van de hierboven bedoelde wapenrichtlijn.</w:t>
            </w:r>
          </w:p>
          <w:p w:rsidRPr="003C0D55" w:rsidR="003C0D55" w:rsidP="003C0D55" w:rsidRDefault="003C0D5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Dit verslag zal worden betrokken in de onder punt 1 toegezegde EU-stafnotitie.</w:t>
            </w:r>
          </w:p>
        </w:tc>
      </w:tr>
    </w:tbl>
    <w:p w:rsidR="00B226EE" w:rsidRDefault="00B226EE">
      <w:pPr>
        <w:rPr>
          <w:rFonts w:asciiTheme="minorHAnsi" w:hAnsiTheme="minorHAnsi"/>
          <w:b/>
          <w:sz w:val="22"/>
        </w:rPr>
      </w:pPr>
    </w:p>
    <w:p w:rsidRPr="004B006B" w:rsidR="004C7A6A" w:rsidRDefault="000B3DF2">
      <w:pPr>
        <w:rPr>
          <w:rFonts w:asciiTheme="minorHAnsi" w:hAnsiTheme="minorHAnsi"/>
          <w:b/>
          <w:sz w:val="22"/>
        </w:rPr>
      </w:pPr>
      <w:r w:rsidRPr="004B006B">
        <w:rPr>
          <w:rFonts w:asciiTheme="minorHAnsi" w:hAnsiTheme="minorHAnsi"/>
          <w:b/>
          <w:sz w:val="22"/>
        </w:rPr>
        <w:t xml:space="preserve">Toelichting </w:t>
      </w:r>
    </w:p>
    <w:p w:rsidRPr="004B006B" w:rsidR="000B3DF2" w:rsidP="000B3DF2" w:rsidRDefault="000B3DF2">
      <w:pPr>
        <w:pStyle w:val="Voetnoottekst"/>
        <w:numPr>
          <w:ilvl w:val="0"/>
          <w:numId w:val="1"/>
        </w:numPr>
        <w:rPr>
          <w:rFonts w:asciiTheme="minorHAnsi" w:hAnsiTheme="minorHAnsi"/>
          <w:szCs w:val="22"/>
        </w:rPr>
      </w:pPr>
      <w:r w:rsidRPr="0036062C">
        <w:rPr>
          <w:rFonts w:asciiTheme="minorHAnsi" w:hAnsiTheme="minorHAnsi"/>
          <w:color w:val="000000"/>
          <w:szCs w:val="22"/>
          <w:shd w:val="clear" w:color="auto" w:fill="D99594" w:themeFill="accent2" w:themeFillTint="99"/>
        </w:rPr>
        <w:t>Rood gemarkeerd</w:t>
      </w:r>
      <w:r w:rsidRPr="004B006B">
        <w:rPr>
          <w:rFonts w:asciiTheme="minorHAnsi" w:hAnsiTheme="minorHAnsi"/>
          <w:szCs w:val="22"/>
        </w:rPr>
        <w:t xml:space="preserve"> betekent dat het desbetreffende EU-voorstel behoort tot een door de commissie als prioritair bestempeld dossier en om die reden een apart behandeltraject doorloopt. De bijzonderheden worden in dat geval in het veld “Opmerking” vermeld.</w:t>
      </w:r>
      <w:r w:rsidRPr="004B006B">
        <w:rPr>
          <w:sz w:val="18"/>
        </w:rPr>
        <w:t xml:space="preserve"> </w:t>
      </w:r>
    </w:p>
    <w:p w:rsidRPr="004B006B" w:rsidR="000B3DF2" w:rsidP="000B3DF2" w:rsidRDefault="000B3DF2">
      <w:pPr>
        <w:pStyle w:val="Voetnoottekst"/>
        <w:numPr>
          <w:ilvl w:val="0"/>
          <w:numId w:val="1"/>
        </w:numPr>
        <w:rPr>
          <w:rFonts w:asciiTheme="minorHAnsi" w:hAnsiTheme="minorHAnsi"/>
        </w:rPr>
      </w:pPr>
      <w:r w:rsidRPr="004B006B">
        <w:rPr>
          <w:rFonts w:asciiTheme="minorHAnsi" w:hAnsiTheme="minorHAnsi"/>
          <w:szCs w:val="22"/>
        </w:rPr>
        <w:t>Omdat groen- en witboeken en prioritaire voorstellen ook afzonderlijk worden geagendeerd, volstaat hiervoor een verwijzing naar het aparte agendapunt en de mogelijk hierbij behorende EU-stafnotitie.</w:t>
      </w:r>
    </w:p>
    <w:p w:rsidRPr="00C70F70" w:rsidR="0035394F" w:rsidP="00C70F70" w:rsidRDefault="00C70F70">
      <w:pPr>
        <w:pStyle w:val="Voetnootteks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De deadline voor het inzenden van een subsidiariteitsbezwaar is </w:t>
      </w:r>
      <w:r w:rsidRPr="00033B1D">
        <w:rPr>
          <w:rFonts w:asciiTheme="minorHAnsi" w:hAnsiTheme="minorHAnsi"/>
          <w:u w:val="single"/>
        </w:rPr>
        <w:t>acht weken</w:t>
      </w:r>
      <w:r>
        <w:rPr>
          <w:rFonts w:asciiTheme="minorHAnsi" w:hAnsiTheme="minorHAnsi"/>
        </w:rPr>
        <w:t xml:space="preserve"> na ontvangst van de </w:t>
      </w:r>
      <w:r w:rsidRPr="0002333B">
        <w:rPr>
          <w:rFonts w:asciiTheme="minorHAnsi" w:hAnsiTheme="minorHAnsi"/>
          <w:i/>
        </w:rPr>
        <w:t>lettre de saisine</w:t>
      </w:r>
      <w:r>
        <w:rPr>
          <w:rFonts w:asciiTheme="minorHAnsi" w:hAnsiTheme="minorHAnsi"/>
          <w:i/>
        </w:rPr>
        <w:t>:</w:t>
      </w:r>
      <w:r w:rsidRPr="0002333B">
        <w:rPr>
          <w:rFonts w:asciiTheme="minorHAnsi" w:hAnsiTheme="minorHAnsi"/>
          <w:i/>
        </w:rPr>
        <w:t xml:space="preserve"> </w:t>
      </w:r>
      <w:r w:rsidRPr="0002333B">
        <w:rPr>
          <w:rFonts w:asciiTheme="minorHAnsi" w:hAnsiTheme="minorHAnsi"/>
        </w:rPr>
        <w:t xml:space="preserve">de brief waarin het secretariaat van de Europese Commissie laat weten dat alle nationale parlementen een voorstel voor een </w:t>
      </w:r>
      <w:r w:rsidRPr="00B2185A">
        <w:rPr>
          <w:rFonts w:asciiTheme="minorHAnsi" w:hAnsiTheme="minorHAnsi"/>
          <w:i/>
        </w:rPr>
        <w:t>wetgevings</w:t>
      </w:r>
      <w:r w:rsidRPr="0002333B">
        <w:rPr>
          <w:rFonts w:asciiTheme="minorHAnsi" w:hAnsiTheme="minorHAnsi"/>
        </w:rPr>
        <w:t xml:space="preserve">handeling in hun respectievelijke talen hebben ontvangen. </w:t>
      </w:r>
      <w:r>
        <w:rPr>
          <w:rFonts w:asciiTheme="minorHAnsi" w:hAnsiTheme="minorHAnsi"/>
        </w:rPr>
        <w:t>Binnen die termijn heeft de Kamer</w:t>
      </w:r>
      <w:r w:rsidRPr="0002333B">
        <w:rPr>
          <w:rFonts w:asciiTheme="minorHAnsi" w:hAnsiTheme="minorHAnsi"/>
        </w:rPr>
        <w:t xml:space="preserve"> de mogelijkheid </w:t>
      </w:r>
      <w:r>
        <w:rPr>
          <w:rFonts w:asciiTheme="minorHAnsi" w:hAnsiTheme="minorHAnsi"/>
        </w:rPr>
        <w:t xml:space="preserve">om </w:t>
      </w:r>
      <w:r w:rsidRPr="0002333B">
        <w:rPr>
          <w:rFonts w:asciiTheme="minorHAnsi" w:hAnsiTheme="minorHAnsi"/>
        </w:rPr>
        <w:t>aan de voorzitters van het Europees Parlement, de Raad en de Commissie een gemotiveerd advies (</w:t>
      </w:r>
      <w:r w:rsidR="008979BE">
        <w:rPr>
          <w:rFonts w:asciiTheme="minorHAnsi" w:hAnsiTheme="minorHAnsi"/>
        </w:rPr>
        <w:t>‘</w:t>
      </w:r>
      <w:proofErr w:type="spellStart"/>
      <w:r w:rsidR="008979BE">
        <w:rPr>
          <w:rFonts w:asciiTheme="minorHAnsi" w:hAnsiTheme="minorHAnsi"/>
        </w:rPr>
        <w:t>reasoned</w:t>
      </w:r>
      <w:proofErr w:type="spellEnd"/>
      <w:r w:rsidR="008979BE">
        <w:rPr>
          <w:rFonts w:asciiTheme="minorHAnsi" w:hAnsiTheme="minorHAnsi"/>
        </w:rPr>
        <w:t xml:space="preserve"> opinion’</w:t>
      </w:r>
      <w:r w:rsidRPr="0002333B">
        <w:rPr>
          <w:rFonts w:asciiTheme="minorHAnsi" w:hAnsiTheme="minorHAnsi"/>
        </w:rPr>
        <w:t>)</w:t>
      </w:r>
      <w:r w:rsidR="008979BE">
        <w:rPr>
          <w:rFonts w:asciiTheme="minorHAnsi" w:hAnsiTheme="minorHAnsi"/>
        </w:rPr>
        <w:t xml:space="preserve"> </w:t>
      </w:r>
      <w:r w:rsidRPr="0002333B">
        <w:rPr>
          <w:rFonts w:asciiTheme="minorHAnsi" w:hAnsiTheme="minorHAnsi"/>
        </w:rPr>
        <w:t>toe te zenden waarin wordt uiteengezet waarom het betrokken ontwerp naar het oordeel van de Kamer niet strookt met het subsidiariteitsbeginsel. Zie EU-Verdrag, Protocol 2: Betreffende de toepassing van de beginselen van subsidiariteit en evenredigheid, artikel 6.</w:t>
      </w:r>
    </w:p>
    <w:sectPr w:rsidRPr="00C70F70" w:rsidR="0035394F" w:rsidSect="00BF35EE">
      <w:footerReference w:type="default" r:id="rId10"/>
      <w:pgSz w:w="16838" w:h="11906" w:orient="landscape"/>
      <w:pgMar w:top="1134" w:right="1134" w:bottom="1134" w:left="1134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B1" w:rsidRDefault="00B449B1">
      <w:r>
        <w:separator/>
      </w:r>
    </w:p>
  </w:endnote>
  <w:endnote w:type="continuationSeparator" w:id="0">
    <w:p w:rsidR="00B449B1" w:rsidRDefault="00B4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33007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F35EE" w:rsidRPr="00BF35EE" w:rsidRDefault="002E1447">
        <w:pPr>
          <w:pStyle w:val="Voettekst"/>
          <w:jc w:val="right"/>
          <w:rPr>
            <w:rFonts w:asciiTheme="minorHAnsi" w:hAnsiTheme="minorHAnsi"/>
            <w:sz w:val="22"/>
            <w:szCs w:val="22"/>
          </w:rPr>
        </w:pPr>
        <w:r w:rsidRPr="00BF35EE">
          <w:rPr>
            <w:rFonts w:asciiTheme="minorHAnsi" w:hAnsiTheme="minorHAnsi"/>
            <w:sz w:val="22"/>
            <w:szCs w:val="22"/>
          </w:rPr>
          <w:fldChar w:fldCharType="begin"/>
        </w:r>
        <w:r w:rsidRPr="00BF35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BF35EE">
          <w:rPr>
            <w:rFonts w:asciiTheme="minorHAnsi" w:hAnsiTheme="minorHAnsi"/>
            <w:sz w:val="22"/>
            <w:szCs w:val="22"/>
          </w:rPr>
          <w:fldChar w:fldCharType="separate"/>
        </w:r>
        <w:r w:rsidR="00BD6B9A">
          <w:rPr>
            <w:rFonts w:asciiTheme="minorHAnsi" w:hAnsiTheme="minorHAnsi"/>
            <w:noProof/>
            <w:sz w:val="22"/>
            <w:szCs w:val="22"/>
          </w:rPr>
          <w:t>1</w:t>
        </w:r>
        <w:r w:rsidRPr="00BF35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BF35EE" w:rsidRDefault="00BD6B9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B1" w:rsidRDefault="00B449B1">
      <w:r>
        <w:separator/>
      </w:r>
    </w:p>
  </w:footnote>
  <w:footnote w:type="continuationSeparator" w:id="0">
    <w:p w:rsidR="00B449B1" w:rsidRDefault="00B44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617"/>
    <w:multiLevelType w:val="hybridMultilevel"/>
    <w:tmpl w:val="D1B48E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751F8A"/>
    <w:multiLevelType w:val="hybridMultilevel"/>
    <w:tmpl w:val="C2E091AA"/>
    <w:lvl w:ilvl="0" w:tplc="B7E099A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D5C97"/>
    <w:multiLevelType w:val="hybridMultilevel"/>
    <w:tmpl w:val="FE907470"/>
    <w:lvl w:ilvl="0" w:tplc="9D02B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74"/>
    <w:rsid w:val="0000224E"/>
    <w:rsid w:val="000125DF"/>
    <w:rsid w:val="00013143"/>
    <w:rsid w:val="000310BC"/>
    <w:rsid w:val="00056596"/>
    <w:rsid w:val="000640EF"/>
    <w:rsid w:val="00066526"/>
    <w:rsid w:val="00082F51"/>
    <w:rsid w:val="0009137E"/>
    <w:rsid w:val="000A4BC4"/>
    <w:rsid w:val="000A6D87"/>
    <w:rsid w:val="000B3DF2"/>
    <w:rsid w:val="000C7FB3"/>
    <w:rsid w:val="000D0355"/>
    <w:rsid w:val="000D7445"/>
    <w:rsid w:val="001032D1"/>
    <w:rsid w:val="001412CA"/>
    <w:rsid w:val="0014513C"/>
    <w:rsid w:val="001508A3"/>
    <w:rsid w:val="00151AFF"/>
    <w:rsid w:val="00175F69"/>
    <w:rsid w:val="00183D32"/>
    <w:rsid w:val="001A0790"/>
    <w:rsid w:val="001A2ABC"/>
    <w:rsid w:val="001D48F0"/>
    <w:rsid w:val="001D6711"/>
    <w:rsid w:val="00206A94"/>
    <w:rsid w:val="00207E0A"/>
    <w:rsid w:val="0021128B"/>
    <w:rsid w:val="00214F82"/>
    <w:rsid w:val="002237B8"/>
    <w:rsid w:val="0022650B"/>
    <w:rsid w:val="00234B62"/>
    <w:rsid w:val="00237CCE"/>
    <w:rsid w:val="00261553"/>
    <w:rsid w:val="00270661"/>
    <w:rsid w:val="00272EA2"/>
    <w:rsid w:val="00291471"/>
    <w:rsid w:val="002A1234"/>
    <w:rsid w:val="002E1447"/>
    <w:rsid w:val="002F759F"/>
    <w:rsid w:val="003331EC"/>
    <w:rsid w:val="00342728"/>
    <w:rsid w:val="0035394F"/>
    <w:rsid w:val="0036062C"/>
    <w:rsid w:val="0037117F"/>
    <w:rsid w:val="00383C6C"/>
    <w:rsid w:val="003853E5"/>
    <w:rsid w:val="00390714"/>
    <w:rsid w:val="003A0957"/>
    <w:rsid w:val="003B10DC"/>
    <w:rsid w:val="003C0D55"/>
    <w:rsid w:val="003C35BA"/>
    <w:rsid w:val="003C3E53"/>
    <w:rsid w:val="003C5F1E"/>
    <w:rsid w:val="003D5694"/>
    <w:rsid w:val="004115AF"/>
    <w:rsid w:val="004149FC"/>
    <w:rsid w:val="00423082"/>
    <w:rsid w:val="00431C6C"/>
    <w:rsid w:val="00454C0B"/>
    <w:rsid w:val="00454E4E"/>
    <w:rsid w:val="00460B45"/>
    <w:rsid w:val="00475F81"/>
    <w:rsid w:val="00490A3C"/>
    <w:rsid w:val="00494123"/>
    <w:rsid w:val="004A0EF7"/>
    <w:rsid w:val="004B006B"/>
    <w:rsid w:val="004B0BFC"/>
    <w:rsid w:val="004C7A6A"/>
    <w:rsid w:val="004F231F"/>
    <w:rsid w:val="004F6997"/>
    <w:rsid w:val="00516474"/>
    <w:rsid w:val="00520157"/>
    <w:rsid w:val="00537140"/>
    <w:rsid w:val="0054232E"/>
    <w:rsid w:val="0055022E"/>
    <w:rsid w:val="00572CB7"/>
    <w:rsid w:val="00575D2D"/>
    <w:rsid w:val="00576674"/>
    <w:rsid w:val="00586FBB"/>
    <w:rsid w:val="00591220"/>
    <w:rsid w:val="005963C0"/>
    <w:rsid w:val="005A7BC7"/>
    <w:rsid w:val="005D7885"/>
    <w:rsid w:val="006001E6"/>
    <w:rsid w:val="0060216D"/>
    <w:rsid w:val="006125BD"/>
    <w:rsid w:val="006247A5"/>
    <w:rsid w:val="006659D9"/>
    <w:rsid w:val="006706BC"/>
    <w:rsid w:val="00674C7B"/>
    <w:rsid w:val="006A3426"/>
    <w:rsid w:val="006C7264"/>
    <w:rsid w:val="006C7983"/>
    <w:rsid w:val="006E1686"/>
    <w:rsid w:val="006E6A0A"/>
    <w:rsid w:val="006F31BB"/>
    <w:rsid w:val="00707885"/>
    <w:rsid w:val="00711AA7"/>
    <w:rsid w:val="007177EF"/>
    <w:rsid w:val="007239DF"/>
    <w:rsid w:val="007529D4"/>
    <w:rsid w:val="0075559E"/>
    <w:rsid w:val="007802EE"/>
    <w:rsid w:val="00783511"/>
    <w:rsid w:val="007A4F5B"/>
    <w:rsid w:val="007A5611"/>
    <w:rsid w:val="007C183E"/>
    <w:rsid w:val="007C42C8"/>
    <w:rsid w:val="007C4AF0"/>
    <w:rsid w:val="007F387D"/>
    <w:rsid w:val="007F39C1"/>
    <w:rsid w:val="007F67A8"/>
    <w:rsid w:val="008121D9"/>
    <w:rsid w:val="0082198B"/>
    <w:rsid w:val="00827F25"/>
    <w:rsid w:val="00833E69"/>
    <w:rsid w:val="00835554"/>
    <w:rsid w:val="0088310D"/>
    <w:rsid w:val="00892EA6"/>
    <w:rsid w:val="0089505B"/>
    <w:rsid w:val="0089570A"/>
    <w:rsid w:val="008979BE"/>
    <w:rsid w:val="008A0FEB"/>
    <w:rsid w:val="008B2867"/>
    <w:rsid w:val="008D541F"/>
    <w:rsid w:val="0092246C"/>
    <w:rsid w:val="00932D5A"/>
    <w:rsid w:val="0094620E"/>
    <w:rsid w:val="00954ABD"/>
    <w:rsid w:val="00960F0F"/>
    <w:rsid w:val="0097599C"/>
    <w:rsid w:val="00981E16"/>
    <w:rsid w:val="0098439F"/>
    <w:rsid w:val="009958DE"/>
    <w:rsid w:val="009A0714"/>
    <w:rsid w:val="009D3D79"/>
    <w:rsid w:val="00A15487"/>
    <w:rsid w:val="00A15542"/>
    <w:rsid w:val="00A30CF0"/>
    <w:rsid w:val="00A41F64"/>
    <w:rsid w:val="00A44E9F"/>
    <w:rsid w:val="00A45C8B"/>
    <w:rsid w:val="00A47D74"/>
    <w:rsid w:val="00A62907"/>
    <w:rsid w:val="00A643EE"/>
    <w:rsid w:val="00A66B6F"/>
    <w:rsid w:val="00A70586"/>
    <w:rsid w:val="00A762AC"/>
    <w:rsid w:val="00A7766A"/>
    <w:rsid w:val="00A824A7"/>
    <w:rsid w:val="00A91CAE"/>
    <w:rsid w:val="00AA08E5"/>
    <w:rsid w:val="00AB1FA1"/>
    <w:rsid w:val="00AB7DCF"/>
    <w:rsid w:val="00AB7F45"/>
    <w:rsid w:val="00AD19EF"/>
    <w:rsid w:val="00AD3AF5"/>
    <w:rsid w:val="00AD617F"/>
    <w:rsid w:val="00B07015"/>
    <w:rsid w:val="00B118FB"/>
    <w:rsid w:val="00B2098B"/>
    <w:rsid w:val="00B2185A"/>
    <w:rsid w:val="00B226EE"/>
    <w:rsid w:val="00B24174"/>
    <w:rsid w:val="00B30C96"/>
    <w:rsid w:val="00B320F4"/>
    <w:rsid w:val="00B449B1"/>
    <w:rsid w:val="00B5078C"/>
    <w:rsid w:val="00B63933"/>
    <w:rsid w:val="00B666CA"/>
    <w:rsid w:val="00B6759A"/>
    <w:rsid w:val="00B70DB1"/>
    <w:rsid w:val="00B712B8"/>
    <w:rsid w:val="00B823EF"/>
    <w:rsid w:val="00B84A83"/>
    <w:rsid w:val="00B907D2"/>
    <w:rsid w:val="00BB77C1"/>
    <w:rsid w:val="00BD6B9A"/>
    <w:rsid w:val="00BE2CD4"/>
    <w:rsid w:val="00BF3135"/>
    <w:rsid w:val="00BF490F"/>
    <w:rsid w:val="00C02160"/>
    <w:rsid w:val="00C14EF7"/>
    <w:rsid w:val="00C15693"/>
    <w:rsid w:val="00C5611A"/>
    <w:rsid w:val="00C65131"/>
    <w:rsid w:val="00C70F70"/>
    <w:rsid w:val="00C94390"/>
    <w:rsid w:val="00C945EA"/>
    <w:rsid w:val="00CA03D2"/>
    <w:rsid w:val="00CA4EE1"/>
    <w:rsid w:val="00CB3838"/>
    <w:rsid w:val="00CC23E5"/>
    <w:rsid w:val="00CE0C5F"/>
    <w:rsid w:val="00CF7E87"/>
    <w:rsid w:val="00D12D6A"/>
    <w:rsid w:val="00D14A0E"/>
    <w:rsid w:val="00D14EE1"/>
    <w:rsid w:val="00D26685"/>
    <w:rsid w:val="00D66EED"/>
    <w:rsid w:val="00D727C1"/>
    <w:rsid w:val="00D72D50"/>
    <w:rsid w:val="00D72DE5"/>
    <w:rsid w:val="00D81151"/>
    <w:rsid w:val="00D95C25"/>
    <w:rsid w:val="00DA5D9B"/>
    <w:rsid w:val="00DB47F3"/>
    <w:rsid w:val="00DD29B9"/>
    <w:rsid w:val="00DD6EF0"/>
    <w:rsid w:val="00DF3FBF"/>
    <w:rsid w:val="00E0112C"/>
    <w:rsid w:val="00E06D3F"/>
    <w:rsid w:val="00E321E7"/>
    <w:rsid w:val="00E32D11"/>
    <w:rsid w:val="00E4026A"/>
    <w:rsid w:val="00E442AF"/>
    <w:rsid w:val="00E512BF"/>
    <w:rsid w:val="00E551BC"/>
    <w:rsid w:val="00EA2272"/>
    <w:rsid w:val="00EA3F31"/>
    <w:rsid w:val="00EB362A"/>
    <w:rsid w:val="00ED2AB6"/>
    <w:rsid w:val="00EF694A"/>
    <w:rsid w:val="00F06A3A"/>
    <w:rsid w:val="00F153A4"/>
    <w:rsid w:val="00F21075"/>
    <w:rsid w:val="00F267A1"/>
    <w:rsid w:val="00F47DCD"/>
    <w:rsid w:val="00F50A0B"/>
    <w:rsid w:val="00F51470"/>
    <w:rsid w:val="00F718E5"/>
    <w:rsid w:val="00F9458A"/>
    <w:rsid w:val="00FB1274"/>
    <w:rsid w:val="00FB7CA6"/>
    <w:rsid w:val="00FC3488"/>
    <w:rsid w:val="00FC462B"/>
    <w:rsid w:val="00FC46DA"/>
    <w:rsid w:val="00FD7D7B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667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5766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6674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30C9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27F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7F2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EF69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F694A"/>
  </w:style>
  <w:style w:type="character" w:styleId="Voetnootmarkering">
    <w:name w:val="footnote reference"/>
    <w:basedOn w:val="Standaardalinea-lettertype"/>
    <w:rsid w:val="00EF694A"/>
    <w:rPr>
      <w:vertAlign w:val="superscript"/>
    </w:rPr>
  </w:style>
  <w:style w:type="character" w:styleId="GevolgdeHyperlink">
    <w:name w:val="FollowedHyperlink"/>
    <w:basedOn w:val="Standaardalinea-lettertype"/>
    <w:rsid w:val="00EF694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5394F"/>
    <w:pPr>
      <w:ind w:left="720"/>
      <w:contextualSpacing/>
    </w:pPr>
  </w:style>
  <w:style w:type="paragraph" w:customStyle="1" w:styleId="Default">
    <w:name w:val="Default"/>
    <w:rsid w:val="0000224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667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5766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6674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30C9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27F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7F2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EF69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F694A"/>
  </w:style>
  <w:style w:type="character" w:styleId="Voetnootmarkering">
    <w:name w:val="footnote reference"/>
    <w:basedOn w:val="Standaardalinea-lettertype"/>
    <w:rsid w:val="00EF694A"/>
    <w:rPr>
      <w:vertAlign w:val="superscript"/>
    </w:rPr>
  </w:style>
  <w:style w:type="character" w:styleId="GevolgdeHyperlink">
    <w:name w:val="FollowedHyperlink"/>
    <w:basedOn w:val="Standaardalinea-lettertype"/>
    <w:rsid w:val="00EF694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5394F"/>
    <w:pPr>
      <w:ind w:left="720"/>
      <w:contextualSpacing/>
    </w:pPr>
  </w:style>
  <w:style w:type="paragraph" w:customStyle="1" w:styleId="Default">
    <w:name w:val="Default"/>
    <w:rsid w:val="0000224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yperlink" Target="http://www.ipex.eu/IPEXL-WEB/dossier/document/COM20150750.do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355</ap:Words>
  <ap:Characters>2260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2015-09-11T12:14:00.0000000Z</lastPrinted>
  <dcterms:created xsi:type="dcterms:W3CDTF">2015-11-25T16:08:00.0000000Z</dcterms:created>
  <dcterms:modified xsi:type="dcterms:W3CDTF">2015-11-27T14:04:00.0000000Z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0x01010055DD149E2D5A4A46B15D5867CE985CB5</vt:lpwstr>
  </property>
</Properties>
</file>