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F3DBD" w:rsidR="00AF3DBD" w:rsidP="00B05471" w:rsidRDefault="00AF3DBD">
      <w:pPr>
        <w:spacing w:after="0" w:line="320" w:lineRule="atLeast"/>
        <w:rPr>
          <w:b/>
        </w:rPr>
      </w:pPr>
      <w:r w:rsidRPr="00AF3DBD">
        <w:rPr>
          <w:b/>
        </w:rPr>
        <w:t>Ronde Tafelgesprek Huisvesting Statushouders d.d. 1 december 2015</w:t>
      </w:r>
    </w:p>
    <w:p w:rsidRPr="00AF3DBD" w:rsidR="00AF3DBD" w:rsidP="00B05471" w:rsidRDefault="00AF3DBD">
      <w:pPr>
        <w:spacing w:after="0" w:line="320" w:lineRule="atLeast"/>
        <w:rPr>
          <w:b/>
        </w:rPr>
      </w:pPr>
      <w:r w:rsidRPr="00AF3DBD">
        <w:rPr>
          <w:b/>
        </w:rPr>
        <w:t>Gemeente Breda / Patrick van Lunteren (wethouder)</w:t>
      </w:r>
    </w:p>
    <w:p w:rsidR="00AF3DBD" w:rsidP="00B05471" w:rsidRDefault="00AF3DBD">
      <w:pPr>
        <w:pBdr>
          <w:bottom w:val="single" w:color="auto" w:sz="6" w:space="1"/>
        </w:pBdr>
        <w:spacing w:after="0" w:line="320" w:lineRule="atLeast"/>
      </w:pPr>
    </w:p>
    <w:p w:rsidR="00AF3DBD" w:rsidP="00B05471" w:rsidRDefault="00AF3DBD">
      <w:pPr>
        <w:spacing w:after="0" w:line="320" w:lineRule="atLeast"/>
      </w:pPr>
    </w:p>
    <w:p w:rsidR="00AF3DBD" w:rsidP="00B05471" w:rsidRDefault="00AF3DBD">
      <w:pPr>
        <w:spacing w:after="0" w:line="320" w:lineRule="atLeast"/>
      </w:pPr>
    </w:p>
    <w:p w:rsidR="00786824" w:rsidP="00B05471" w:rsidRDefault="00AF3DBD">
      <w:pPr>
        <w:spacing w:after="0" w:line="320" w:lineRule="atLeast"/>
      </w:pPr>
      <w:r>
        <w:t>Geachte v</w:t>
      </w:r>
      <w:r w:rsidR="00786824">
        <w:t>oorzitter / aanwezigen</w:t>
      </w:r>
      <w:r>
        <w:t>,</w:t>
      </w:r>
    </w:p>
    <w:p w:rsidR="0059388C" w:rsidP="00B05471" w:rsidRDefault="0059388C">
      <w:pPr>
        <w:spacing w:after="0" w:line="320" w:lineRule="atLeast"/>
      </w:pPr>
    </w:p>
    <w:p w:rsidR="001372D0" w:rsidP="00B05471" w:rsidRDefault="0059388C">
      <w:pPr>
        <w:spacing w:after="0" w:line="320" w:lineRule="atLeast"/>
      </w:pPr>
      <w:r>
        <w:t xml:space="preserve">Voordat ik in zal gaan op de huisvesting van statushouders wil ik u graag de omgeving en het kader </w:t>
      </w:r>
      <w:r w:rsidR="00AF3DBD">
        <w:t xml:space="preserve">schetsen van de specifieke </w:t>
      </w:r>
      <w:r>
        <w:t xml:space="preserve">woonopgave in Breda. De gemeente Breda telt op dit moment circa </w:t>
      </w:r>
      <w:r w:rsidR="00724BCE">
        <w:t xml:space="preserve">180.000 inwoners, met een </w:t>
      </w:r>
      <w:r>
        <w:t xml:space="preserve">bestand van </w:t>
      </w:r>
      <w:r w:rsidR="00724BCE">
        <w:t xml:space="preserve">81.000 woningen. De afgelopen periode zagen we een jaarlijkse toename </w:t>
      </w:r>
      <w:r w:rsidR="00AF3DBD">
        <w:t xml:space="preserve">/ uitbreiding </w:t>
      </w:r>
      <w:r w:rsidR="00724BCE">
        <w:t xml:space="preserve">van </w:t>
      </w:r>
      <w:r w:rsidR="00AF3DBD">
        <w:t xml:space="preserve">de voorraad met </w:t>
      </w:r>
      <w:r w:rsidR="00724BCE">
        <w:t>gemiddeld 750 tot 800 woningen</w:t>
      </w:r>
      <w:r w:rsidR="00AF3DBD">
        <w:t xml:space="preserve">; voornamelijk gerealiseerd </w:t>
      </w:r>
      <w:r w:rsidR="00724BCE">
        <w:t xml:space="preserve">in het marktsegment (70%) en in beperkte mate in het sociale segment. Het sociale aanbod in Breda, in handen van drie corporaties, omvat circa 24.000 woningen. We zien </w:t>
      </w:r>
      <w:r w:rsidR="005516CB">
        <w:t xml:space="preserve">echter </w:t>
      </w:r>
      <w:r w:rsidR="00724BCE">
        <w:t>dat het sociale aanbod, in het bijzonder de goedkope en betaalbare woningen, meer en meer</w:t>
      </w:r>
      <w:r w:rsidR="001372D0">
        <w:t xml:space="preserve"> onder druk komt te staan vanwege de extra opgaven voor diverse specifieke doelgroepen. Ik noem er hier enkelen:</w:t>
      </w:r>
    </w:p>
    <w:p w:rsidR="001372D0" w:rsidP="00B05471" w:rsidRDefault="005516CB">
      <w:pPr>
        <w:pStyle w:val="Lijstalinea"/>
        <w:numPr>
          <w:ilvl w:val="0"/>
          <w:numId w:val="1"/>
        </w:numPr>
        <w:spacing w:after="0" w:line="320" w:lineRule="atLeast"/>
      </w:pPr>
      <w:r>
        <w:t>d</w:t>
      </w:r>
      <w:r w:rsidR="001372D0">
        <w:t>e huisvesting van studenten: momenteel berekend tekort van circa 1.300 woningen;</w:t>
      </w:r>
    </w:p>
    <w:p w:rsidR="001372D0" w:rsidP="00B05471" w:rsidRDefault="005516CB">
      <w:pPr>
        <w:pStyle w:val="Lijstalinea"/>
        <w:numPr>
          <w:ilvl w:val="0"/>
          <w:numId w:val="1"/>
        </w:numPr>
        <w:spacing w:after="0" w:line="320" w:lineRule="atLeast"/>
      </w:pPr>
      <w:r>
        <w:t>d</w:t>
      </w:r>
      <w:r w:rsidR="001372D0">
        <w:t>e huisvesting van arbeidsmigranten: een opgave van circa 1.700 bedden</w:t>
      </w:r>
      <w:r w:rsidR="00DD3505">
        <w:t>;</w:t>
      </w:r>
    </w:p>
    <w:p w:rsidR="001372D0" w:rsidP="00B05471" w:rsidRDefault="005516CB">
      <w:pPr>
        <w:pStyle w:val="Lijstalinea"/>
        <w:numPr>
          <w:ilvl w:val="0"/>
          <w:numId w:val="1"/>
        </w:numPr>
        <w:spacing w:after="0" w:line="320" w:lineRule="atLeast"/>
      </w:pPr>
      <w:r>
        <w:t>t</w:t>
      </w:r>
      <w:r w:rsidR="00DD3505">
        <w:t>erugkeer vanuit gesloten zorg: circa 700 personen.</w:t>
      </w:r>
    </w:p>
    <w:p w:rsidR="00AF3DBD" w:rsidP="00B05471" w:rsidRDefault="00AF3DBD">
      <w:pPr>
        <w:spacing w:after="0" w:line="320" w:lineRule="atLeast"/>
      </w:pPr>
    </w:p>
    <w:p w:rsidR="001276B6" w:rsidP="00B05471" w:rsidRDefault="00DD3505">
      <w:pPr>
        <w:spacing w:after="0" w:line="320" w:lineRule="atLeast"/>
      </w:pPr>
      <w:r>
        <w:t>Naast bovenstaande aantallen zijn 6.000 personen</w:t>
      </w:r>
      <w:r w:rsidR="00DC0229">
        <w:t xml:space="preserve"> </w:t>
      </w:r>
      <w:r>
        <w:t>/</w:t>
      </w:r>
      <w:r w:rsidR="00DC0229">
        <w:t xml:space="preserve"> </w:t>
      </w:r>
      <w:r>
        <w:t xml:space="preserve">huishoudens (de regulier woningzoekenden) actief op zoek naar een </w:t>
      </w:r>
      <w:r w:rsidR="00DC0229">
        <w:t xml:space="preserve">sociale </w:t>
      </w:r>
      <w:r>
        <w:t xml:space="preserve">huurwoning in Breda. Het gaat dan veelal om </w:t>
      </w:r>
      <w:r w:rsidR="00DC0229">
        <w:t>een woning in het</w:t>
      </w:r>
      <w:r>
        <w:t xml:space="preserve"> goedkop</w:t>
      </w:r>
      <w:r w:rsidR="004E5A0E">
        <w:t xml:space="preserve">e of </w:t>
      </w:r>
      <w:r w:rsidR="00DC0229">
        <w:t xml:space="preserve">betaalbare huursegment. </w:t>
      </w:r>
    </w:p>
    <w:p w:rsidR="001276B6" w:rsidP="00B05471" w:rsidRDefault="001276B6">
      <w:pPr>
        <w:spacing w:after="0" w:line="320" w:lineRule="atLeast"/>
      </w:pPr>
      <w:r>
        <w:t>In een recent uitgebrachte voortgangsrapportage van het Woonruimteverdelingssysteem “Klik voor Wonen” zijn enkele opmerkelijke bevindingen gemeld, o.a.:</w:t>
      </w:r>
    </w:p>
    <w:p w:rsidR="001276B6" w:rsidP="001276B6" w:rsidRDefault="001276B6">
      <w:pPr>
        <w:pStyle w:val="Lijstalinea"/>
        <w:numPr>
          <w:ilvl w:val="0"/>
          <w:numId w:val="1"/>
        </w:numPr>
        <w:spacing w:after="0" w:line="320" w:lineRule="atLeast"/>
      </w:pPr>
      <w:r>
        <w:t>In de eerste helft van 2015 vond 8,5% van alle verhuringen plaats in het goedkope segment. Voorgaande jaren was dit 5%</w:t>
      </w:r>
    </w:p>
    <w:p w:rsidR="001276B6" w:rsidP="001276B6" w:rsidRDefault="001276B6">
      <w:pPr>
        <w:pStyle w:val="Lijstalinea"/>
        <w:numPr>
          <w:ilvl w:val="0"/>
          <w:numId w:val="1"/>
        </w:numPr>
        <w:spacing w:after="0" w:line="320" w:lineRule="atLeast"/>
      </w:pPr>
      <w:r>
        <w:t>Van alle verhuringen ging 8,8% naar statushouders. Voorgaande jaren was dit 4,3% (2014) en 2,6% (2013). (Nb: de taakstelling van de rijksoverheid is in ‘personen’; vanuit woonruimteverdeling wordt geteld in ‘woningen’). Dit percentage zal nog behoorlijk stijgen in de rest van 2015</w:t>
      </w:r>
    </w:p>
    <w:p w:rsidR="001276B6" w:rsidP="00B05471" w:rsidRDefault="001276B6">
      <w:pPr>
        <w:pStyle w:val="Lijstalinea"/>
        <w:numPr>
          <w:ilvl w:val="0"/>
          <w:numId w:val="1"/>
        </w:numPr>
        <w:spacing w:after="0" w:line="320" w:lineRule="atLeast"/>
      </w:pPr>
      <w:r>
        <w:t xml:space="preserve">De gemiddelde inschrijftijd stijgt  weer. In de lagere </w:t>
      </w:r>
      <w:proofErr w:type="spellStart"/>
      <w:r>
        <w:t>huurprijsklasses</w:t>
      </w:r>
      <w:proofErr w:type="spellEnd"/>
      <w:r>
        <w:t xml:space="preserve"> blijft die echter nagenoeg gelijk. De huisvesting van statushouders heeft overigens een drukkend effect op het gemiddelde.</w:t>
      </w:r>
    </w:p>
    <w:p w:rsidR="001276B6" w:rsidP="001276B6" w:rsidRDefault="001276B6">
      <w:pPr>
        <w:pStyle w:val="Lijstalinea"/>
        <w:spacing w:after="0" w:line="320" w:lineRule="atLeast"/>
      </w:pPr>
    </w:p>
    <w:p w:rsidR="0059388C" w:rsidP="00B05471" w:rsidRDefault="00DC0229">
      <w:pPr>
        <w:spacing w:after="0" w:line="320" w:lineRule="atLeast"/>
      </w:pPr>
      <w:r>
        <w:t xml:space="preserve">Kijken </w:t>
      </w:r>
      <w:r w:rsidR="005601BB">
        <w:t xml:space="preserve">we naar de </w:t>
      </w:r>
      <w:r w:rsidR="00DD3505">
        <w:t>omvang van de</w:t>
      </w:r>
      <w:r w:rsidR="005601BB">
        <w:t>ze</w:t>
      </w:r>
      <w:r w:rsidR="00DD3505">
        <w:t xml:space="preserve"> segment</w:t>
      </w:r>
      <w:r w:rsidR="005601BB">
        <w:t>en</w:t>
      </w:r>
      <w:r w:rsidR="00DD3505">
        <w:t>, dan zien we dat deze d</w:t>
      </w:r>
      <w:r w:rsidR="00724BCE">
        <w:t>oor sloop, verkoop</w:t>
      </w:r>
      <w:r w:rsidR="001372D0">
        <w:t xml:space="preserve"> en huurbeleid </w:t>
      </w:r>
      <w:r w:rsidR="00DD3505">
        <w:t xml:space="preserve">aan het </w:t>
      </w:r>
      <w:r w:rsidR="001372D0">
        <w:t>afnemen</w:t>
      </w:r>
      <w:r w:rsidR="005601BB">
        <w:t xml:space="preserve"> zijn</w:t>
      </w:r>
      <w:r w:rsidR="001372D0">
        <w:t>.</w:t>
      </w:r>
      <w:r w:rsidR="005601BB">
        <w:t xml:space="preserve"> Voor Breda was dit aanleiding om in het kader van de prestatie-overeenkomst (de Alliantie genaamd) met de drie corporaties hierover concrete afspraken</w:t>
      </w:r>
      <w:r w:rsidR="001372D0">
        <w:t xml:space="preserve"> </w:t>
      </w:r>
      <w:r w:rsidR="005601BB">
        <w:t>te maken. Mede vanwege de aanvullende en extra taakstelling voor</w:t>
      </w:r>
      <w:r w:rsidR="00C65912">
        <w:t xml:space="preserve"> huisvesting van</w:t>
      </w:r>
      <w:r w:rsidR="005601BB">
        <w:t xml:space="preserve"> statushouders </w:t>
      </w:r>
      <w:r w:rsidR="00C65912">
        <w:t>is een Taskforce Beschikbaarheid &amp; Betaalbaarheid in het leven geroepen</w:t>
      </w:r>
      <w:r w:rsidR="00AF3DBD">
        <w:t>.</w:t>
      </w:r>
    </w:p>
    <w:p w:rsidR="00AF3DBD" w:rsidP="00B05471" w:rsidRDefault="00AF3DBD">
      <w:pPr>
        <w:spacing w:after="0" w:line="320" w:lineRule="atLeast"/>
      </w:pPr>
    </w:p>
    <w:p w:rsidRPr="00AF3DBD" w:rsidR="00AF3DBD" w:rsidP="00B05471" w:rsidRDefault="00AF3DBD">
      <w:pPr>
        <w:spacing w:after="0" w:line="320" w:lineRule="atLeast"/>
        <w:rPr>
          <w:u w:val="single"/>
        </w:rPr>
      </w:pPr>
      <w:r w:rsidRPr="00AF3DBD">
        <w:rPr>
          <w:u w:val="single"/>
        </w:rPr>
        <w:t>Taakstelling statushouders</w:t>
      </w:r>
    </w:p>
    <w:p w:rsidR="005516CB" w:rsidP="00B05471" w:rsidRDefault="005516CB">
      <w:pPr>
        <w:spacing w:after="0" w:line="320" w:lineRule="atLeast"/>
      </w:pPr>
      <w:r w:rsidRPr="005516CB">
        <w:t xml:space="preserve">In 2016 staat </w:t>
      </w:r>
      <w:r>
        <w:t xml:space="preserve">in Breda </w:t>
      </w:r>
      <w:r w:rsidRPr="005516CB">
        <w:t xml:space="preserve">de teller voor huisvesting </w:t>
      </w:r>
      <w:r>
        <w:t xml:space="preserve">van mensen met een verblijfsvergunning op ten </w:t>
      </w:r>
      <w:r w:rsidRPr="005516CB">
        <w:t xml:space="preserve">minste 450 </w:t>
      </w:r>
      <w:r>
        <w:t>personen.</w:t>
      </w:r>
    </w:p>
    <w:p w:rsidR="005516CB" w:rsidP="00B05471" w:rsidRDefault="005516CB">
      <w:pPr>
        <w:spacing w:after="0" w:line="320" w:lineRule="atLeast"/>
      </w:pPr>
    </w:p>
    <w:p w:rsidR="007149A1" w:rsidP="00B05471" w:rsidRDefault="00FA7A41">
      <w:pPr>
        <w:spacing w:after="0" w:line="320" w:lineRule="atLeast"/>
      </w:pPr>
      <w:r>
        <w:t>In de huisvest</w:t>
      </w:r>
      <w:r w:rsidR="00971FE2">
        <w:t>ingsopgave worden in Breda de volgende acties ondernomen:</w:t>
      </w:r>
    </w:p>
    <w:p w:rsidRPr="00971FE2" w:rsidR="00971FE2" w:rsidP="00B05471" w:rsidRDefault="00971FE2">
      <w:pPr>
        <w:spacing w:after="0" w:line="320" w:lineRule="atLeast"/>
      </w:pPr>
    </w:p>
    <w:p w:rsidR="007149A1" w:rsidP="00B05471" w:rsidRDefault="007149A1">
      <w:pPr>
        <w:pStyle w:val="Lijstalinea"/>
        <w:numPr>
          <w:ilvl w:val="0"/>
          <w:numId w:val="1"/>
        </w:numPr>
        <w:spacing w:after="0" w:line="320" w:lineRule="atLeast"/>
      </w:pPr>
      <w:r>
        <w:t>Maatregelen in de vorm van woningdelen biedt in Breda een uitkomst om statushouders snel te huisvesten, maar is in veel gevallen een tijdelijke oplossing;</w:t>
      </w:r>
    </w:p>
    <w:p w:rsidR="007149A1" w:rsidP="00B05471" w:rsidRDefault="007149A1">
      <w:pPr>
        <w:pStyle w:val="Lijstalinea"/>
        <w:numPr>
          <w:ilvl w:val="0"/>
          <w:numId w:val="1"/>
        </w:numPr>
        <w:spacing w:after="0" w:line="320" w:lineRule="atLeast"/>
      </w:pPr>
      <w:r>
        <w:t>De corporaties hebben een deel van hun woningen die te koop stonden, teruggehaald uit de verkoop. Deze worden nu aangeboden aan gezinnen of geschikt gemaakt voor kamerverhuur;</w:t>
      </w:r>
    </w:p>
    <w:p w:rsidR="007149A1" w:rsidP="00B05471" w:rsidRDefault="007149A1">
      <w:pPr>
        <w:pStyle w:val="Lijstalinea"/>
        <w:numPr>
          <w:ilvl w:val="0"/>
          <w:numId w:val="1"/>
        </w:numPr>
        <w:spacing w:after="0" w:line="320" w:lineRule="atLeast"/>
      </w:pPr>
      <w:r>
        <w:t xml:space="preserve">Leegstaande kamers in bijvoorbeeld studentencomplexen worden aangeboden aan jonge statushouders; </w:t>
      </w:r>
    </w:p>
    <w:p w:rsidR="007149A1" w:rsidP="00B05471" w:rsidRDefault="007149A1">
      <w:pPr>
        <w:pStyle w:val="Lijstalinea"/>
        <w:numPr>
          <w:ilvl w:val="0"/>
          <w:numId w:val="1"/>
        </w:numPr>
        <w:spacing w:after="0" w:line="320" w:lineRule="atLeast"/>
      </w:pPr>
      <w:r>
        <w:t>Particuliere verhuurders zijn door de gemeente gevraagd om woningen beschikbaar te stellen voor statushouders.</w:t>
      </w:r>
    </w:p>
    <w:p w:rsidR="00FA7A41" w:rsidP="00B05471" w:rsidRDefault="00FA7A41">
      <w:pPr>
        <w:spacing w:after="0" w:line="320" w:lineRule="atLeast"/>
      </w:pPr>
    </w:p>
    <w:p w:rsidR="00971FE2" w:rsidP="00B05471" w:rsidRDefault="00971FE2">
      <w:pPr>
        <w:spacing w:after="0" w:line="320" w:lineRule="atLeast"/>
      </w:pPr>
      <w:r>
        <w:t>Mede in relatie tot de uitbreiding van de goedkope en betaalbare voorraad wordt gekeken in hoeverre leegstaand (zorg- en maatschappelijk) vastgoed kan worden ingezet voor de huisvesting van statushouders. Daarnaast wordt gekeken naar alternatieve huisvestingsvorm, waaronder containerwoningen.</w:t>
      </w:r>
    </w:p>
    <w:p w:rsidR="00971FE2" w:rsidP="00B05471" w:rsidRDefault="00971FE2">
      <w:pPr>
        <w:spacing w:after="0" w:line="320" w:lineRule="atLeast"/>
      </w:pPr>
    </w:p>
    <w:p w:rsidR="00971FE2" w:rsidP="00B05471" w:rsidRDefault="00971FE2">
      <w:pPr>
        <w:spacing w:after="0" w:line="320" w:lineRule="atLeast"/>
      </w:pPr>
      <w:r>
        <w:t>Welke knelpunten ervaar ik:</w:t>
      </w:r>
    </w:p>
    <w:p w:rsidR="00971FE2" w:rsidP="00B05471" w:rsidRDefault="00971FE2">
      <w:pPr>
        <w:spacing w:after="0" w:line="320" w:lineRule="atLeast"/>
      </w:pPr>
    </w:p>
    <w:p w:rsidR="00971FE2" w:rsidP="00B05471" w:rsidRDefault="00AF3DBD">
      <w:pPr>
        <w:pStyle w:val="Lijstalinea"/>
        <w:numPr>
          <w:ilvl w:val="0"/>
          <w:numId w:val="4"/>
        </w:numPr>
        <w:spacing w:after="0" w:line="320" w:lineRule="atLeast"/>
      </w:pPr>
      <w:r>
        <w:t>De uitvoering van de taakstelling is een proces met veel schakels en grote onderlinge afhankelijkheid. Da</w:t>
      </w:r>
      <w:r w:rsidR="005516CB">
        <w:t>t maakt het kwetsbaar. Als het -</w:t>
      </w:r>
      <w:r>
        <w:t xml:space="preserve">zoals nu- voorin de keten stokt, dan hebben alle volgende schakels daar last van. </w:t>
      </w:r>
    </w:p>
    <w:p w:rsidR="005557C9" w:rsidP="00B05471" w:rsidRDefault="00AF3DBD">
      <w:pPr>
        <w:pStyle w:val="Lijstalinea"/>
        <w:numPr>
          <w:ilvl w:val="0"/>
          <w:numId w:val="4"/>
        </w:numPr>
        <w:spacing w:after="0" w:line="320" w:lineRule="atLeast"/>
      </w:pPr>
      <w:r>
        <w:t>Er worden op dit moment te weinig nieuwe statushouders aan gem</w:t>
      </w:r>
      <w:r w:rsidR="005516CB">
        <w:t xml:space="preserve">eenten gekoppeld. Dit geldt ook voor Breda. Het </w:t>
      </w:r>
      <w:r>
        <w:t xml:space="preserve">COA kan ons </w:t>
      </w:r>
      <w:r w:rsidR="005516CB">
        <w:t xml:space="preserve">op dit moment </w:t>
      </w:r>
      <w:r>
        <w:t>niet garanderen dat er voor de volgende taakstellingsperio</w:t>
      </w:r>
      <w:r w:rsidR="005516CB">
        <w:t xml:space="preserve">de voldoende koppelingengemaakt kunnen worden. </w:t>
      </w:r>
      <w:r>
        <w:t>De realisatie van de komende taakstel</w:t>
      </w:r>
      <w:r w:rsidR="005516CB">
        <w:t xml:space="preserve">ling staat hierdoor onder druk. </w:t>
      </w:r>
    </w:p>
    <w:p w:rsidR="005557C9" w:rsidP="00B05471" w:rsidRDefault="00786824">
      <w:pPr>
        <w:pStyle w:val="Lijstalinea"/>
        <w:numPr>
          <w:ilvl w:val="0"/>
          <w:numId w:val="4"/>
        </w:numPr>
        <w:spacing w:after="0" w:line="320" w:lineRule="atLeast"/>
      </w:pPr>
      <w:r>
        <w:t xml:space="preserve">De 10 jaar termijn tijdelijke ontheffing </w:t>
      </w:r>
      <w:r w:rsidR="005557C9">
        <w:t xml:space="preserve">van het </w:t>
      </w:r>
      <w:r>
        <w:t>bestemmingsplan is te kort om investeerders over de streept te krijgen.</w:t>
      </w:r>
    </w:p>
    <w:p w:rsidR="005557C9" w:rsidP="00B05471" w:rsidRDefault="005557C9">
      <w:pPr>
        <w:pStyle w:val="Lijstalinea"/>
        <w:numPr>
          <w:ilvl w:val="0"/>
          <w:numId w:val="4"/>
        </w:numPr>
        <w:spacing w:after="0" w:line="320" w:lineRule="atLeast"/>
      </w:pPr>
      <w:r>
        <w:t>Onvoldoende investeringskracht bij corporaties om actief te opereren en aanbod goedkope en betaalbare woningen te verruimen;</w:t>
      </w:r>
    </w:p>
    <w:p w:rsidR="00786824" w:rsidP="00B05471" w:rsidRDefault="005557C9">
      <w:pPr>
        <w:pStyle w:val="Lijstalinea"/>
        <w:numPr>
          <w:ilvl w:val="0"/>
          <w:numId w:val="4"/>
        </w:numPr>
        <w:spacing w:after="0" w:line="320" w:lineRule="atLeast"/>
      </w:pPr>
      <w:r>
        <w:t>Het is corporaties (nog niet) toegestaan het beheer van derden uit te voeren.</w:t>
      </w:r>
    </w:p>
    <w:p w:rsidR="00786824" w:rsidP="00B05471" w:rsidRDefault="00786824">
      <w:pPr>
        <w:spacing w:after="0" w:line="320" w:lineRule="atLeast"/>
      </w:pPr>
    </w:p>
    <w:p w:rsidR="00786824" w:rsidP="00B05471" w:rsidRDefault="005557C9">
      <w:pPr>
        <w:spacing w:after="0" w:line="320" w:lineRule="atLeast"/>
      </w:pPr>
      <w:r>
        <w:t xml:space="preserve">Tenslotte: </w:t>
      </w:r>
      <w:r w:rsidR="00786824">
        <w:t xml:space="preserve">het </w:t>
      </w:r>
      <w:r w:rsidR="00B05471">
        <w:t xml:space="preserve">is </w:t>
      </w:r>
      <w:r w:rsidR="00786824">
        <w:t>wenselijk om alle souplesse die geldt voor statushouders ook te laten gelden voor alle doelgroepen.</w:t>
      </w:r>
    </w:p>
    <w:sectPr w:rsidR="00786824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078"/>
    <w:multiLevelType w:val="hybridMultilevel"/>
    <w:tmpl w:val="174AC2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42127"/>
    <w:multiLevelType w:val="hybridMultilevel"/>
    <w:tmpl w:val="28B869E0"/>
    <w:lvl w:ilvl="0" w:tplc="E29C2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51068"/>
    <w:multiLevelType w:val="hybridMultilevel"/>
    <w:tmpl w:val="13D07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B755B"/>
    <w:multiLevelType w:val="hybridMultilevel"/>
    <w:tmpl w:val="3D4AA440"/>
    <w:lvl w:ilvl="0" w:tplc="61F67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24"/>
    <w:rsid w:val="00004059"/>
    <w:rsid w:val="000236F6"/>
    <w:rsid w:val="00026DC3"/>
    <w:rsid w:val="00030D85"/>
    <w:rsid w:val="00040B71"/>
    <w:rsid w:val="00045B25"/>
    <w:rsid w:val="00071168"/>
    <w:rsid w:val="00090EC3"/>
    <w:rsid w:val="00091964"/>
    <w:rsid w:val="00091FBF"/>
    <w:rsid w:val="000958AB"/>
    <w:rsid w:val="000966B2"/>
    <w:rsid w:val="000C1DE9"/>
    <w:rsid w:val="000E1AEC"/>
    <w:rsid w:val="000E5BD8"/>
    <w:rsid w:val="00101BB5"/>
    <w:rsid w:val="001066F9"/>
    <w:rsid w:val="00111494"/>
    <w:rsid w:val="00113B7B"/>
    <w:rsid w:val="00123918"/>
    <w:rsid w:val="0012539E"/>
    <w:rsid w:val="001276B6"/>
    <w:rsid w:val="00132F3E"/>
    <w:rsid w:val="0013364B"/>
    <w:rsid w:val="00135AA6"/>
    <w:rsid w:val="001372D0"/>
    <w:rsid w:val="0014098C"/>
    <w:rsid w:val="00141248"/>
    <w:rsid w:val="001514DC"/>
    <w:rsid w:val="001540F0"/>
    <w:rsid w:val="001647FF"/>
    <w:rsid w:val="00166DF4"/>
    <w:rsid w:val="001733B8"/>
    <w:rsid w:val="00177D69"/>
    <w:rsid w:val="001843B6"/>
    <w:rsid w:val="001A31A0"/>
    <w:rsid w:val="001A4A9B"/>
    <w:rsid w:val="001C0F94"/>
    <w:rsid w:val="001D1021"/>
    <w:rsid w:val="001D638B"/>
    <w:rsid w:val="001F3A33"/>
    <w:rsid w:val="001F492B"/>
    <w:rsid w:val="001F599B"/>
    <w:rsid w:val="00203F70"/>
    <w:rsid w:val="00204EB7"/>
    <w:rsid w:val="0022164F"/>
    <w:rsid w:val="002341E1"/>
    <w:rsid w:val="00250DD3"/>
    <w:rsid w:val="00260477"/>
    <w:rsid w:val="00260AB1"/>
    <w:rsid w:val="00281D0B"/>
    <w:rsid w:val="00287BF2"/>
    <w:rsid w:val="0029035C"/>
    <w:rsid w:val="00291307"/>
    <w:rsid w:val="00297BF3"/>
    <w:rsid w:val="002A2041"/>
    <w:rsid w:val="002A29C1"/>
    <w:rsid w:val="002A612A"/>
    <w:rsid w:val="002E61DE"/>
    <w:rsid w:val="002F094C"/>
    <w:rsid w:val="002F0E6A"/>
    <w:rsid w:val="0030132F"/>
    <w:rsid w:val="003117E0"/>
    <w:rsid w:val="00316226"/>
    <w:rsid w:val="003176AE"/>
    <w:rsid w:val="00317CB2"/>
    <w:rsid w:val="003206DD"/>
    <w:rsid w:val="00335F0F"/>
    <w:rsid w:val="00342D66"/>
    <w:rsid w:val="003523D8"/>
    <w:rsid w:val="003526F4"/>
    <w:rsid w:val="00352A84"/>
    <w:rsid w:val="003628E8"/>
    <w:rsid w:val="00376F1C"/>
    <w:rsid w:val="003806FA"/>
    <w:rsid w:val="00386455"/>
    <w:rsid w:val="00386C25"/>
    <w:rsid w:val="00391715"/>
    <w:rsid w:val="003B1E00"/>
    <w:rsid w:val="003C0B12"/>
    <w:rsid w:val="003C52F6"/>
    <w:rsid w:val="003C5C48"/>
    <w:rsid w:val="003E149C"/>
    <w:rsid w:val="004034CD"/>
    <w:rsid w:val="00405FA2"/>
    <w:rsid w:val="00416730"/>
    <w:rsid w:val="00423535"/>
    <w:rsid w:val="00425371"/>
    <w:rsid w:val="00426CF3"/>
    <w:rsid w:val="00430B4F"/>
    <w:rsid w:val="00445954"/>
    <w:rsid w:val="00447FF6"/>
    <w:rsid w:val="00453216"/>
    <w:rsid w:val="004669F4"/>
    <w:rsid w:val="0047041A"/>
    <w:rsid w:val="004A5C55"/>
    <w:rsid w:val="004B21DA"/>
    <w:rsid w:val="004B5791"/>
    <w:rsid w:val="004C165B"/>
    <w:rsid w:val="004C78ED"/>
    <w:rsid w:val="004D3C4D"/>
    <w:rsid w:val="004D591B"/>
    <w:rsid w:val="004E00FA"/>
    <w:rsid w:val="004E5A0E"/>
    <w:rsid w:val="004F063A"/>
    <w:rsid w:val="004F4B02"/>
    <w:rsid w:val="0051187B"/>
    <w:rsid w:val="00511EDE"/>
    <w:rsid w:val="00515EE7"/>
    <w:rsid w:val="0053065E"/>
    <w:rsid w:val="00550C5D"/>
    <w:rsid w:val="005516CB"/>
    <w:rsid w:val="005557C9"/>
    <w:rsid w:val="005601BB"/>
    <w:rsid w:val="00567E23"/>
    <w:rsid w:val="00573108"/>
    <w:rsid w:val="005812B8"/>
    <w:rsid w:val="0059220F"/>
    <w:rsid w:val="00593614"/>
    <w:rsid w:val="0059388C"/>
    <w:rsid w:val="0059524D"/>
    <w:rsid w:val="005C2385"/>
    <w:rsid w:val="005C4C87"/>
    <w:rsid w:val="005C7147"/>
    <w:rsid w:val="005D3B60"/>
    <w:rsid w:val="00616A7C"/>
    <w:rsid w:val="00617123"/>
    <w:rsid w:val="006375EA"/>
    <w:rsid w:val="00642210"/>
    <w:rsid w:val="006518E4"/>
    <w:rsid w:val="00654E5B"/>
    <w:rsid w:val="00661759"/>
    <w:rsid w:val="00662991"/>
    <w:rsid w:val="00663676"/>
    <w:rsid w:val="006637DD"/>
    <w:rsid w:val="006653F9"/>
    <w:rsid w:val="00670F5B"/>
    <w:rsid w:val="00673588"/>
    <w:rsid w:val="00676F72"/>
    <w:rsid w:val="00682CA4"/>
    <w:rsid w:val="00684B2B"/>
    <w:rsid w:val="00687D8D"/>
    <w:rsid w:val="006963A4"/>
    <w:rsid w:val="006A23A6"/>
    <w:rsid w:val="006B11A5"/>
    <w:rsid w:val="006D78A9"/>
    <w:rsid w:val="006D7B0B"/>
    <w:rsid w:val="006E6579"/>
    <w:rsid w:val="006E69AE"/>
    <w:rsid w:val="006F77EE"/>
    <w:rsid w:val="00711C22"/>
    <w:rsid w:val="007149A1"/>
    <w:rsid w:val="00715815"/>
    <w:rsid w:val="0072042D"/>
    <w:rsid w:val="00722B59"/>
    <w:rsid w:val="00724BCE"/>
    <w:rsid w:val="007314E9"/>
    <w:rsid w:val="0073189B"/>
    <w:rsid w:val="00734DD8"/>
    <w:rsid w:val="00742BD3"/>
    <w:rsid w:val="007508EA"/>
    <w:rsid w:val="00753B8C"/>
    <w:rsid w:val="007559A4"/>
    <w:rsid w:val="007721DE"/>
    <w:rsid w:val="007731F4"/>
    <w:rsid w:val="00781954"/>
    <w:rsid w:val="00786824"/>
    <w:rsid w:val="00787277"/>
    <w:rsid w:val="00796284"/>
    <w:rsid w:val="007A2DB9"/>
    <w:rsid w:val="007A41CC"/>
    <w:rsid w:val="007B7215"/>
    <w:rsid w:val="007B7CFF"/>
    <w:rsid w:val="007D2528"/>
    <w:rsid w:val="007D4B0E"/>
    <w:rsid w:val="007E3D13"/>
    <w:rsid w:val="00801710"/>
    <w:rsid w:val="00825DE6"/>
    <w:rsid w:val="00827440"/>
    <w:rsid w:val="0083146A"/>
    <w:rsid w:val="00835C67"/>
    <w:rsid w:val="00840C33"/>
    <w:rsid w:val="008427D8"/>
    <w:rsid w:val="00854CFA"/>
    <w:rsid w:val="00867815"/>
    <w:rsid w:val="00872B06"/>
    <w:rsid w:val="00891D49"/>
    <w:rsid w:val="008A0646"/>
    <w:rsid w:val="008A06F2"/>
    <w:rsid w:val="008A5D81"/>
    <w:rsid w:val="008A7052"/>
    <w:rsid w:val="008B3375"/>
    <w:rsid w:val="008B39B6"/>
    <w:rsid w:val="008C409A"/>
    <w:rsid w:val="008C4618"/>
    <w:rsid w:val="008D1CF4"/>
    <w:rsid w:val="008E275A"/>
    <w:rsid w:val="008E584D"/>
    <w:rsid w:val="008E7691"/>
    <w:rsid w:val="008F0174"/>
    <w:rsid w:val="008F05DC"/>
    <w:rsid w:val="008F25B3"/>
    <w:rsid w:val="008F6FD8"/>
    <w:rsid w:val="00901F91"/>
    <w:rsid w:val="00906102"/>
    <w:rsid w:val="00907441"/>
    <w:rsid w:val="00923711"/>
    <w:rsid w:val="00925184"/>
    <w:rsid w:val="009343A3"/>
    <w:rsid w:val="0095294B"/>
    <w:rsid w:val="00961B8A"/>
    <w:rsid w:val="00963E18"/>
    <w:rsid w:val="009642F4"/>
    <w:rsid w:val="00964C4B"/>
    <w:rsid w:val="00967669"/>
    <w:rsid w:val="00971D00"/>
    <w:rsid w:val="00971FE2"/>
    <w:rsid w:val="00980082"/>
    <w:rsid w:val="00997687"/>
    <w:rsid w:val="009B64F7"/>
    <w:rsid w:val="009B75CA"/>
    <w:rsid w:val="009E6E51"/>
    <w:rsid w:val="009F0985"/>
    <w:rsid w:val="009F16A7"/>
    <w:rsid w:val="009F2E37"/>
    <w:rsid w:val="00A131AD"/>
    <w:rsid w:val="00A13A08"/>
    <w:rsid w:val="00A41BBC"/>
    <w:rsid w:val="00A53126"/>
    <w:rsid w:val="00A535A0"/>
    <w:rsid w:val="00A864F1"/>
    <w:rsid w:val="00A8763E"/>
    <w:rsid w:val="00AA0335"/>
    <w:rsid w:val="00AA678D"/>
    <w:rsid w:val="00AA6C98"/>
    <w:rsid w:val="00AC19BF"/>
    <w:rsid w:val="00AC4137"/>
    <w:rsid w:val="00AC46BA"/>
    <w:rsid w:val="00AD2222"/>
    <w:rsid w:val="00AD304D"/>
    <w:rsid w:val="00AF3DBD"/>
    <w:rsid w:val="00AF6B5A"/>
    <w:rsid w:val="00B05471"/>
    <w:rsid w:val="00B155D3"/>
    <w:rsid w:val="00B16CF1"/>
    <w:rsid w:val="00B233E1"/>
    <w:rsid w:val="00B24883"/>
    <w:rsid w:val="00B32999"/>
    <w:rsid w:val="00B33A8E"/>
    <w:rsid w:val="00B4104B"/>
    <w:rsid w:val="00B43E85"/>
    <w:rsid w:val="00B54276"/>
    <w:rsid w:val="00B55D3E"/>
    <w:rsid w:val="00B6214C"/>
    <w:rsid w:val="00B64F8B"/>
    <w:rsid w:val="00B766B8"/>
    <w:rsid w:val="00B81CF9"/>
    <w:rsid w:val="00B87D00"/>
    <w:rsid w:val="00B9033A"/>
    <w:rsid w:val="00B91A2E"/>
    <w:rsid w:val="00BB3FD7"/>
    <w:rsid w:val="00BD043D"/>
    <w:rsid w:val="00BD4A9D"/>
    <w:rsid w:val="00BD6F52"/>
    <w:rsid w:val="00BE2FD6"/>
    <w:rsid w:val="00BE4888"/>
    <w:rsid w:val="00BF2D0F"/>
    <w:rsid w:val="00BF709C"/>
    <w:rsid w:val="00C01970"/>
    <w:rsid w:val="00C20656"/>
    <w:rsid w:val="00C33010"/>
    <w:rsid w:val="00C44BBC"/>
    <w:rsid w:val="00C572DA"/>
    <w:rsid w:val="00C60DDE"/>
    <w:rsid w:val="00C64A60"/>
    <w:rsid w:val="00C64BD3"/>
    <w:rsid w:val="00C65822"/>
    <w:rsid w:val="00C65912"/>
    <w:rsid w:val="00C75613"/>
    <w:rsid w:val="00C7568A"/>
    <w:rsid w:val="00C77985"/>
    <w:rsid w:val="00CA3AEE"/>
    <w:rsid w:val="00CB2B02"/>
    <w:rsid w:val="00CC6008"/>
    <w:rsid w:val="00CD0418"/>
    <w:rsid w:val="00CD7D99"/>
    <w:rsid w:val="00CF7292"/>
    <w:rsid w:val="00D056E6"/>
    <w:rsid w:val="00D11984"/>
    <w:rsid w:val="00D2667C"/>
    <w:rsid w:val="00D478C1"/>
    <w:rsid w:val="00D53CFB"/>
    <w:rsid w:val="00D6433B"/>
    <w:rsid w:val="00D74579"/>
    <w:rsid w:val="00D76BD2"/>
    <w:rsid w:val="00D811DE"/>
    <w:rsid w:val="00DA1300"/>
    <w:rsid w:val="00DA47A0"/>
    <w:rsid w:val="00DA5C0B"/>
    <w:rsid w:val="00DB4DB4"/>
    <w:rsid w:val="00DB529E"/>
    <w:rsid w:val="00DB5715"/>
    <w:rsid w:val="00DB74AD"/>
    <w:rsid w:val="00DC0229"/>
    <w:rsid w:val="00DD31EC"/>
    <w:rsid w:val="00DD3505"/>
    <w:rsid w:val="00DE0033"/>
    <w:rsid w:val="00DE5C6A"/>
    <w:rsid w:val="00DF06EC"/>
    <w:rsid w:val="00E005EC"/>
    <w:rsid w:val="00E15B30"/>
    <w:rsid w:val="00E43DA5"/>
    <w:rsid w:val="00E475B9"/>
    <w:rsid w:val="00E51462"/>
    <w:rsid w:val="00E5740B"/>
    <w:rsid w:val="00E70234"/>
    <w:rsid w:val="00E811FB"/>
    <w:rsid w:val="00E90158"/>
    <w:rsid w:val="00E93464"/>
    <w:rsid w:val="00EB28D0"/>
    <w:rsid w:val="00EB46AB"/>
    <w:rsid w:val="00EB58DD"/>
    <w:rsid w:val="00EC052A"/>
    <w:rsid w:val="00EC2E29"/>
    <w:rsid w:val="00EC5BA4"/>
    <w:rsid w:val="00EC6237"/>
    <w:rsid w:val="00ED215C"/>
    <w:rsid w:val="00ED3DD2"/>
    <w:rsid w:val="00ED4809"/>
    <w:rsid w:val="00EE741B"/>
    <w:rsid w:val="00EF0512"/>
    <w:rsid w:val="00EF0D7A"/>
    <w:rsid w:val="00EF41B9"/>
    <w:rsid w:val="00EF7F94"/>
    <w:rsid w:val="00F27473"/>
    <w:rsid w:val="00F3121A"/>
    <w:rsid w:val="00F52F52"/>
    <w:rsid w:val="00F54C7A"/>
    <w:rsid w:val="00F62B98"/>
    <w:rsid w:val="00F640CE"/>
    <w:rsid w:val="00F65F28"/>
    <w:rsid w:val="00F705E2"/>
    <w:rsid w:val="00F765F4"/>
    <w:rsid w:val="00F8370C"/>
    <w:rsid w:val="00F90835"/>
    <w:rsid w:val="00F969EE"/>
    <w:rsid w:val="00FA7A41"/>
    <w:rsid w:val="00FB577C"/>
    <w:rsid w:val="00FC134C"/>
    <w:rsid w:val="00FC48E9"/>
    <w:rsid w:val="00FD05B5"/>
    <w:rsid w:val="00FD2B4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7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707</ap:Words>
  <ap:Characters>3893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2015-11-26T08:41:00.0000000Z</dcterms:created>
  <dcterms:modified xsi:type="dcterms:W3CDTF">2015-11-26T12:19:00.0000000Z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0x01010055DD149E2D5A4A46B15D5867CE985CB5</vt:lpwstr>
  </property>
</Properties>
</file>