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B3942" w:rsidR="0054117A" w:rsidP="00AE1B65" w:rsidRDefault="002C6F59">
      <w:pPr>
        <w:spacing w:after="0" w:line="276" w:lineRule="auto"/>
        <w:rPr>
          <w:b/>
          <w:bCs/>
          <w:lang w:val="nl-NL"/>
        </w:rPr>
      </w:pPr>
      <w:r w:rsidRPr="00AB3942">
        <w:rPr>
          <w:b/>
          <w:bCs/>
          <w:lang w:val="nl-NL"/>
        </w:rPr>
        <w:t>T</w:t>
      </w:r>
      <w:r w:rsidRPr="00AB3942" w:rsidR="00330FDE">
        <w:rPr>
          <w:b/>
          <w:bCs/>
          <w:lang w:val="nl-NL"/>
        </w:rPr>
        <w:t xml:space="preserve">ien aanbevelingen </w:t>
      </w:r>
      <w:r w:rsidRPr="00AB3942" w:rsidR="00346E09">
        <w:rPr>
          <w:b/>
          <w:bCs/>
          <w:lang w:val="nl-NL"/>
        </w:rPr>
        <w:t xml:space="preserve">ter verbetering van de aanbestedingswet, </w:t>
      </w:r>
      <w:r w:rsidRPr="00AB3942">
        <w:rPr>
          <w:b/>
          <w:bCs/>
          <w:lang w:val="nl-NL"/>
        </w:rPr>
        <w:t xml:space="preserve">in het bijzonder </w:t>
      </w:r>
      <w:r w:rsidRPr="00AB3942" w:rsidR="00AE1B65">
        <w:rPr>
          <w:b/>
          <w:bCs/>
          <w:lang w:val="nl-NL"/>
        </w:rPr>
        <w:t xml:space="preserve">t.b.v. </w:t>
      </w:r>
      <w:r w:rsidRPr="00AB3942" w:rsidR="00346E09">
        <w:rPr>
          <w:b/>
          <w:bCs/>
          <w:lang w:val="nl-NL"/>
        </w:rPr>
        <w:t xml:space="preserve">het </w:t>
      </w:r>
      <w:r w:rsidRPr="00AB3942" w:rsidR="0054117A">
        <w:rPr>
          <w:b/>
          <w:bCs/>
          <w:lang w:val="nl-NL"/>
        </w:rPr>
        <w:t xml:space="preserve">MKB </w:t>
      </w:r>
    </w:p>
    <w:p w:rsidRPr="00AB3942" w:rsidR="00025AA0" w:rsidP="00025AA0" w:rsidRDefault="0054117A">
      <w:pPr>
        <w:spacing w:after="0" w:line="276" w:lineRule="auto"/>
        <w:rPr>
          <w:b/>
          <w:bCs/>
          <w:lang w:val="nl-NL"/>
        </w:rPr>
      </w:pPr>
      <w:r w:rsidRPr="00AB3942">
        <w:rPr>
          <w:b/>
          <w:bCs/>
          <w:lang w:val="nl-NL"/>
        </w:rPr>
        <w:t xml:space="preserve"> </w:t>
      </w:r>
    </w:p>
    <w:p w:rsidRPr="00AB3942" w:rsidR="002C6F59" w:rsidP="00025AA0" w:rsidRDefault="002C6F59">
      <w:pPr>
        <w:spacing w:after="0" w:line="276" w:lineRule="auto"/>
        <w:rPr>
          <w:lang w:val="nl-NL"/>
        </w:rPr>
      </w:pPr>
      <w:r w:rsidRPr="00AB3942">
        <w:rPr>
          <w:lang w:val="nl-NL"/>
        </w:rPr>
        <w:t>Prof. Mr. E.R. Manunza, hoogleraar Europees en internationaal aanbestedingsrecht, Universiteit Utrecht</w:t>
      </w:r>
    </w:p>
    <w:p w:rsidRPr="00AB3942" w:rsidR="002C6F59" w:rsidP="00025AA0" w:rsidRDefault="002C6F59">
      <w:pPr>
        <w:spacing w:after="0" w:line="276" w:lineRule="auto"/>
        <w:rPr>
          <w:b/>
          <w:bCs/>
          <w:lang w:val="nl-NL"/>
        </w:rPr>
      </w:pPr>
    </w:p>
    <w:p w:rsidRPr="00AB3942" w:rsidR="002B5A3A" w:rsidP="00490E73" w:rsidRDefault="002C6F59">
      <w:pPr>
        <w:spacing w:after="0" w:line="276" w:lineRule="auto"/>
        <w:rPr>
          <w:b/>
          <w:bCs/>
          <w:lang w:val="nl-NL"/>
        </w:rPr>
      </w:pPr>
      <w:r w:rsidRPr="00AB3942">
        <w:rPr>
          <w:b/>
          <w:bCs/>
          <w:lang w:val="nl-NL"/>
        </w:rPr>
        <w:t xml:space="preserve">1e Aanbeveling: </w:t>
      </w:r>
      <w:r w:rsidRPr="00AB3942" w:rsidR="00490E73">
        <w:rPr>
          <w:b/>
          <w:bCs/>
          <w:lang w:val="nl-NL"/>
        </w:rPr>
        <w:t>Betrekt d</w:t>
      </w:r>
      <w:r w:rsidRPr="00AB3942">
        <w:rPr>
          <w:b/>
          <w:bCs/>
          <w:lang w:val="nl-NL"/>
        </w:rPr>
        <w:t>e resultaten van de evaluatie van de A</w:t>
      </w:r>
      <w:r w:rsidRPr="00AB3942" w:rsidR="00AE1B65">
        <w:rPr>
          <w:b/>
          <w:bCs/>
          <w:lang w:val="nl-NL"/>
        </w:rPr>
        <w:t>anbestedings</w:t>
      </w:r>
      <w:r w:rsidRPr="00AB3942">
        <w:rPr>
          <w:b/>
          <w:bCs/>
          <w:lang w:val="nl-NL"/>
        </w:rPr>
        <w:t>w</w:t>
      </w:r>
      <w:r w:rsidRPr="00AB3942" w:rsidR="00AE1B65">
        <w:rPr>
          <w:b/>
          <w:bCs/>
          <w:lang w:val="nl-NL"/>
        </w:rPr>
        <w:t>et 2012</w:t>
      </w:r>
      <w:r w:rsidRPr="00AB3942">
        <w:rPr>
          <w:b/>
          <w:bCs/>
          <w:lang w:val="nl-NL"/>
        </w:rPr>
        <w:t xml:space="preserve"> bij de wetswijziging. </w:t>
      </w:r>
      <w:r w:rsidRPr="00AB3942" w:rsidR="002B5A3A">
        <w:rPr>
          <w:lang w:val="nl-NL"/>
        </w:rPr>
        <w:t>Volgens de Memorie van Toelichting is</w:t>
      </w:r>
      <w:r w:rsidRPr="00AB3942" w:rsidR="00953240">
        <w:rPr>
          <w:lang w:val="nl-NL"/>
        </w:rPr>
        <w:t xml:space="preserve"> dit</w:t>
      </w:r>
      <w:r w:rsidRPr="00AB3942" w:rsidR="00C7215B">
        <w:rPr>
          <w:lang w:val="nl-NL"/>
        </w:rPr>
        <w:t xml:space="preserve"> wetsvoorstel </w:t>
      </w:r>
      <w:r w:rsidRPr="00AB3942" w:rsidR="009144E9">
        <w:rPr>
          <w:lang w:val="nl-NL"/>
        </w:rPr>
        <w:t xml:space="preserve">bedoeld ter implementatie van de nieuwe EU richtlijnen overheidsopdrachten en concessies </w:t>
      </w:r>
      <w:r w:rsidRPr="00AB3942" w:rsidR="003832ED">
        <w:rPr>
          <w:lang w:val="nl-NL"/>
        </w:rPr>
        <w:t>uit 2014 en niet om wijzigingen aan te brengen naar aanleiding van de uitkomsten van de evaluatie van de Aanbestedingsw</w:t>
      </w:r>
      <w:r w:rsidRPr="00AB3942" w:rsidR="00953240">
        <w:rPr>
          <w:lang w:val="nl-NL"/>
        </w:rPr>
        <w:t xml:space="preserve">et 2012 </w:t>
      </w:r>
      <w:r w:rsidRPr="00AB3942" w:rsidR="00E01F46">
        <w:rPr>
          <w:lang w:val="nl-NL"/>
        </w:rPr>
        <w:t xml:space="preserve">(hierna: </w:t>
      </w:r>
      <w:proofErr w:type="spellStart"/>
      <w:r w:rsidRPr="00AB3942" w:rsidR="00E01F46">
        <w:rPr>
          <w:lang w:val="nl-NL"/>
        </w:rPr>
        <w:t>Aw</w:t>
      </w:r>
      <w:proofErr w:type="spellEnd"/>
      <w:r w:rsidRPr="00AB3942" w:rsidR="00E01F46">
        <w:rPr>
          <w:lang w:val="nl-NL"/>
        </w:rPr>
        <w:t xml:space="preserve">) </w:t>
      </w:r>
      <w:r w:rsidRPr="00AB3942" w:rsidR="00953240">
        <w:rPr>
          <w:lang w:val="nl-NL"/>
        </w:rPr>
        <w:t xml:space="preserve">die </w:t>
      </w:r>
      <w:r w:rsidRPr="00AB3942" w:rsidR="003832ED">
        <w:rPr>
          <w:lang w:val="nl-NL"/>
        </w:rPr>
        <w:t>afgelopen zomer bekend zijn gemaakt.</w:t>
      </w:r>
      <w:r w:rsidRPr="00AB3942" w:rsidR="002B5A3A">
        <w:rPr>
          <w:lang w:val="nl-NL"/>
        </w:rPr>
        <w:t xml:space="preserve"> Naar aanleiding van de evaluatie was volgens de MvT enkel een wetswijziging nodig </w:t>
      </w:r>
      <w:r w:rsidRPr="00AB3942" w:rsidR="0054117A">
        <w:rPr>
          <w:lang w:val="nl-NL"/>
        </w:rPr>
        <w:t>voor</w:t>
      </w:r>
      <w:r w:rsidRPr="00AB3942" w:rsidR="002B5A3A">
        <w:rPr>
          <w:lang w:val="nl-NL"/>
        </w:rPr>
        <w:t xml:space="preserve"> het verlengen van de termijn tussen de laatste nota van inlichtingen en de uiterste datum voor het indienen van inschrijvingen die van 6 naar 10 dagen is gebracht. </w:t>
      </w:r>
    </w:p>
    <w:p w:rsidRPr="00AB3942" w:rsidR="002B5A3A" w:rsidP="00AE1B65" w:rsidRDefault="002B5A3A">
      <w:pPr>
        <w:spacing w:after="0" w:line="276" w:lineRule="auto"/>
        <w:rPr>
          <w:lang w:val="nl-NL"/>
        </w:rPr>
      </w:pPr>
      <w:r w:rsidRPr="00AB3942">
        <w:rPr>
          <w:lang w:val="nl-NL"/>
        </w:rPr>
        <w:t xml:space="preserve">Dit is opmerkelijk want uit de evaluatie van de wet blijkt dat een van de voornaamste doelstellingen van de </w:t>
      </w:r>
      <w:proofErr w:type="spellStart"/>
      <w:r w:rsidRPr="00AB3942">
        <w:rPr>
          <w:lang w:val="nl-NL"/>
        </w:rPr>
        <w:t>A</w:t>
      </w:r>
      <w:r w:rsidRPr="00AB3942" w:rsidR="00E01F46">
        <w:rPr>
          <w:lang w:val="nl-NL"/>
        </w:rPr>
        <w:t>w</w:t>
      </w:r>
      <w:proofErr w:type="spellEnd"/>
      <w:r w:rsidRPr="00AB3942">
        <w:rPr>
          <w:lang w:val="nl-NL"/>
        </w:rPr>
        <w:t xml:space="preserve"> - het MKB een grotere rol bij de gunning van overheidsopdrachten</w:t>
      </w:r>
      <w:r w:rsidRPr="00AB3942" w:rsidR="00E01F46">
        <w:rPr>
          <w:lang w:val="nl-NL"/>
        </w:rPr>
        <w:t xml:space="preserve"> te laten spelen</w:t>
      </w:r>
      <w:r w:rsidRPr="00AB3942">
        <w:rPr>
          <w:lang w:val="nl-NL"/>
        </w:rPr>
        <w:t xml:space="preserve"> - slechts gedeeltelijk is gehaald. De deelname van het MKB is niet of nauwelijks gestegen </w:t>
      </w:r>
      <w:r w:rsidRPr="00AB3942" w:rsidR="00E01F46">
        <w:rPr>
          <w:lang w:val="nl-NL"/>
        </w:rPr>
        <w:t>na</w:t>
      </w:r>
      <w:r w:rsidRPr="00AB3942">
        <w:rPr>
          <w:lang w:val="nl-NL"/>
        </w:rPr>
        <w:t xml:space="preserve"> inwerkingtreding </w:t>
      </w:r>
      <w:r w:rsidRPr="00AB3942" w:rsidR="00E01F46">
        <w:rPr>
          <w:lang w:val="nl-NL"/>
        </w:rPr>
        <w:t xml:space="preserve">van de </w:t>
      </w:r>
      <w:proofErr w:type="spellStart"/>
      <w:r w:rsidRPr="00AB3942" w:rsidR="00E01F46">
        <w:rPr>
          <w:lang w:val="nl-NL"/>
        </w:rPr>
        <w:t>Aw</w:t>
      </w:r>
      <w:proofErr w:type="spellEnd"/>
      <w:r w:rsidRPr="00AB3942">
        <w:rPr>
          <w:lang w:val="nl-NL"/>
        </w:rPr>
        <w:t xml:space="preserve"> 2012 (er is zelfs sprake van een kleine daling bij nationale werken) en </w:t>
      </w:r>
      <w:r w:rsidRPr="00AB3942" w:rsidR="00E01F46">
        <w:rPr>
          <w:lang w:val="nl-NL"/>
        </w:rPr>
        <w:t>he</w:t>
      </w:r>
      <w:r w:rsidRPr="00AB3942">
        <w:rPr>
          <w:lang w:val="nl-NL"/>
        </w:rPr>
        <w:t xml:space="preserve">t MKB </w:t>
      </w:r>
      <w:r w:rsidRPr="00AB3942" w:rsidR="00E01F46">
        <w:rPr>
          <w:lang w:val="nl-NL"/>
        </w:rPr>
        <w:t xml:space="preserve">is van mening dat </w:t>
      </w:r>
      <w:r w:rsidRPr="00AB3942" w:rsidR="00AE1B65">
        <w:rPr>
          <w:lang w:val="nl-NL"/>
        </w:rPr>
        <w:t>dit e</w:t>
      </w:r>
      <w:r w:rsidRPr="00AB3942" w:rsidR="00E01F46">
        <w:rPr>
          <w:lang w:val="nl-NL"/>
        </w:rPr>
        <w:t xml:space="preserve">en gevolg is van </w:t>
      </w:r>
      <w:r w:rsidRPr="00AB3942" w:rsidR="00AE1B65">
        <w:rPr>
          <w:lang w:val="nl-NL"/>
        </w:rPr>
        <w:t xml:space="preserve">zowel inhoud als van slechte </w:t>
      </w:r>
      <w:r w:rsidRPr="00AB3942" w:rsidR="00E01F46">
        <w:rPr>
          <w:lang w:val="nl-NL"/>
        </w:rPr>
        <w:t>toepassing van de wet</w:t>
      </w:r>
      <w:r w:rsidRPr="00AB3942">
        <w:rPr>
          <w:lang w:val="nl-NL"/>
        </w:rPr>
        <w:t xml:space="preserve">. </w:t>
      </w:r>
    </w:p>
    <w:p w:rsidRPr="00AB3942" w:rsidR="00E01F46" w:rsidP="003832ED" w:rsidRDefault="00E01F46">
      <w:pPr>
        <w:spacing w:after="0" w:line="276" w:lineRule="auto"/>
        <w:rPr>
          <w:lang w:val="nl-NL"/>
        </w:rPr>
      </w:pPr>
    </w:p>
    <w:p w:rsidRPr="00AB3942" w:rsidR="003832ED" w:rsidP="00AE1B65" w:rsidRDefault="002C6F59">
      <w:pPr>
        <w:spacing w:after="0" w:line="276" w:lineRule="auto"/>
        <w:rPr>
          <w:b/>
          <w:bCs/>
          <w:u w:val="single"/>
          <w:lang w:val="nl-NL"/>
        </w:rPr>
      </w:pPr>
      <w:r w:rsidRPr="00AB3942">
        <w:rPr>
          <w:b/>
          <w:bCs/>
          <w:lang w:val="nl-NL"/>
        </w:rPr>
        <w:t>2</w:t>
      </w:r>
      <w:r w:rsidRPr="00AB3942">
        <w:rPr>
          <w:b/>
          <w:bCs/>
          <w:vertAlign w:val="superscript"/>
          <w:lang w:val="nl-NL"/>
        </w:rPr>
        <w:t>e</w:t>
      </w:r>
      <w:r w:rsidRPr="00AB3942">
        <w:rPr>
          <w:b/>
          <w:bCs/>
          <w:lang w:val="nl-NL"/>
        </w:rPr>
        <w:t xml:space="preserve"> Aanbeveling:</w:t>
      </w:r>
      <w:r w:rsidRPr="00AB3942" w:rsidR="00490E73">
        <w:rPr>
          <w:b/>
          <w:bCs/>
          <w:lang w:val="nl-NL"/>
        </w:rPr>
        <w:t xml:space="preserve"> Perk de </w:t>
      </w:r>
      <w:r w:rsidRPr="00AB3942">
        <w:rPr>
          <w:b/>
          <w:bCs/>
          <w:lang w:val="nl-NL"/>
        </w:rPr>
        <w:t>(t</w:t>
      </w:r>
      <w:r w:rsidRPr="00AB3942" w:rsidR="004A49D2">
        <w:rPr>
          <w:b/>
          <w:bCs/>
          <w:lang w:val="nl-NL"/>
        </w:rPr>
        <w:t xml:space="preserve">e) ruime </w:t>
      </w:r>
      <w:r w:rsidRPr="00AB3942" w:rsidR="004A49D2">
        <w:rPr>
          <w:b/>
          <w:bCs/>
          <w:i/>
          <w:iCs/>
          <w:lang w:val="nl-NL"/>
        </w:rPr>
        <w:t>discretionaire</w:t>
      </w:r>
      <w:r w:rsidRPr="00AB3942">
        <w:rPr>
          <w:b/>
          <w:bCs/>
          <w:lang w:val="nl-NL"/>
        </w:rPr>
        <w:t xml:space="preserve"> bevoegdheden</w:t>
      </w:r>
      <w:r w:rsidRPr="00AB3942" w:rsidR="004A49D2">
        <w:rPr>
          <w:b/>
          <w:bCs/>
          <w:lang w:val="nl-NL"/>
        </w:rPr>
        <w:t xml:space="preserve"> van aanbestedende diensten</w:t>
      </w:r>
      <w:r w:rsidRPr="00AB3942" w:rsidR="00490E73">
        <w:rPr>
          <w:b/>
          <w:bCs/>
          <w:lang w:val="nl-NL"/>
        </w:rPr>
        <w:t xml:space="preserve"> in</w:t>
      </w:r>
      <w:r w:rsidRPr="00AB3942">
        <w:rPr>
          <w:b/>
          <w:bCs/>
          <w:lang w:val="nl-NL"/>
        </w:rPr>
        <w:t xml:space="preserve">. </w:t>
      </w:r>
      <w:r w:rsidRPr="00AB3942" w:rsidR="00E01F46">
        <w:rPr>
          <w:lang w:val="nl-NL"/>
        </w:rPr>
        <w:t>Volgens d</w:t>
      </w:r>
      <w:r w:rsidRPr="00AB3942" w:rsidR="003832ED">
        <w:rPr>
          <w:lang w:val="nl-NL"/>
        </w:rPr>
        <w:t>e</w:t>
      </w:r>
      <w:r w:rsidRPr="00AB3942" w:rsidR="00E01F46">
        <w:rPr>
          <w:lang w:val="nl-NL"/>
        </w:rPr>
        <w:t xml:space="preserve"> Europese wetgever was een herziening van het EU aanbestedingsjuridisch</w:t>
      </w:r>
      <w:r w:rsidRPr="00AB3942" w:rsidR="00AE1B65">
        <w:rPr>
          <w:lang w:val="nl-NL"/>
        </w:rPr>
        <w:t xml:space="preserve"> kader noodzakelijk om de - thans nog </w:t>
      </w:r>
      <w:r w:rsidRPr="00AB3942" w:rsidR="00E01F46">
        <w:rPr>
          <w:lang w:val="nl-NL"/>
        </w:rPr>
        <w:t xml:space="preserve">geldende - regelgeving efficiënter, duidelijker en eenvoudiger te maken en rechtszekerheid te </w:t>
      </w:r>
      <w:r w:rsidRPr="00AB3942" w:rsidR="0054117A">
        <w:rPr>
          <w:lang w:val="nl-NL"/>
        </w:rPr>
        <w:t>creëren</w:t>
      </w:r>
      <w:r w:rsidRPr="00AB3942" w:rsidR="00E01F46">
        <w:rPr>
          <w:lang w:val="nl-NL"/>
        </w:rPr>
        <w:t>.</w:t>
      </w:r>
      <w:r w:rsidRPr="00AB3942" w:rsidR="003832ED">
        <w:rPr>
          <w:lang w:val="nl-NL"/>
        </w:rPr>
        <w:t xml:space="preserve"> Maar in tegenstelling </w:t>
      </w:r>
      <w:r w:rsidRPr="00AB3942" w:rsidR="00E01F46">
        <w:rPr>
          <w:lang w:val="nl-NL"/>
        </w:rPr>
        <w:t xml:space="preserve">met deze doelstelling, heeft de Europese wetgever </w:t>
      </w:r>
      <w:r w:rsidRPr="00AB3942" w:rsidR="009144E9">
        <w:rPr>
          <w:lang w:val="nl-NL"/>
        </w:rPr>
        <w:t xml:space="preserve">vele nieuwe regels </w:t>
      </w:r>
      <w:r w:rsidRPr="00AB3942" w:rsidR="00E01F46">
        <w:rPr>
          <w:lang w:val="nl-NL"/>
        </w:rPr>
        <w:t xml:space="preserve">ingevoerd </w:t>
      </w:r>
      <w:r w:rsidRPr="00AB3942" w:rsidR="009144E9">
        <w:rPr>
          <w:lang w:val="nl-NL"/>
        </w:rPr>
        <w:t xml:space="preserve">die nieuwe onduidelijkheden </w:t>
      </w:r>
      <w:r w:rsidRPr="00AB3942" w:rsidR="00E01F46">
        <w:rPr>
          <w:lang w:val="nl-NL"/>
        </w:rPr>
        <w:t xml:space="preserve">en onzekerheden </w:t>
      </w:r>
      <w:r w:rsidRPr="00AB3942" w:rsidR="009144E9">
        <w:rPr>
          <w:lang w:val="nl-NL"/>
        </w:rPr>
        <w:t>hebben gecreëerd.</w:t>
      </w:r>
      <w:r w:rsidRPr="00AB3942" w:rsidR="00E01F46">
        <w:rPr>
          <w:lang w:val="nl-NL"/>
        </w:rPr>
        <w:t xml:space="preserve"> </w:t>
      </w:r>
      <w:r w:rsidRPr="00AB3942" w:rsidR="003832ED">
        <w:rPr>
          <w:lang w:val="nl-NL"/>
        </w:rPr>
        <w:t xml:space="preserve">De </w:t>
      </w:r>
      <w:r w:rsidRPr="00AB3942" w:rsidR="009144E9">
        <w:rPr>
          <w:i/>
          <w:iCs/>
          <w:lang w:val="nl-NL"/>
        </w:rPr>
        <w:t>discretionaire</w:t>
      </w:r>
      <w:r w:rsidRPr="00AB3942" w:rsidR="009144E9">
        <w:rPr>
          <w:lang w:val="nl-NL"/>
        </w:rPr>
        <w:t xml:space="preserve"> ruimte</w:t>
      </w:r>
      <w:r w:rsidRPr="00AB3942" w:rsidR="003832ED">
        <w:rPr>
          <w:lang w:val="nl-NL"/>
        </w:rPr>
        <w:t xml:space="preserve"> voor</w:t>
      </w:r>
      <w:r w:rsidRPr="00AB3942" w:rsidR="009144E9">
        <w:rPr>
          <w:lang w:val="nl-NL"/>
        </w:rPr>
        <w:t xml:space="preserve"> aanbestedende overheden om keuzes te maken en beslissingen te nemen </w:t>
      </w:r>
      <w:r w:rsidRPr="00AB3942" w:rsidR="003832ED">
        <w:rPr>
          <w:lang w:val="nl-NL"/>
        </w:rPr>
        <w:t xml:space="preserve">is met de nieuwe regels </w:t>
      </w:r>
      <w:r w:rsidRPr="00AB3942" w:rsidR="009144E9">
        <w:rPr>
          <w:lang w:val="nl-NL"/>
        </w:rPr>
        <w:t>aanzienlijk verruimd.</w:t>
      </w:r>
      <w:r w:rsidRPr="00AB3942" w:rsidR="003832ED">
        <w:rPr>
          <w:lang w:val="nl-NL"/>
        </w:rPr>
        <w:t xml:space="preserve"> De positie </w:t>
      </w:r>
      <w:r w:rsidRPr="00AB3942" w:rsidR="009144E9">
        <w:rPr>
          <w:lang w:val="nl-NL"/>
        </w:rPr>
        <w:t>van inschrijvende partijen</w:t>
      </w:r>
      <w:r w:rsidRPr="00AB3942" w:rsidR="00E01F46">
        <w:rPr>
          <w:lang w:val="nl-NL"/>
        </w:rPr>
        <w:t xml:space="preserve"> </w:t>
      </w:r>
      <w:r w:rsidRPr="00AB3942" w:rsidR="00330FDE">
        <w:rPr>
          <w:lang w:val="nl-NL"/>
        </w:rPr>
        <w:t xml:space="preserve">wordt </w:t>
      </w:r>
      <w:r w:rsidRPr="00AB3942" w:rsidR="00E01F46">
        <w:rPr>
          <w:lang w:val="nl-NL"/>
        </w:rPr>
        <w:t xml:space="preserve">daardoor </w:t>
      </w:r>
      <w:r w:rsidRPr="00AB3942" w:rsidR="0054117A">
        <w:rPr>
          <w:lang w:val="nl-NL"/>
        </w:rPr>
        <w:t>verzwakt, want</w:t>
      </w:r>
      <w:r w:rsidRPr="00AB3942" w:rsidR="009144E9">
        <w:rPr>
          <w:lang w:val="nl-NL"/>
        </w:rPr>
        <w:t xml:space="preserve"> hoe groter de beslissingsruimte van overheden bij aanbestedingen, hoe groter de kansen op willekeur en favoritisme. </w:t>
      </w:r>
      <w:r w:rsidRPr="00AB3942" w:rsidR="003832ED">
        <w:rPr>
          <w:lang w:val="nl-NL"/>
        </w:rPr>
        <w:t xml:space="preserve"> </w:t>
      </w:r>
    </w:p>
    <w:p w:rsidRPr="00AB3942" w:rsidR="00E01F46" w:rsidP="002C6F59" w:rsidRDefault="003832ED">
      <w:pPr>
        <w:spacing w:after="0" w:line="276" w:lineRule="auto"/>
        <w:rPr>
          <w:lang w:val="nl-NL"/>
        </w:rPr>
      </w:pPr>
      <w:r w:rsidRPr="00AB3942">
        <w:rPr>
          <w:lang w:val="nl-NL"/>
        </w:rPr>
        <w:t xml:space="preserve">De Nederlandse </w:t>
      </w:r>
      <w:r w:rsidRPr="00AB3942" w:rsidR="009144E9">
        <w:rPr>
          <w:lang w:val="nl-NL"/>
        </w:rPr>
        <w:t xml:space="preserve">wetgever </w:t>
      </w:r>
      <w:r w:rsidRPr="00AB3942">
        <w:rPr>
          <w:lang w:val="nl-NL"/>
        </w:rPr>
        <w:t xml:space="preserve">dient </w:t>
      </w:r>
      <w:r w:rsidRPr="00AB3942" w:rsidR="009144E9">
        <w:rPr>
          <w:lang w:val="nl-NL"/>
        </w:rPr>
        <w:t xml:space="preserve">bij deze implementatie alert te zijn en er voor </w:t>
      </w:r>
      <w:r w:rsidRPr="00AB3942" w:rsidR="0000386B">
        <w:rPr>
          <w:lang w:val="nl-NL"/>
        </w:rPr>
        <w:t xml:space="preserve">te </w:t>
      </w:r>
      <w:r w:rsidRPr="00AB3942" w:rsidR="009144E9">
        <w:rPr>
          <w:lang w:val="nl-NL"/>
        </w:rPr>
        <w:t>zorgen dat</w:t>
      </w:r>
      <w:r w:rsidRPr="00AB3942">
        <w:rPr>
          <w:lang w:val="nl-NL"/>
        </w:rPr>
        <w:t xml:space="preserve"> </w:t>
      </w:r>
      <w:r w:rsidRPr="00AB3942" w:rsidR="00953240">
        <w:rPr>
          <w:lang w:val="nl-NL"/>
        </w:rPr>
        <w:t>de</w:t>
      </w:r>
      <w:r w:rsidRPr="00AB3942">
        <w:rPr>
          <w:lang w:val="nl-NL"/>
        </w:rPr>
        <w:t xml:space="preserve"> ruime </w:t>
      </w:r>
      <w:r w:rsidRPr="00AB3942">
        <w:rPr>
          <w:i/>
          <w:iCs/>
          <w:lang w:val="nl-NL"/>
        </w:rPr>
        <w:t>discretionaire</w:t>
      </w:r>
      <w:r w:rsidRPr="00AB3942">
        <w:rPr>
          <w:lang w:val="nl-NL"/>
        </w:rPr>
        <w:t xml:space="preserve"> beslissingsruimte van de aanbestedende overheid bij </w:t>
      </w:r>
      <w:r w:rsidRPr="00AB3942" w:rsidR="009144E9">
        <w:rPr>
          <w:lang w:val="nl-NL"/>
        </w:rPr>
        <w:t>de gunning van opdrachten</w:t>
      </w:r>
      <w:r w:rsidRPr="00AB3942" w:rsidR="00953240">
        <w:rPr>
          <w:lang w:val="nl-NL"/>
        </w:rPr>
        <w:t xml:space="preserve"> wordt ingeperkt en </w:t>
      </w:r>
      <w:r w:rsidRPr="00AB3942">
        <w:rPr>
          <w:lang w:val="nl-NL"/>
        </w:rPr>
        <w:t xml:space="preserve">niet </w:t>
      </w:r>
      <w:r w:rsidRPr="00AB3942" w:rsidR="00E01F46">
        <w:rPr>
          <w:lang w:val="nl-NL"/>
        </w:rPr>
        <w:t xml:space="preserve">wordt </w:t>
      </w:r>
      <w:r w:rsidRPr="00AB3942">
        <w:rPr>
          <w:lang w:val="nl-NL"/>
        </w:rPr>
        <w:t>verruimd. Zo</w:t>
      </w:r>
      <w:r w:rsidRPr="00AB3942" w:rsidR="0000386B">
        <w:rPr>
          <w:lang w:val="nl-NL"/>
        </w:rPr>
        <w:t>r</w:t>
      </w:r>
      <w:r w:rsidRPr="00AB3942">
        <w:rPr>
          <w:lang w:val="nl-NL"/>
        </w:rPr>
        <w:t xml:space="preserve">g er voor dat procedures meer </w:t>
      </w:r>
      <w:r w:rsidRPr="00AB3942" w:rsidR="009144E9">
        <w:rPr>
          <w:lang w:val="nl-NL"/>
        </w:rPr>
        <w:t xml:space="preserve">op basis van objectieve, transparante, non discriminerende en proportionele </w:t>
      </w:r>
      <w:r w:rsidRPr="00AB3942">
        <w:rPr>
          <w:lang w:val="nl-NL"/>
        </w:rPr>
        <w:t xml:space="preserve">gronden plaatsvinden (zie </w:t>
      </w:r>
      <w:r w:rsidRPr="00AB3942" w:rsidR="0000386B">
        <w:rPr>
          <w:lang w:val="nl-NL"/>
        </w:rPr>
        <w:t xml:space="preserve">verder </w:t>
      </w:r>
      <w:r w:rsidRPr="00AB3942">
        <w:rPr>
          <w:lang w:val="nl-NL"/>
        </w:rPr>
        <w:t>hierna</w:t>
      </w:r>
      <w:r w:rsidRPr="00AB3942" w:rsidR="0000386B">
        <w:rPr>
          <w:lang w:val="nl-NL"/>
        </w:rPr>
        <w:t>)</w:t>
      </w:r>
      <w:r w:rsidRPr="00AB3942" w:rsidR="002C6F59">
        <w:rPr>
          <w:lang w:val="nl-NL"/>
        </w:rPr>
        <w:t>.</w:t>
      </w:r>
      <w:r w:rsidRPr="00AB3942">
        <w:rPr>
          <w:lang w:val="nl-NL"/>
        </w:rPr>
        <w:t xml:space="preserve"> </w:t>
      </w:r>
    </w:p>
    <w:p w:rsidRPr="00AB3942" w:rsidR="00E01F46" w:rsidP="00E01F46" w:rsidRDefault="00E01F46">
      <w:pPr>
        <w:spacing w:after="0" w:line="276" w:lineRule="auto"/>
        <w:rPr>
          <w:lang w:val="nl-NL"/>
        </w:rPr>
      </w:pPr>
    </w:p>
    <w:p w:rsidRPr="00AB3942" w:rsidR="004A49D2" w:rsidP="00AE1B65" w:rsidRDefault="00E01F46">
      <w:pPr>
        <w:spacing w:after="0" w:line="276" w:lineRule="auto"/>
        <w:rPr>
          <w:lang w:val="nl-NL"/>
        </w:rPr>
      </w:pPr>
      <w:r w:rsidRPr="00AB3942">
        <w:rPr>
          <w:b/>
          <w:bCs/>
          <w:lang w:val="nl-NL"/>
        </w:rPr>
        <w:t>3</w:t>
      </w:r>
      <w:r w:rsidRPr="00AB3942" w:rsidR="002C6F59">
        <w:rPr>
          <w:b/>
          <w:bCs/>
          <w:vertAlign w:val="superscript"/>
          <w:lang w:val="nl-NL"/>
        </w:rPr>
        <w:t>e</w:t>
      </w:r>
      <w:r w:rsidRPr="00AB3942" w:rsidR="002C6F59">
        <w:rPr>
          <w:b/>
          <w:bCs/>
          <w:lang w:val="nl-NL"/>
        </w:rPr>
        <w:t xml:space="preserve">Aanbeveling: </w:t>
      </w:r>
      <w:r w:rsidRPr="00AB3942">
        <w:rPr>
          <w:b/>
          <w:bCs/>
          <w:lang w:val="nl-NL"/>
        </w:rPr>
        <w:t xml:space="preserve"> </w:t>
      </w:r>
      <w:r w:rsidRPr="00AB3942" w:rsidR="00490E73">
        <w:rPr>
          <w:b/>
          <w:bCs/>
          <w:lang w:val="nl-NL"/>
        </w:rPr>
        <w:t>V</w:t>
      </w:r>
      <w:r w:rsidRPr="00AB3942" w:rsidR="002C6F59">
        <w:rPr>
          <w:b/>
          <w:bCs/>
          <w:lang w:val="nl-NL"/>
        </w:rPr>
        <w:t>oer</w:t>
      </w:r>
      <w:r w:rsidRPr="00AB3942" w:rsidR="00490E73">
        <w:rPr>
          <w:b/>
          <w:bCs/>
          <w:lang w:val="nl-NL"/>
        </w:rPr>
        <w:t xml:space="preserve"> een</w:t>
      </w:r>
      <w:r w:rsidRPr="00AB3942" w:rsidR="002C6F59">
        <w:rPr>
          <w:b/>
          <w:bCs/>
          <w:lang w:val="nl-NL"/>
        </w:rPr>
        <w:t xml:space="preserve"> objectieve toets </w:t>
      </w:r>
      <w:r w:rsidRPr="00AB3942" w:rsidR="00490E73">
        <w:rPr>
          <w:b/>
          <w:bCs/>
          <w:lang w:val="nl-NL"/>
        </w:rPr>
        <w:t xml:space="preserve">in die verplicht dient te worden uitgevoerd </w:t>
      </w:r>
      <w:r w:rsidRPr="00AB3942" w:rsidR="002C6F59">
        <w:rPr>
          <w:b/>
          <w:bCs/>
          <w:lang w:val="nl-NL"/>
        </w:rPr>
        <w:t>alvorens tot in</w:t>
      </w:r>
      <w:r w:rsidRPr="00AB3942" w:rsidR="00D02935">
        <w:rPr>
          <w:b/>
          <w:bCs/>
          <w:lang w:val="nl-NL"/>
        </w:rPr>
        <w:t xml:space="preserve">besteden </w:t>
      </w:r>
      <w:r w:rsidRPr="00AB3942" w:rsidR="002C6F59">
        <w:rPr>
          <w:b/>
          <w:bCs/>
          <w:lang w:val="nl-NL"/>
        </w:rPr>
        <w:t>of</w:t>
      </w:r>
      <w:r w:rsidRPr="00AB3942" w:rsidR="00D02935">
        <w:rPr>
          <w:b/>
          <w:bCs/>
          <w:lang w:val="nl-NL"/>
        </w:rPr>
        <w:t xml:space="preserve"> </w:t>
      </w:r>
      <w:r w:rsidRPr="00AB3942" w:rsidR="00490E73">
        <w:rPr>
          <w:b/>
          <w:bCs/>
          <w:lang w:val="nl-NL"/>
        </w:rPr>
        <w:t xml:space="preserve">tot </w:t>
      </w:r>
      <w:r w:rsidRPr="00AB3942" w:rsidR="00D02935">
        <w:rPr>
          <w:b/>
          <w:bCs/>
          <w:lang w:val="nl-NL"/>
        </w:rPr>
        <w:t>publiek</w:t>
      </w:r>
      <w:r w:rsidRPr="00AB3942" w:rsidR="00490E73">
        <w:rPr>
          <w:b/>
          <w:bCs/>
          <w:lang w:val="nl-NL"/>
        </w:rPr>
        <w:t>e</w:t>
      </w:r>
      <w:r w:rsidRPr="00AB3942" w:rsidR="00D02935">
        <w:rPr>
          <w:b/>
          <w:bCs/>
          <w:lang w:val="nl-NL"/>
        </w:rPr>
        <w:t xml:space="preserve"> samenwerk</w:t>
      </w:r>
      <w:r w:rsidRPr="00AB3942" w:rsidR="002C6F59">
        <w:rPr>
          <w:b/>
          <w:bCs/>
          <w:lang w:val="nl-NL"/>
        </w:rPr>
        <w:t xml:space="preserve">ing over te gaan. </w:t>
      </w:r>
      <w:r w:rsidRPr="00AB3942" w:rsidR="002C6F59">
        <w:rPr>
          <w:lang w:val="nl-NL"/>
        </w:rPr>
        <w:t>D</w:t>
      </w:r>
      <w:r w:rsidRPr="00AB3942">
        <w:rPr>
          <w:lang w:val="nl-NL"/>
        </w:rPr>
        <w:t xml:space="preserve">e overheid doet in steeds toenemende </w:t>
      </w:r>
      <w:r w:rsidRPr="00AB3942" w:rsidR="0052490C">
        <w:rPr>
          <w:lang w:val="nl-NL"/>
        </w:rPr>
        <w:t>mate een beroep op de uitzonderingsmogelijkheden op de aanbestedingsplicht om opdrachten</w:t>
      </w:r>
      <w:r w:rsidRPr="00AB3942" w:rsidR="00F75D47">
        <w:rPr>
          <w:lang w:val="nl-NL"/>
        </w:rPr>
        <w:t xml:space="preserve"> in eigen beheer uit te voeren</w:t>
      </w:r>
      <w:r w:rsidRPr="00AB3942" w:rsidR="0000386B">
        <w:rPr>
          <w:lang w:val="nl-NL"/>
        </w:rPr>
        <w:t xml:space="preserve">, zonder dat </w:t>
      </w:r>
      <w:r w:rsidRPr="00AB3942" w:rsidR="00330FDE">
        <w:rPr>
          <w:lang w:val="nl-NL"/>
        </w:rPr>
        <w:t>daaraan een gefundeerde ec</w:t>
      </w:r>
      <w:r w:rsidRPr="00AB3942" w:rsidR="0000386B">
        <w:rPr>
          <w:lang w:val="nl-NL"/>
        </w:rPr>
        <w:t>onomische analyse ten grondslag ligt</w:t>
      </w:r>
      <w:r w:rsidRPr="00AB3942" w:rsidR="00F75D47">
        <w:rPr>
          <w:lang w:val="nl-NL"/>
        </w:rPr>
        <w:t xml:space="preserve">. </w:t>
      </w:r>
      <w:r w:rsidRPr="00AB3942" w:rsidR="0000386B">
        <w:rPr>
          <w:lang w:val="nl-NL"/>
        </w:rPr>
        <w:t>Dat leidt in de regel tot hogere kosten en slechtere kwaliteit</w:t>
      </w:r>
      <w:r w:rsidRPr="00AB3942" w:rsidR="00AE1B65">
        <w:rPr>
          <w:lang w:val="nl-NL"/>
        </w:rPr>
        <w:t xml:space="preserve"> (geen innovatie en maatschappelijke participatie)</w:t>
      </w:r>
      <w:r w:rsidRPr="00AB3942" w:rsidR="0000386B">
        <w:rPr>
          <w:lang w:val="nl-NL"/>
        </w:rPr>
        <w:t xml:space="preserve">. </w:t>
      </w:r>
      <w:r w:rsidRPr="00AB3942" w:rsidR="00F75D47">
        <w:rPr>
          <w:lang w:val="nl-NL"/>
        </w:rPr>
        <w:t>Het gaat in de grootste meerderheid om taken van commerciële aard</w:t>
      </w:r>
      <w:r w:rsidRPr="00AB3942" w:rsidR="00D02935">
        <w:rPr>
          <w:lang w:val="nl-NL"/>
        </w:rPr>
        <w:t xml:space="preserve"> </w:t>
      </w:r>
      <w:r w:rsidRPr="00AB3942" w:rsidR="002C6F59">
        <w:rPr>
          <w:lang w:val="nl-NL"/>
        </w:rPr>
        <w:t xml:space="preserve">– en niet van algemeen belang - </w:t>
      </w:r>
      <w:r w:rsidRPr="00AB3942" w:rsidR="00F75D47">
        <w:rPr>
          <w:lang w:val="nl-NL"/>
        </w:rPr>
        <w:t>die normaliter door marktpartijen worden uitgevoerd. De</w:t>
      </w:r>
      <w:r w:rsidRPr="00AB3942" w:rsidR="00330FDE">
        <w:rPr>
          <w:lang w:val="nl-NL"/>
        </w:rPr>
        <w:t xml:space="preserve">ze </w:t>
      </w:r>
      <w:proofErr w:type="spellStart"/>
      <w:r w:rsidRPr="00AB3942" w:rsidR="00AE1B65">
        <w:rPr>
          <w:lang w:val="nl-NL"/>
        </w:rPr>
        <w:t>inbestedings</w:t>
      </w:r>
      <w:r w:rsidRPr="00AB3942" w:rsidR="00330FDE">
        <w:rPr>
          <w:lang w:val="nl-NL"/>
        </w:rPr>
        <w:t>uitzonderingen</w:t>
      </w:r>
      <w:proofErr w:type="spellEnd"/>
      <w:r w:rsidRPr="00AB3942" w:rsidR="004A49D2">
        <w:rPr>
          <w:lang w:val="nl-NL"/>
        </w:rPr>
        <w:t xml:space="preserve"> worden </w:t>
      </w:r>
      <w:r w:rsidRPr="00AB3942" w:rsidR="00A42B3F">
        <w:rPr>
          <w:lang w:val="nl-NL"/>
        </w:rPr>
        <w:t xml:space="preserve">nu </w:t>
      </w:r>
      <w:r w:rsidRPr="00AB3942" w:rsidR="00F75D47">
        <w:rPr>
          <w:lang w:val="nl-NL"/>
        </w:rPr>
        <w:t xml:space="preserve">in de </w:t>
      </w:r>
      <w:proofErr w:type="spellStart"/>
      <w:r w:rsidRPr="00AB3942" w:rsidR="00F75D47">
        <w:rPr>
          <w:lang w:val="nl-NL"/>
        </w:rPr>
        <w:t>Aw</w:t>
      </w:r>
      <w:proofErr w:type="spellEnd"/>
      <w:r w:rsidRPr="00AB3942" w:rsidR="00F75D47">
        <w:rPr>
          <w:lang w:val="nl-NL"/>
        </w:rPr>
        <w:t xml:space="preserve"> gereguleerd</w:t>
      </w:r>
      <w:r w:rsidRPr="00AB3942" w:rsidR="004A49D2">
        <w:rPr>
          <w:lang w:val="nl-NL"/>
        </w:rPr>
        <w:t xml:space="preserve">. </w:t>
      </w:r>
    </w:p>
    <w:p w:rsidRPr="00AB3942" w:rsidR="004A49D2" w:rsidP="00AE1B65" w:rsidRDefault="002C6F59">
      <w:pPr>
        <w:spacing w:after="0" w:line="276" w:lineRule="auto"/>
        <w:rPr>
          <w:lang w:val="nl-NL"/>
        </w:rPr>
      </w:pPr>
      <w:r w:rsidRPr="00AB3942">
        <w:rPr>
          <w:lang w:val="nl-NL"/>
        </w:rPr>
        <w:t>D</w:t>
      </w:r>
      <w:r w:rsidRPr="00AB3942" w:rsidR="0045649C">
        <w:rPr>
          <w:lang w:val="nl-NL"/>
        </w:rPr>
        <w:t xml:space="preserve">e toepassing van </w:t>
      </w:r>
      <w:proofErr w:type="spellStart"/>
      <w:r w:rsidRPr="00AB3942" w:rsidR="0045649C">
        <w:rPr>
          <w:lang w:val="nl-NL"/>
        </w:rPr>
        <w:t>inbestedingen</w:t>
      </w:r>
      <w:proofErr w:type="spellEnd"/>
      <w:r w:rsidRPr="00AB3942" w:rsidR="0045649C">
        <w:rPr>
          <w:lang w:val="nl-NL"/>
        </w:rPr>
        <w:t xml:space="preserve"> en publieke samenwerking </w:t>
      </w:r>
      <w:r w:rsidRPr="00AB3942">
        <w:rPr>
          <w:lang w:val="nl-NL"/>
        </w:rPr>
        <w:t xml:space="preserve">dient te worden beperkt </w:t>
      </w:r>
      <w:r w:rsidRPr="00AB3942" w:rsidR="0045649C">
        <w:rPr>
          <w:lang w:val="nl-NL"/>
        </w:rPr>
        <w:t>door de invoering van een verplichte</w:t>
      </w:r>
      <w:r w:rsidRPr="00AB3942" w:rsidR="009E3B00">
        <w:rPr>
          <w:lang w:val="nl-NL"/>
        </w:rPr>
        <w:t xml:space="preserve"> objectieve en transparante toets aan de hand waarvan </w:t>
      </w:r>
      <w:r w:rsidRPr="00AB3942" w:rsidR="003832ED">
        <w:rPr>
          <w:lang w:val="nl-NL"/>
        </w:rPr>
        <w:t xml:space="preserve">overheden </w:t>
      </w:r>
      <w:r w:rsidRPr="00AB3942" w:rsidR="009E3B00">
        <w:rPr>
          <w:lang w:val="nl-NL"/>
        </w:rPr>
        <w:t xml:space="preserve">de keuze dienen te maken tussen </w:t>
      </w:r>
      <w:r w:rsidRPr="00AB3942" w:rsidR="003832ED">
        <w:rPr>
          <w:lang w:val="nl-NL"/>
        </w:rPr>
        <w:t xml:space="preserve">in- dan wel uitbesteden; </w:t>
      </w:r>
      <w:r w:rsidRPr="00AB3942" w:rsidR="0045649C">
        <w:rPr>
          <w:lang w:val="nl-NL"/>
        </w:rPr>
        <w:t>laat de gemaakte keuze motiveren</w:t>
      </w:r>
      <w:r w:rsidRPr="00AB3942" w:rsidR="004A49D2">
        <w:rPr>
          <w:lang w:val="nl-NL"/>
        </w:rPr>
        <w:t xml:space="preserve"> en bekendmaken; geef gel</w:t>
      </w:r>
      <w:r w:rsidRPr="00AB3942" w:rsidR="00AE1B65">
        <w:rPr>
          <w:lang w:val="nl-NL"/>
        </w:rPr>
        <w:t xml:space="preserve">aedeerde partijen de kans om </w:t>
      </w:r>
      <w:r w:rsidRPr="00AB3942" w:rsidR="004A49D2">
        <w:rPr>
          <w:i/>
          <w:iCs/>
          <w:lang w:val="nl-NL"/>
        </w:rPr>
        <w:t xml:space="preserve">tegen </w:t>
      </w:r>
      <w:r w:rsidRPr="00AB3942" w:rsidR="00AE1B65">
        <w:rPr>
          <w:i/>
          <w:iCs/>
          <w:lang w:val="nl-NL"/>
        </w:rPr>
        <w:t>de keuze</w:t>
      </w:r>
      <w:r w:rsidRPr="00AB3942" w:rsidR="00AE1B65">
        <w:rPr>
          <w:lang w:val="nl-NL"/>
        </w:rPr>
        <w:t xml:space="preserve"> om in te besteden dan wel publiek samen te werken </w:t>
      </w:r>
      <w:r w:rsidRPr="00AB3942" w:rsidR="004A49D2">
        <w:rPr>
          <w:lang w:val="nl-NL"/>
        </w:rPr>
        <w:t>te kunnen klagen of in beroep te gaan</w:t>
      </w:r>
      <w:r w:rsidRPr="00AB3942" w:rsidR="00822C77">
        <w:rPr>
          <w:lang w:val="nl-NL"/>
        </w:rPr>
        <w:t>. Uitsluitend kerntaken van de overheid (justitiële, politiële a</w:t>
      </w:r>
      <w:r w:rsidRPr="00AB3942" w:rsidR="00330FDE">
        <w:rPr>
          <w:lang w:val="nl-NL"/>
        </w:rPr>
        <w:t xml:space="preserve">pparaat en enkele andere </w:t>
      </w:r>
      <w:r w:rsidRPr="00AB3942" w:rsidR="00822C77">
        <w:rPr>
          <w:lang w:val="nl-NL"/>
        </w:rPr>
        <w:t>kerntaken) kunnen op voorhand van de toepassing van deze toets worden vrijgesteld.</w:t>
      </w:r>
    </w:p>
    <w:p w:rsidRPr="00AB3942" w:rsidR="00822C77" w:rsidP="0000386B" w:rsidRDefault="00822C77">
      <w:pPr>
        <w:spacing w:after="0" w:line="276" w:lineRule="auto"/>
        <w:rPr>
          <w:lang w:val="nl-NL"/>
        </w:rPr>
      </w:pPr>
      <w:r w:rsidRPr="00AB3942">
        <w:rPr>
          <w:lang w:val="nl-NL"/>
        </w:rPr>
        <w:lastRenderedPageBreak/>
        <w:t xml:space="preserve">In onze samenleving is het zinloos </w:t>
      </w:r>
      <w:r w:rsidRPr="00AB3942" w:rsidR="0000386B">
        <w:rPr>
          <w:lang w:val="nl-NL"/>
        </w:rPr>
        <w:t xml:space="preserve">om te  </w:t>
      </w:r>
      <w:r w:rsidRPr="00AB3942">
        <w:rPr>
          <w:lang w:val="nl-NL"/>
        </w:rPr>
        <w:t xml:space="preserve">streven naar een </w:t>
      </w:r>
      <w:r w:rsidRPr="00AB3942" w:rsidR="0000386B">
        <w:rPr>
          <w:lang w:val="nl-NL"/>
        </w:rPr>
        <w:t xml:space="preserve">vaste lijst </w:t>
      </w:r>
      <w:r w:rsidRPr="00AB3942">
        <w:rPr>
          <w:lang w:val="nl-NL"/>
        </w:rPr>
        <w:t xml:space="preserve">van wat een taak van algemeen belang is en wat niet. Het begrip is dynamisch van aard, aan continue ontwikkeling onderhevig,  cultureel bepaald. </w:t>
      </w:r>
      <w:r w:rsidRPr="00AB3942" w:rsidR="0000386B">
        <w:rPr>
          <w:lang w:val="nl-NL"/>
        </w:rPr>
        <w:t>Bovendien kunnen</w:t>
      </w:r>
      <w:r w:rsidRPr="00AB3942">
        <w:rPr>
          <w:lang w:val="nl-NL"/>
        </w:rPr>
        <w:t xml:space="preserve"> ook private partijen net als de overheid (vaak beter) voor de uitvoering van taken van algemeen belang zorgen. </w:t>
      </w:r>
      <w:r w:rsidRPr="00AB3942" w:rsidR="002C6F59">
        <w:rPr>
          <w:lang w:val="nl-NL"/>
        </w:rPr>
        <w:t xml:space="preserve">Zorg </w:t>
      </w:r>
      <w:r w:rsidRPr="00AB3942" w:rsidR="00AE1B65">
        <w:rPr>
          <w:lang w:val="nl-NL"/>
        </w:rPr>
        <w:t xml:space="preserve">ten slotte ook </w:t>
      </w:r>
      <w:r w:rsidRPr="00AB3942" w:rsidR="002C6F59">
        <w:rPr>
          <w:lang w:val="nl-NL"/>
        </w:rPr>
        <w:t>voor samenhang tussen de Wet Markt en Overheid en de Aanbestedingswet 2012 op dit punt.</w:t>
      </w:r>
      <w:r w:rsidRPr="00AB3942" w:rsidR="002C6F59">
        <w:rPr>
          <w:rStyle w:val="Eindnootmarkering"/>
          <w:lang w:val="nl-NL"/>
        </w:rPr>
        <w:endnoteReference w:id="1"/>
      </w:r>
    </w:p>
    <w:p w:rsidRPr="00AB3942" w:rsidR="00822C77" w:rsidP="00822C77" w:rsidRDefault="00822C77">
      <w:pPr>
        <w:spacing w:after="0" w:line="276" w:lineRule="auto"/>
        <w:rPr>
          <w:lang w:val="nl-NL"/>
        </w:rPr>
      </w:pPr>
    </w:p>
    <w:p w:rsidRPr="00AB3942" w:rsidR="00A022D5" w:rsidP="00AE1B65" w:rsidRDefault="004A49D2">
      <w:pPr>
        <w:spacing w:after="0" w:line="276" w:lineRule="auto"/>
        <w:rPr>
          <w:lang w:val="nl-NL"/>
        </w:rPr>
      </w:pPr>
      <w:r w:rsidRPr="00AB3942">
        <w:rPr>
          <w:b/>
          <w:bCs/>
          <w:lang w:val="nl-NL"/>
        </w:rPr>
        <w:t>4</w:t>
      </w:r>
      <w:r w:rsidRPr="00AB3942" w:rsidR="00490E73">
        <w:rPr>
          <w:b/>
          <w:bCs/>
          <w:vertAlign w:val="superscript"/>
          <w:lang w:val="nl-NL"/>
        </w:rPr>
        <w:t>e</w:t>
      </w:r>
      <w:r w:rsidRPr="00AB3942" w:rsidR="00490E73">
        <w:rPr>
          <w:b/>
          <w:bCs/>
          <w:lang w:val="nl-NL"/>
        </w:rPr>
        <w:t xml:space="preserve"> Aanbeveling: Zorg voor meer tr</w:t>
      </w:r>
      <w:r w:rsidRPr="00AB3942" w:rsidR="00FC353C">
        <w:rPr>
          <w:b/>
          <w:bCs/>
          <w:lang w:val="nl-NL"/>
        </w:rPr>
        <w:t xml:space="preserve">ansparantie bij de gunning </w:t>
      </w:r>
      <w:r w:rsidRPr="00AB3942" w:rsidR="00AE1B65">
        <w:rPr>
          <w:b/>
          <w:bCs/>
          <w:lang w:val="nl-NL"/>
        </w:rPr>
        <w:t xml:space="preserve">en verbeter de rechtsbescherming </w:t>
      </w:r>
      <w:r w:rsidRPr="00AB3942" w:rsidR="00FC353C">
        <w:rPr>
          <w:b/>
          <w:bCs/>
          <w:lang w:val="nl-NL"/>
        </w:rPr>
        <w:t xml:space="preserve">bij opdrachten </w:t>
      </w:r>
      <w:r w:rsidRPr="00AB3942" w:rsidR="009E3B00">
        <w:rPr>
          <w:b/>
          <w:bCs/>
          <w:lang w:val="nl-NL"/>
        </w:rPr>
        <w:t>onder de drempels</w:t>
      </w:r>
      <w:r w:rsidRPr="00AB3942" w:rsidR="00FC353C">
        <w:rPr>
          <w:b/>
          <w:bCs/>
          <w:lang w:val="nl-NL"/>
        </w:rPr>
        <w:t>.</w:t>
      </w:r>
      <w:r w:rsidRPr="00AB3942" w:rsidR="009E3B00">
        <w:rPr>
          <w:lang w:val="nl-NL"/>
        </w:rPr>
        <w:t xml:space="preserve"> </w:t>
      </w:r>
      <w:r w:rsidRPr="00AB3942" w:rsidR="009C4356">
        <w:rPr>
          <w:lang w:val="nl-NL"/>
        </w:rPr>
        <w:t xml:space="preserve">Uit cijfers blijkt dat in Nederland het </w:t>
      </w:r>
      <w:r w:rsidRPr="00AB3942" w:rsidR="002C6F59">
        <w:rPr>
          <w:lang w:val="nl-NL"/>
        </w:rPr>
        <w:t>meest</w:t>
      </w:r>
      <w:r w:rsidRPr="00AB3942" w:rsidR="009C4356">
        <w:rPr>
          <w:lang w:val="nl-NL"/>
        </w:rPr>
        <w:t xml:space="preserve"> </w:t>
      </w:r>
      <w:r w:rsidRPr="00AB3942" w:rsidR="000D6A4A">
        <w:rPr>
          <w:lang w:val="nl-NL"/>
        </w:rPr>
        <w:t>onder de Europese drempel</w:t>
      </w:r>
      <w:r w:rsidRPr="00AB3942" w:rsidR="002C6F59">
        <w:rPr>
          <w:lang w:val="nl-NL"/>
        </w:rPr>
        <w:t>s</w:t>
      </w:r>
      <w:r w:rsidRPr="00AB3942" w:rsidR="009C4356">
        <w:rPr>
          <w:lang w:val="nl-NL"/>
        </w:rPr>
        <w:t xml:space="preserve"> </w:t>
      </w:r>
      <w:r w:rsidRPr="00AB3942" w:rsidR="002C6F59">
        <w:rPr>
          <w:lang w:val="nl-NL"/>
        </w:rPr>
        <w:t xml:space="preserve">wordt gegund </w:t>
      </w:r>
      <w:r w:rsidRPr="00AB3942" w:rsidR="000D6A4A">
        <w:rPr>
          <w:lang w:val="nl-NL"/>
        </w:rPr>
        <w:t xml:space="preserve">en dat aantal is in na invoering van de </w:t>
      </w:r>
      <w:proofErr w:type="spellStart"/>
      <w:r w:rsidRPr="00AB3942" w:rsidR="000D6A4A">
        <w:rPr>
          <w:lang w:val="nl-NL"/>
        </w:rPr>
        <w:t>Aw</w:t>
      </w:r>
      <w:proofErr w:type="spellEnd"/>
      <w:r w:rsidRPr="00AB3942" w:rsidR="000D6A4A">
        <w:rPr>
          <w:lang w:val="nl-NL"/>
        </w:rPr>
        <w:t xml:space="preserve"> gestegen (meervoudig onderhandse aanbestedingen tussen 2009 en 2014 zijn ca. met 20%  gestegen). Daartegenover staat een daling van Europese procedures. Sinds de inwerkingtreding van de Gids Proportionaliteit hebben aanbestedende diensten, en dan met name decentrale overheden, hun interne grensbedragen waaronder ze onderhands aanbesteden </w:t>
      </w:r>
      <w:r w:rsidRPr="00AB3942" w:rsidR="0000386B">
        <w:rPr>
          <w:lang w:val="nl-NL"/>
        </w:rPr>
        <w:t>ver</w:t>
      </w:r>
      <w:r w:rsidRPr="00AB3942" w:rsidR="000D6A4A">
        <w:rPr>
          <w:lang w:val="nl-NL"/>
        </w:rPr>
        <w:t>hoogd. Het aandeel van het MKB in de totale opdrachtwaarde is het laagst bij Europese procedures (39%, versus 63% bij gunningen) en het hoogst bij nationale procedures (54%, versus 67% bij gunningen). Bij meervoudig onderhandse procedures is het aandeel van het MKB in de totale opdrachtwaarde 46% (versus 67% bij gunningen). Niet alleen gaat minder concurrentie ten koste van de prijs</w:t>
      </w:r>
      <w:r w:rsidRPr="00AB3942" w:rsidR="0000386B">
        <w:rPr>
          <w:lang w:val="nl-NL"/>
        </w:rPr>
        <w:t>-</w:t>
      </w:r>
      <w:r w:rsidRPr="00AB3942" w:rsidR="000D6A4A">
        <w:rPr>
          <w:lang w:val="nl-NL"/>
        </w:rPr>
        <w:t xml:space="preserve">kwaliteitverhouding en van innovatie maar vooral </w:t>
      </w:r>
      <w:r w:rsidRPr="00AB3942" w:rsidR="0000386B">
        <w:rPr>
          <w:lang w:val="nl-NL"/>
        </w:rPr>
        <w:t xml:space="preserve">worden </w:t>
      </w:r>
      <w:r w:rsidRPr="00AB3942" w:rsidR="000D6A4A">
        <w:rPr>
          <w:lang w:val="nl-NL"/>
        </w:rPr>
        <w:t>door het gesloten karakter van onderhandse procedures potentieel geschikte gegadigden bij voorbaat uitgesloten. Dit beeld laat zien  dat meer transparantie en concurrentie onder de drempels net zo belangrijk is als voor Europese opd</w:t>
      </w:r>
      <w:r w:rsidRPr="00AB3942" w:rsidR="00A022D5">
        <w:rPr>
          <w:lang w:val="nl-NL"/>
        </w:rPr>
        <w:t>rachten; zorg voor meer transparantie:</w:t>
      </w:r>
      <w:r w:rsidRPr="00AB3942" w:rsidR="00F158E8">
        <w:rPr>
          <w:lang w:val="nl-NL"/>
        </w:rPr>
        <w:t xml:space="preserve"> </w:t>
      </w:r>
      <w:r w:rsidRPr="00AB3942" w:rsidR="00A022D5">
        <w:rPr>
          <w:lang w:val="nl-NL"/>
        </w:rPr>
        <w:t>procedures worden lang niet altijd publiekelijk aangekondigd of geregistreerd. Er is daardoor minder inzicht in wat wordt aanbesteed, wie de aanbestedingen wint, hoeveel hieraan wordt besteed en of aanbestedingsregels worden nageleefd.</w:t>
      </w:r>
      <w:r w:rsidRPr="00AB3942" w:rsidR="00AE1B65">
        <w:rPr>
          <w:lang w:val="nl-NL"/>
        </w:rPr>
        <w:t xml:space="preserve"> Verbeter de rechtsbescherming door de Afdelingen 2.3.8.8., 2.3.8.9 en </w:t>
      </w:r>
      <w:proofErr w:type="spellStart"/>
      <w:r w:rsidRPr="00AB3942" w:rsidR="00AE1B65">
        <w:rPr>
          <w:lang w:val="nl-NL"/>
        </w:rPr>
        <w:t>Hfst</w:t>
      </w:r>
      <w:proofErr w:type="spellEnd"/>
      <w:r w:rsidRPr="00AB3942" w:rsidR="00AE1B65">
        <w:rPr>
          <w:lang w:val="nl-NL"/>
        </w:rPr>
        <w:t xml:space="preserve">. 4.3 van toepassing te verklaren op opdrachten waarop slechts deel 1 </w:t>
      </w:r>
      <w:proofErr w:type="spellStart"/>
      <w:r w:rsidRPr="00AB3942" w:rsidR="00AE1B65">
        <w:rPr>
          <w:lang w:val="nl-NL"/>
        </w:rPr>
        <w:t>Aw</w:t>
      </w:r>
      <w:proofErr w:type="spellEnd"/>
      <w:r w:rsidRPr="00AB3942" w:rsidR="00AE1B65">
        <w:rPr>
          <w:lang w:val="nl-NL"/>
        </w:rPr>
        <w:t xml:space="preserve"> van toepassing is.</w:t>
      </w:r>
    </w:p>
    <w:p w:rsidRPr="00AB3942" w:rsidR="00A022D5" w:rsidP="00A022D5" w:rsidRDefault="00A022D5">
      <w:pPr>
        <w:spacing w:after="0" w:line="276" w:lineRule="auto"/>
        <w:rPr>
          <w:lang w:val="nl-NL"/>
        </w:rPr>
      </w:pPr>
    </w:p>
    <w:p w:rsidRPr="00AB3942" w:rsidR="003D43CF" w:rsidP="00490E73" w:rsidRDefault="00A022D5">
      <w:pPr>
        <w:spacing w:after="0" w:line="276" w:lineRule="auto"/>
        <w:rPr>
          <w:lang w:val="nl-NL"/>
        </w:rPr>
      </w:pPr>
      <w:r w:rsidRPr="00AB3942">
        <w:rPr>
          <w:b/>
          <w:bCs/>
          <w:lang w:val="nl-NL"/>
        </w:rPr>
        <w:t>5</w:t>
      </w:r>
      <w:r w:rsidRPr="00AB3942" w:rsidR="00490E73">
        <w:rPr>
          <w:b/>
          <w:bCs/>
          <w:vertAlign w:val="superscript"/>
          <w:lang w:val="nl-NL"/>
        </w:rPr>
        <w:t>e</w:t>
      </w:r>
      <w:r w:rsidRPr="00AB3942" w:rsidR="00490E73">
        <w:rPr>
          <w:b/>
          <w:bCs/>
          <w:lang w:val="nl-NL"/>
        </w:rPr>
        <w:t xml:space="preserve"> Aanbeveling:</w:t>
      </w:r>
      <w:r w:rsidRPr="00AB3942">
        <w:rPr>
          <w:b/>
          <w:bCs/>
          <w:lang w:val="nl-NL"/>
        </w:rPr>
        <w:t xml:space="preserve"> </w:t>
      </w:r>
      <w:r w:rsidRPr="00AB3942" w:rsidR="00490E73">
        <w:rPr>
          <w:b/>
          <w:bCs/>
          <w:lang w:val="nl-NL"/>
        </w:rPr>
        <w:t>Voer eenvoudige, doch heldere en uniforme aanbestedingsprocedures voor</w:t>
      </w:r>
      <w:r w:rsidRPr="00AB3942" w:rsidR="00490E73">
        <w:rPr>
          <w:lang w:val="nl-NL"/>
        </w:rPr>
        <w:t xml:space="preserve"> o</w:t>
      </w:r>
      <w:r w:rsidRPr="00AB3942">
        <w:rPr>
          <w:b/>
          <w:bCs/>
          <w:lang w:val="nl-NL"/>
        </w:rPr>
        <w:t>pdrachten</w:t>
      </w:r>
      <w:r w:rsidRPr="00AB3942" w:rsidR="0045649C">
        <w:rPr>
          <w:b/>
          <w:bCs/>
          <w:lang w:val="nl-NL"/>
        </w:rPr>
        <w:t xml:space="preserve"> voor sociale en andere specifieke diensten</w:t>
      </w:r>
      <w:r w:rsidRPr="00AB3942" w:rsidR="00490E73">
        <w:rPr>
          <w:b/>
          <w:bCs/>
          <w:lang w:val="nl-NL"/>
        </w:rPr>
        <w:t xml:space="preserve"> in, met inachtneming van de aanbestedingsbeginselen.</w:t>
      </w:r>
      <w:r w:rsidRPr="00AB3942">
        <w:rPr>
          <w:b/>
          <w:bCs/>
          <w:lang w:val="nl-NL"/>
        </w:rPr>
        <w:t xml:space="preserve"> </w:t>
      </w:r>
      <w:r w:rsidRPr="00AB3942" w:rsidR="002C6F59">
        <w:rPr>
          <w:lang w:val="nl-NL"/>
        </w:rPr>
        <w:t>D</w:t>
      </w:r>
      <w:r w:rsidRPr="00AB3942">
        <w:rPr>
          <w:lang w:val="nl-NL"/>
        </w:rPr>
        <w:t xml:space="preserve">e wetgever heeft voorgesteld om </w:t>
      </w:r>
      <w:r w:rsidRPr="00AB3942" w:rsidR="0000386B">
        <w:rPr>
          <w:lang w:val="nl-NL"/>
        </w:rPr>
        <w:t xml:space="preserve">voor deze diensten </w:t>
      </w:r>
      <w:r w:rsidRPr="00AB3942" w:rsidR="00AE1B65">
        <w:rPr>
          <w:lang w:val="nl-NL"/>
        </w:rPr>
        <w:t xml:space="preserve">uitsluitend regels voor de </w:t>
      </w:r>
      <w:r w:rsidRPr="00AB3942">
        <w:rPr>
          <w:lang w:val="nl-NL"/>
        </w:rPr>
        <w:t xml:space="preserve">aankondiging vooraf en achteraf (van de gunning) in te voeren. </w:t>
      </w:r>
      <w:r w:rsidRPr="00AB3942" w:rsidR="00427108">
        <w:rPr>
          <w:lang w:val="nl-NL"/>
        </w:rPr>
        <w:t>Ook hier geldt d</w:t>
      </w:r>
      <w:r w:rsidRPr="00AB3942" w:rsidR="003D43CF">
        <w:rPr>
          <w:lang w:val="nl-NL"/>
        </w:rPr>
        <w:t>a</w:t>
      </w:r>
      <w:r w:rsidRPr="00AB3942" w:rsidR="00427108">
        <w:rPr>
          <w:lang w:val="nl-NL"/>
        </w:rPr>
        <w:t>t er minder inzicht zal zijn in wat wordt aanbesteed, wie de aanbestedingen wint, hoeveel hieraan wordt besteed en of de uitgangspunten van proportionaliteit, non discriminatie en gelijke behandeling worden nageleefd. Ook hier zal het ten koste gaan van de prijs</w:t>
      </w:r>
      <w:r w:rsidRPr="00AB3942" w:rsidR="0000386B">
        <w:rPr>
          <w:lang w:val="nl-NL"/>
        </w:rPr>
        <w:t>-</w:t>
      </w:r>
      <w:r w:rsidRPr="00AB3942" w:rsidR="00427108">
        <w:rPr>
          <w:lang w:val="nl-NL"/>
        </w:rPr>
        <w:t>kwaliteitsverhouding van de geleverde diensten.</w:t>
      </w:r>
      <w:r w:rsidRPr="00AB3942" w:rsidR="00490E73">
        <w:rPr>
          <w:lang w:val="nl-NL"/>
        </w:rPr>
        <w:t xml:space="preserve"> </w:t>
      </w:r>
    </w:p>
    <w:p w:rsidRPr="00AB3942" w:rsidR="003D43CF" w:rsidP="003D43CF" w:rsidRDefault="003D43CF">
      <w:pPr>
        <w:spacing w:after="0" w:line="276" w:lineRule="auto"/>
        <w:rPr>
          <w:lang w:val="nl-NL"/>
        </w:rPr>
      </w:pPr>
    </w:p>
    <w:p w:rsidRPr="00AB3942" w:rsidR="003D43CF" w:rsidP="00442EA0" w:rsidRDefault="00490E73">
      <w:pPr>
        <w:spacing w:after="0" w:line="276" w:lineRule="auto"/>
        <w:rPr>
          <w:bCs/>
          <w:lang w:val="nl-NL"/>
        </w:rPr>
      </w:pPr>
      <w:r w:rsidRPr="00AB3942">
        <w:rPr>
          <w:b/>
          <w:lang w:val="nl-NL"/>
        </w:rPr>
        <w:t>6</w:t>
      </w:r>
      <w:r w:rsidRPr="00AB3942">
        <w:rPr>
          <w:b/>
          <w:vertAlign w:val="superscript"/>
          <w:lang w:val="nl-NL"/>
        </w:rPr>
        <w:t>e</w:t>
      </w:r>
      <w:r w:rsidRPr="00AB3942">
        <w:rPr>
          <w:b/>
          <w:lang w:val="nl-NL"/>
        </w:rPr>
        <w:t xml:space="preserve"> Aanbeveling: Neem in de wet de eis op dat de gunningsmethodiek objectief dient te zijn en verbiedt bijvoorbeeld relatieve gunningsmethoden. </w:t>
      </w:r>
      <w:r w:rsidRPr="00AB3942" w:rsidR="003D43CF">
        <w:rPr>
          <w:bCs/>
          <w:lang w:val="nl-NL"/>
        </w:rPr>
        <w:t xml:space="preserve">Cruciaal tijdens een aanbestedingsprocedure is het moment waarop de aanbesteder de inschrijvingen beoordeelt. </w:t>
      </w:r>
      <w:r w:rsidRPr="00AB3942" w:rsidR="00B45D17">
        <w:rPr>
          <w:bCs/>
          <w:lang w:val="nl-NL"/>
        </w:rPr>
        <w:t>De wetswijziging introduceert drie nieuwe gunning</w:t>
      </w:r>
      <w:r w:rsidRPr="00AB3942" w:rsidR="0000386B">
        <w:rPr>
          <w:bCs/>
          <w:lang w:val="nl-NL"/>
        </w:rPr>
        <w:t>s</w:t>
      </w:r>
      <w:r w:rsidRPr="00AB3942" w:rsidR="00B45D17">
        <w:rPr>
          <w:bCs/>
          <w:lang w:val="nl-NL"/>
        </w:rPr>
        <w:t xml:space="preserve">criteria die allerlei vragen oproepen over hun toepassing. Er is ook </w:t>
      </w:r>
      <w:r w:rsidRPr="00AB3942" w:rsidR="003D43CF">
        <w:rPr>
          <w:bCs/>
          <w:lang w:val="nl-NL"/>
        </w:rPr>
        <w:t xml:space="preserve">nauwelijks </w:t>
      </w:r>
      <w:r w:rsidRPr="00AB3942" w:rsidR="00B45D17">
        <w:rPr>
          <w:bCs/>
          <w:lang w:val="nl-NL"/>
        </w:rPr>
        <w:t>tot n</w:t>
      </w:r>
      <w:r w:rsidRPr="00AB3942" w:rsidR="003D43CF">
        <w:rPr>
          <w:bCs/>
          <w:lang w:val="nl-NL"/>
        </w:rPr>
        <w:t xml:space="preserve">iets gereguleerd over de methode(n) die de aanbesteder hanteert om te bepalen of de ene inschrijving beter is dan een andere. Uit onderzoek </w:t>
      </w:r>
      <w:r w:rsidRPr="00AB3942" w:rsidR="00B45D17">
        <w:rPr>
          <w:bCs/>
          <w:lang w:val="nl-NL"/>
        </w:rPr>
        <w:t xml:space="preserve">van het Public </w:t>
      </w:r>
      <w:proofErr w:type="spellStart"/>
      <w:r w:rsidRPr="00AB3942" w:rsidR="00B45D17">
        <w:rPr>
          <w:bCs/>
          <w:lang w:val="nl-NL"/>
        </w:rPr>
        <w:t>P</w:t>
      </w:r>
      <w:r w:rsidRPr="00AB3942" w:rsidR="003D43CF">
        <w:rPr>
          <w:bCs/>
          <w:lang w:val="nl-NL"/>
        </w:rPr>
        <w:t>rocurement</w:t>
      </w:r>
      <w:proofErr w:type="spellEnd"/>
      <w:r w:rsidRPr="00AB3942" w:rsidR="003D43CF">
        <w:rPr>
          <w:bCs/>
          <w:lang w:val="nl-NL"/>
        </w:rPr>
        <w:t xml:space="preserve"> </w:t>
      </w:r>
      <w:proofErr w:type="spellStart"/>
      <w:r w:rsidRPr="00AB3942" w:rsidR="003D43CF">
        <w:rPr>
          <w:bCs/>
          <w:lang w:val="nl-NL"/>
        </w:rPr>
        <w:t>Re</w:t>
      </w:r>
      <w:r w:rsidRPr="00AB3942" w:rsidR="00B45D17">
        <w:rPr>
          <w:bCs/>
          <w:lang w:val="nl-NL"/>
        </w:rPr>
        <w:t>ser</w:t>
      </w:r>
      <w:r w:rsidRPr="00AB3942" w:rsidR="003D43CF">
        <w:rPr>
          <w:bCs/>
          <w:lang w:val="nl-NL"/>
        </w:rPr>
        <w:t>ch</w:t>
      </w:r>
      <w:proofErr w:type="spellEnd"/>
      <w:r w:rsidRPr="00AB3942" w:rsidR="003D43CF">
        <w:rPr>
          <w:bCs/>
          <w:lang w:val="nl-NL"/>
        </w:rPr>
        <w:t xml:space="preserve"> Centre </w:t>
      </w:r>
      <w:r w:rsidRPr="00AB3942" w:rsidR="00B45D17">
        <w:rPr>
          <w:bCs/>
          <w:lang w:val="nl-NL"/>
        </w:rPr>
        <w:t xml:space="preserve">(UU en </w:t>
      </w:r>
      <w:proofErr w:type="spellStart"/>
      <w:r w:rsidRPr="00AB3942" w:rsidR="00B45D17">
        <w:rPr>
          <w:bCs/>
          <w:lang w:val="nl-NL"/>
        </w:rPr>
        <w:t>Utwente</w:t>
      </w:r>
      <w:proofErr w:type="spellEnd"/>
      <w:r w:rsidRPr="00AB3942" w:rsidR="00B45D17">
        <w:rPr>
          <w:bCs/>
          <w:lang w:val="nl-NL"/>
        </w:rPr>
        <w:t>)</w:t>
      </w:r>
      <w:r w:rsidRPr="00AB3942" w:rsidR="002C6F59">
        <w:rPr>
          <w:rStyle w:val="Eindnootmarkering"/>
          <w:bCs/>
          <w:lang w:val="nl-NL"/>
        </w:rPr>
        <w:endnoteReference w:id="2"/>
      </w:r>
      <w:r w:rsidRPr="00AB3942" w:rsidR="00B45D17">
        <w:rPr>
          <w:bCs/>
          <w:lang w:val="nl-NL"/>
        </w:rPr>
        <w:t xml:space="preserve"> blijkt dat bij</w:t>
      </w:r>
      <w:r w:rsidRPr="00AB3942" w:rsidR="003D43CF">
        <w:rPr>
          <w:bCs/>
          <w:lang w:val="nl-NL"/>
        </w:rPr>
        <w:t xml:space="preserve"> </w:t>
      </w:r>
      <w:r w:rsidRPr="00AB3942" w:rsidR="00B45D17">
        <w:rPr>
          <w:bCs/>
          <w:lang w:val="nl-NL"/>
        </w:rPr>
        <w:t xml:space="preserve">EMVI (in het wetsvoorstel </w:t>
      </w:r>
      <w:proofErr w:type="spellStart"/>
      <w:r w:rsidRPr="00AB3942" w:rsidR="00B45D17">
        <w:rPr>
          <w:bCs/>
          <w:lang w:val="nl-NL"/>
        </w:rPr>
        <w:t>BestePrijsKwaliteitsVerhouding</w:t>
      </w:r>
      <w:proofErr w:type="spellEnd"/>
      <w:r w:rsidRPr="00AB3942" w:rsidR="00B45D17">
        <w:rPr>
          <w:bCs/>
          <w:lang w:val="nl-NL"/>
        </w:rPr>
        <w:t xml:space="preserve">) afhankelijk van de gekozen </w:t>
      </w:r>
      <w:proofErr w:type="spellStart"/>
      <w:r w:rsidRPr="00AB3942" w:rsidR="00B45D17">
        <w:rPr>
          <w:bCs/>
          <w:lang w:val="nl-NL"/>
        </w:rPr>
        <w:t>gu</w:t>
      </w:r>
      <w:r w:rsidRPr="00AB3942" w:rsidR="003D43CF">
        <w:rPr>
          <w:bCs/>
          <w:lang w:val="nl-NL"/>
        </w:rPr>
        <w:t>ningsmethodieken</w:t>
      </w:r>
      <w:proofErr w:type="spellEnd"/>
      <w:r w:rsidRPr="00AB3942" w:rsidR="00B45D17">
        <w:rPr>
          <w:bCs/>
          <w:lang w:val="nl-NL"/>
        </w:rPr>
        <w:t xml:space="preserve">  de</w:t>
      </w:r>
      <w:r w:rsidRPr="00AB3942" w:rsidR="003D43CF">
        <w:rPr>
          <w:bCs/>
          <w:lang w:val="nl-NL"/>
        </w:rPr>
        <w:t xml:space="preserve"> prijs </w:t>
      </w:r>
      <w:r w:rsidRPr="00AB3942" w:rsidR="003D43CF">
        <w:rPr>
          <w:bCs/>
          <w:i/>
          <w:iCs/>
          <w:lang w:val="nl-NL"/>
        </w:rPr>
        <w:t>de facto</w:t>
      </w:r>
      <w:r w:rsidRPr="00AB3942" w:rsidR="003D43CF">
        <w:rPr>
          <w:bCs/>
          <w:lang w:val="nl-NL"/>
        </w:rPr>
        <w:t xml:space="preserve"> een grotere rol bij de beoordeling van de offertes krijgt dan </w:t>
      </w:r>
      <w:r w:rsidRPr="00AB3942" w:rsidR="00B45D17">
        <w:rPr>
          <w:bCs/>
          <w:lang w:val="nl-NL"/>
        </w:rPr>
        <w:t xml:space="preserve">de kwaliteit, anders dan in de aanbestedingsstukken </w:t>
      </w:r>
      <w:r w:rsidRPr="00AB3942" w:rsidR="00B45D17">
        <w:rPr>
          <w:lang w:val="nl-NL"/>
        </w:rPr>
        <w:t>vermeld</w:t>
      </w:r>
      <w:r w:rsidRPr="00AB3942" w:rsidR="00B45D17">
        <w:rPr>
          <w:bCs/>
          <w:lang w:val="nl-NL"/>
        </w:rPr>
        <w:t xml:space="preserve">. Soms gebeurt dit zonder dat de aanbesteder </w:t>
      </w:r>
      <w:r w:rsidRPr="00AB3942" w:rsidR="0000386B">
        <w:rPr>
          <w:bCs/>
          <w:lang w:val="nl-NL"/>
        </w:rPr>
        <w:t xml:space="preserve">zich </w:t>
      </w:r>
      <w:r w:rsidRPr="00AB3942" w:rsidR="00B45D17">
        <w:rPr>
          <w:bCs/>
          <w:lang w:val="nl-NL"/>
        </w:rPr>
        <w:t>er bewust van is</w:t>
      </w:r>
      <w:r w:rsidRPr="00AB3942" w:rsidR="003D43CF">
        <w:rPr>
          <w:bCs/>
          <w:lang w:val="nl-NL"/>
        </w:rPr>
        <w:t>.</w:t>
      </w:r>
      <w:r w:rsidRPr="00AB3942" w:rsidR="00442EA0">
        <w:rPr>
          <w:bCs/>
          <w:lang w:val="nl-NL"/>
        </w:rPr>
        <w:t xml:space="preserve"> </w:t>
      </w:r>
      <w:r w:rsidRPr="00AB3942" w:rsidR="009B3525">
        <w:rPr>
          <w:bCs/>
          <w:lang w:val="nl-NL"/>
        </w:rPr>
        <w:t xml:space="preserve">Er wordt voorbijgegaan aan wat in </w:t>
      </w:r>
      <w:r w:rsidRPr="00AB3942" w:rsidR="00B45D17">
        <w:rPr>
          <w:bCs/>
          <w:lang w:val="nl-NL"/>
        </w:rPr>
        <w:t xml:space="preserve">de economische en </w:t>
      </w:r>
      <w:proofErr w:type="spellStart"/>
      <w:r w:rsidRPr="00AB3942" w:rsidR="00B45D17">
        <w:rPr>
          <w:bCs/>
          <w:lang w:val="nl-NL"/>
        </w:rPr>
        <w:t>inkoop-technische</w:t>
      </w:r>
      <w:proofErr w:type="spellEnd"/>
      <w:r w:rsidRPr="00AB3942" w:rsidR="00B45D17">
        <w:rPr>
          <w:bCs/>
          <w:lang w:val="nl-NL"/>
        </w:rPr>
        <w:t xml:space="preserve"> wetenschappen bekend is </w:t>
      </w:r>
      <w:r w:rsidRPr="00AB3942" w:rsidR="009B3525">
        <w:rPr>
          <w:bCs/>
          <w:lang w:val="nl-NL"/>
        </w:rPr>
        <w:t xml:space="preserve">over </w:t>
      </w:r>
      <w:r w:rsidRPr="00AB3942" w:rsidR="00B45D17">
        <w:rPr>
          <w:bCs/>
          <w:lang w:val="nl-NL"/>
        </w:rPr>
        <w:t xml:space="preserve">welke methoden objectief zijn en welke tot willekeurige en zelfs tot absurde resultaten leiden.  </w:t>
      </w:r>
    </w:p>
    <w:p w:rsidRPr="00AB3942" w:rsidR="00490E73" w:rsidP="00490E73" w:rsidRDefault="00490E73">
      <w:pPr>
        <w:spacing w:after="0" w:line="276" w:lineRule="auto"/>
        <w:rPr>
          <w:bCs/>
          <w:lang w:val="nl-NL"/>
        </w:rPr>
      </w:pPr>
    </w:p>
    <w:p w:rsidRPr="00AB3942" w:rsidR="00442EA0" w:rsidP="00837D6D" w:rsidRDefault="00330FDE">
      <w:pPr>
        <w:spacing w:after="0" w:line="276" w:lineRule="auto"/>
        <w:rPr>
          <w:lang w:val="nl-NL"/>
        </w:rPr>
      </w:pPr>
      <w:r w:rsidRPr="00AB3942">
        <w:rPr>
          <w:b/>
          <w:lang w:val="nl-NL"/>
        </w:rPr>
        <w:lastRenderedPageBreak/>
        <w:t>7</w:t>
      </w:r>
      <w:r w:rsidRPr="00AB3942" w:rsidR="00490E73">
        <w:rPr>
          <w:b/>
          <w:vertAlign w:val="superscript"/>
          <w:lang w:val="nl-NL"/>
        </w:rPr>
        <w:t>e</w:t>
      </w:r>
      <w:r w:rsidRPr="00AB3942" w:rsidR="00490E73">
        <w:rPr>
          <w:b/>
          <w:lang w:val="nl-NL"/>
        </w:rPr>
        <w:t xml:space="preserve"> Aanbeveling: Be</w:t>
      </w:r>
      <w:r w:rsidRPr="00AB3942" w:rsidR="00265A92">
        <w:rPr>
          <w:b/>
          <w:lang w:val="nl-NL"/>
        </w:rPr>
        <w:t>perk de toepassing van de nieuwe uitsluitingsgrond o.g.v. past performance</w:t>
      </w:r>
      <w:r w:rsidRPr="00AB3942" w:rsidR="00490E73">
        <w:rPr>
          <w:b/>
          <w:lang w:val="nl-NL"/>
        </w:rPr>
        <w:t xml:space="preserve"> tot de gevallen waarin sprake is van </w:t>
      </w:r>
      <w:r w:rsidRPr="00AB3942" w:rsidR="00016724">
        <w:rPr>
          <w:b/>
          <w:lang w:val="nl-NL"/>
        </w:rPr>
        <w:t>ernstige</w:t>
      </w:r>
      <w:r w:rsidRPr="00AB3942" w:rsidR="00490E73">
        <w:rPr>
          <w:b/>
          <w:lang w:val="nl-NL"/>
        </w:rPr>
        <w:t xml:space="preserve"> wanprestatie</w:t>
      </w:r>
      <w:r w:rsidRPr="00AB3942" w:rsidR="00265A92">
        <w:rPr>
          <w:b/>
          <w:lang w:val="nl-NL"/>
        </w:rPr>
        <w:t>.</w:t>
      </w:r>
      <w:r w:rsidRPr="00AB3942" w:rsidR="00265A92">
        <w:rPr>
          <w:lang w:val="nl-NL"/>
        </w:rPr>
        <w:t xml:space="preserve"> </w:t>
      </w:r>
      <w:r w:rsidRPr="00AB3942" w:rsidR="00837D6D">
        <w:rPr>
          <w:lang w:val="nl-NL"/>
        </w:rPr>
        <w:t>I</w:t>
      </w:r>
      <w:r w:rsidRPr="00AB3942" w:rsidR="00346E09">
        <w:rPr>
          <w:lang w:val="nl-NL"/>
        </w:rPr>
        <w:t>n de MvT verdedigt de wetgever de stelling dat</w:t>
      </w:r>
      <w:r w:rsidRPr="00AB3942" w:rsidR="00837D6D">
        <w:rPr>
          <w:lang w:val="nl-NL"/>
        </w:rPr>
        <w:t xml:space="preserve"> zelfs beperking tot wanprestatie niet mogelijk zou zijn omdat</w:t>
      </w:r>
      <w:r w:rsidRPr="00AB3942" w:rsidR="00346E09">
        <w:rPr>
          <w:lang w:val="nl-NL"/>
        </w:rPr>
        <w:t xml:space="preserve"> “</w:t>
      </w:r>
      <w:r w:rsidRPr="00AB3942" w:rsidR="00837D6D">
        <w:rPr>
          <w:lang w:val="nl-NL"/>
        </w:rPr>
        <w:t>d</w:t>
      </w:r>
      <w:r w:rsidRPr="00AB3942" w:rsidR="00346E09">
        <w:rPr>
          <w:lang w:val="nl-NL"/>
        </w:rPr>
        <w:t xml:space="preserve">e aanbestedingsrichtlijnen en de concessierichtlijn </w:t>
      </w:r>
      <w:r w:rsidRPr="00AB3942" w:rsidR="00837D6D">
        <w:rPr>
          <w:lang w:val="nl-NL"/>
        </w:rPr>
        <w:t>e</w:t>
      </w:r>
      <w:r w:rsidRPr="00AB3942" w:rsidR="00346E09">
        <w:rPr>
          <w:lang w:val="nl-NL"/>
        </w:rPr>
        <w:t xml:space="preserve">chter grenzen </w:t>
      </w:r>
      <w:r w:rsidRPr="00AB3942" w:rsidR="00837D6D">
        <w:rPr>
          <w:lang w:val="nl-NL"/>
        </w:rPr>
        <w:t xml:space="preserve">stellen </w:t>
      </w:r>
      <w:r w:rsidRPr="00AB3942" w:rsidR="00346E09">
        <w:rPr>
          <w:lang w:val="nl-NL"/>
        </w:rPr>
        <w:t>aan de mogelijkheden tot verdere beperking van de toepassing van deze uitsluitingsgrond.”</w:t>
      </w:r>
      <w:r w:rsidRPr="00AB3942" w:rsidR="00442EA0">
        <w:rPr>
          <w:lang w:val="nl-NL"/>
        </w:rPr>
        <w:t xml:space="preserve"> Deze stelling is niet correct.</w:t>
      </w:r>
      <w:r w:rsidRPr="00AB3942" w:rsidR="00346E09">
        <w:rPr>
          <w:lang w:val="nl-NL"/>
        </w:rPr>
        <w:t xml:space="preserve"> </w:t>
      </w:r>
      <w:r w:rsidRPr="00AB3942" w:rsidR="00837D6D">
        <w:rPr>
          <w:lang w:val="nl-NL"/>
        </w:rPr>
        <w:t>De nieuwe richtlijn 2014/24/EU spreekt echter van tekortkomingen en naar Nederlands recht is een toerekenbare tekortkoming hetzelfde als wanprestatie. De considerans (</w:t>
      </w:r>
      <w:proofErr w:type="spellStart"/>
      <w:r w:rsidRPr="00AB3942" w:rsidR="00837D6D">
        <w:rPr>
          <w:lang w:val="nl-NL"/>
        </w:rPr>
        <w:t>ov</w:t>
      </w:r>
      <w:proofErr w:type="spellEnd"/>
      <w:r w:rsidRPr="00AB3942" w:rsidR="00837D6D">
        <w:rPr>
          <w:lang w:val="nl-NL"/>
        </w:rPr>
        <w:t>. 100) licht toe</w:t>
      </w:r>
      <w:r w:rsidRPr="00AB3942" w:rsidR="00442EA0">
        <w:rPr>
          <w:lang w:val="nl-NL"/>
        </w:rPr>
        <w:t xml:space="preserve"> </w:t>
      </w:r>
      <w:r w:rsidRPr="00AB3942" w:rsidR="00837D6D">
        <w:rPr>
          <w:lang w:val="nl-NL"/>
        </w:rPr>
        <w:t>vervolgens uitdrukkelijk dat met tekortkoming bedoeld wordt</w:t>
      </w:r>
      <w:r w:rsidRPr="00AB3942" w:rsidR="00442EA0">
        <w:rPr>
          <w:lang w:val="nl-NL"/>
        </w:rPr>
        <w:t xml:space="preserve">: </w:t>
      </w:r>
      <w:r w:rsidRPr="00AB3942" w:rsidR="00700292">
        <w:rPr>
          <w:lang w:val="nl-NL"/>
        </w:rPr>
        <w:t>“</w:t>
      </w:r>
      <w:bookmarkStart w:name="_GoBack" w:id="0"/>
      <w:bookmarkEnd w:id="0"/>
      <w:r w:rsidRPr="00AB3942" w:rsidR="00442EA0">
        <w:rPr>
          <w:lang w:val="nl-NL"/>
        </w:rPr>
        <w:t>grove wanprestatie, bijvoorbeeld niet levering of niet uitvoering, of uitvoering met grote gebreken die het product of dienst onbruikbaar maken (..)”.  Gezien de grote onduidelijkheid die op dit punt heerst dient de wetgever ieder mogelijk twijfel weg te brengen.</w:t>
      </w:r>
    </w:p>
    <w:p w:rsidRPr="00AB3942" w:rsidR="00442EA0" w:rsidP="00442EA0" w:rsidRDefault="00442EA0">
      <w:pPr>
        <w:spacing w:after="0" w:line="276" w:lineRule="auto"/>
        <w:rPr>
          <w:lang w:val="nl-NL"/>
        </w:rPr>
      </w:pPr>
    </w:p>
    <w:p w:rsidRPr="00AB3942" w:rsidR="009504E7" w:rsidP="009504E7" w:rsidRDefault="00330FDE">
      <w:pPr>
        <w:spacing w:after="0" w:line="276" w:lineRule="auto"/>
        <w:rPr>
          <w:lang w:val="nl-NL"/>
        </w:rPr>
      </w:pPr>
      <w:r w:rsidRPr="00AB3942">
        <w:rPr>
          <w:b/>
          <w:bCs/>
          <w:lang w:val="nl-NL"/>
        </w:rPr>
        <w:t>8</w:t>
      </w:r>
      <w:r w:rsidRPr="00AB3942" w:rsidR="002C6F59">
        <w:rPr>
          <w:b/>
          <w:bCs/>
          <w:vertAlign w:val="superscript"/>
          <w:lang w:val="nl-NL"/>
        </w:rPr>
        <w:t>e</w:t>
      </w:r>
      <w:r w:rsidRPr="00AB3942" w:rsidR="00837D6D">
        <w:rPr>
          <w:b/>
          <w:bCs/>
          <w:lang w:val="nl-NL"/>
        </w:rPr>
        <w:t xml:space="preserve"> A</w:t>
      </w:r>
      <w:r w:rsidRPr="00AB3942" w:rsidR="002C6F59">
        <w:rPr>
          <w:b/>
          <w:bCs/>
          <w:lang w:val="nl-NL"/>
        </w:rPr>
        <w:t xml:space="preserve">anbeveling: de </w:t>
      </w:r>
      <w:r w:rsidRPr="00AB3942" w:rsidR="0045649C">
        <w:rPr>
          <w:b/>
          <w:bCs/>
          <w:lang w:val="nl-NL"/>
        </w:rPr>
        <w:t xml:space="preserve">Gids Proportionaliteit </w:t>
      </w:r>
      <w:r w:rsidRPr="00AB3942" w:rsidR="002C6F59">
        <w:rPr>
          <w:b/>
          <w:bCs/>
          <w:lang w:val="nl-NL"/>
        </w:rPr>
        <w:t>dient ook door speciale sectoren te worden toegepast.</w:t>
      </w:r>
      <w:r w:rsidRPr="00AB3942" w:rsidR="002C6F59">
        <w:rPr>
          <w:lang w:val="nl-NL"/>
        </w:rPr>
        <w:t xml:space="preserve"> </w:t>
      </w:r>
      <w:r w:rsidRPr="00AB3942" w:rsidR="009504E7">
        <w:rPr>
          <w:lang w:val="nl-NL"/>
        </w:rPr>
        <w:t xml:space="preserve">Naar aanleiding van een Motie </w:t>
      </w:r>
      <w:proofErr w:type="spellStart"/>
      <w:r w:rsidRPr="00AB3942" w:rsidR="009504E7">
        <w:rPr>
          <w:lang w:val="nl-NL"/>
        </w:rPr>
        <w:t>Ziengs-Schouten</w:t>
      </w:r>
      <w:proofErr w:type="spellEnd"/>
      <w:r w:rsidRPr="00AB3942" w:rsidR="009504E7">
        <w:rPr>
          <w:rStyle w:val="Eindnootmarkering"/>
          <w:lang w:val="nl-NL"/>
        </w:rPr>
        <w:endnoteReference w:id="3"/>
      </w:r>
      <w:r w:rsidRPr="00AB3942" w:rsidR="009504E7">
        <w:rPr>
          <w:lang w:val="nl-NL"/>
        </w:rPr>
        <w:t xml:space="preserve"> heeft de Minister toegezegd dat de Gids verplicht wordt voor speciale sectoren wanneer uit de evaluatie zou blijken dat die onvoldoende is toegepast: uit het onderzoek van </w:t>
      </w:r>
      <w:proofErr w:type="spellStart"/>
      <w:r w:rsidRPr="00AB3942" w:rsidR="009504E7">
        <w:rPr>
          <w:lang w:val="nl-NL"/>
        </w:rPr>
        <w:t>Kwink</w:t>
      </w:r>
      <w:proofErr w:type="spellEnd"/>
      <w:r w:rsidRPr="00AB3942" w:rsidR="009504E7">
        <w:rPr>
          <w:lang w:val="nl-NL"/>
        </w:rPr>
        <w:t xml:space="preserve"> blijkt dat slechts 44% van de </w:t>
      </w:r>
      <w:proofErr w:type="spellStart"/>
      <w:r w:rsidRPr="00AB3942" w:rsidR="009504E7">
        <w:rPr>
          <w:lang w:val="nl-NL"/>
        </w:rPr>
        <w:t>aanbesteders</w:t>
      </w:r>
      <w:proofErr w:type="spellEnd"/>
      <w:r w:rsidRPr="00AB3942" w:rsidR="009504E7">
        <w:rPr>
          <w:lang w:val="nl-NL"/>
        </w:rPr>
        <w:t xml:space="preserve"> in de sector de Gids toepast tegen ruim 82 tot 95% bij de overige </w:t>
      </w:r>
      <w:proofErr w:type="spellStart"/>
      <w:r w:rsidRPr="00AB3942" w:rsidR="009504E7">
        <w:rPr>
          <w:lang w:val="nl-NL"/>
        </w:rPr>
        <w:t>aanbesteders</w:t>
      </w:r>
      <w:proofErr w:type="spellEnd"/>
      <w:r w:rsidRPr="00AB3942" w:rsidR="009504E7">
        <w:rPr>
          <w:lang w:val="nl-NL"/>
        </w:rPr>
        <w:t xml:space="preserve">, en </w:t>
      </w:r>
      <w:proofErr w:type="spellStart"/>
      <w:r w:rsidRPr="00AB3942" w:rsidR="009504E7">
        <w:rPr>
          <w:lang w:val="nl-NL"/>
        </w:rPr>
        <w:t>ProRail</w:t>
      </w:r>
      <w:proofErr w:type="spellEnd"/>
      <w:r w:rsidRPr="00AB3942" w:rsidR="009504E7">
        <w:rPr>
          <w:lang w:val="nl-NL"/>
        </w:rPr>
        <w:t xml:space="preserve"> distantieert zich zelfs publiekelijk van de Gids. De conclusie van de Minister in de aanbiedingsbrief dat er geen reden is voor een verplichting is in strijd met de gedane toezegging. </w:t>
      </w:r>
    </w:p>
    <w:p w:rsidRPr="00AB3942" w:rsidR="009504E7" w:rsidP="009504E7" w:rsidRDefault="009504E7">
      <w:pPr>
        <w:spacing w:after="0" w:line="276" w:lineRule="auto"/>
        <w:rPr>
          <w:lang w:val="nl-NL"/>
        </w:rPr>
      </w:pPr>
    </w:p>
    <w:p w:rsidRPr="00AB3942" w:rsidR="00F158E8" w:rsidP="00837D6D" w:rsidRDefault="00F66BAE">
      <w:pPr>
        <w:spacing w:after="0" w:line="276" w:lineRule="auto"/>
        <w:rPr>
          <w:b/>
          <w:bCs/>
          <w:lang w:val="nl-NL"/>
        </w:rPr>
      </w:pPr>
      <w:r w:rsidRPr="00AB3942">
        <w:rPr>
          <w:b/>
          <w:bCs/>
          <w:color w:val="000000"/>
          <w:lang w:val="nl-NL"/>
        </w:rPr>
        <w:t>9</w:t>
      </w:r>
      <w:r w:rsidRPr="00AB3942">
        <w:rPr>
          <w:b/>
          <w:bCs/>
          <w:color w:val="000000"/>
          <w:vertAlign w:val="superscript"/>
          <w:lang w:val="nl-NL"/>
        </w:rPr>
        <w:t>e</w:t>
      </w:r>
      <w:r w:rsidRPr="00AB3942">
        <w:rPr>
          <w:b/>
          <w:bCs/>
          <w:color w:val="000000"/>
          <w:lang w:val="nl-NL"/>
        </w:rPr>
        <w:t xml:space="preserve"> Aanbeveling:</w:t>
      </w:r>
      <w:r w:rsidRPr="00AB3942" w:rsidR="00330FDE">
        <w:rPr>
          <w:b/>
          <w:bCs/>
          <w:lang w:val="nl-NL"/>
        </w:rPr>
        <w:t xml:space="preserve"> </w:t>
      </w:r>
      <w:r w:rsidRPr="00AB3942">
        <w:rPr>
          <w:b/>
          <w:bCs/>
          <w:color w:val="000000"/>
          <w:lang w:val="nl-NL"/>
        </w:rPr>
        <w:t>Voer in of wijs aan een overkoepelende landelijke onafhankelijke toezichthouder met eigen onderzoeksmogelijkheden en bevoegdheden naar voorbeeld van de ACM.</w:t>
      </w:r>
      <w:r w:rsidRPr="00AB3942">
        <w:rPr>
          <w:b/>
          <w:bCs/>
          <w:lang w:val="nl-NL"/>
        </w:rPr>
        <w:t xml:space="preserve"> </w:t>
      </w:r>
      <w:r w:rsidRPr="00AB3942" w:rsidR="00CF6F05">
        <w:rPr>
          <w:lang w:val="nl-NL"/>
        </w:rPr>
        <w:t>De wetgever heeft besloten om art. 83 lid 1 richtlijn 2014/24/EU</w:t>
      </w:r>
      <w:r w:rsidRPr="00AB3942" w:rsidR="009B3525">
        <w:rPr>
          <w:lang w:val="nl-NL"/>
        </w:rPr>
        <w:t xml:space="preserve">, dat </w:t>
      </w:r>
      <w:r w:rsidRPr="00AB3942" w:rsidR="00CF6F05">
        <w:rPr>
          <w:lang w:val="nl-NL"/>
        </w:rPr>
        <w:t>over toezichthoudende autoriteiten spreekt</w:t>
      </w:r>
      <w:r w:rsidRPr="00AB3942" w:rsidR="009B3525">
        <w:rPr>
          <w:lang w:val="nl-NL"/>
        </w:rPr>
        <w:t>,</w:t>
      </w:r>
      <w:r w:rsidRPr="00AB3942" w:rsidR="00CF6F05">
        <w:rPr>
          <w:lang w:val="nl-NL"/>
        </w:rPr>
        <w:t xml:space="preserve"> niet te implementeren.</w:t>
      </w:r>
      <w:r w:rsidRPr="00AB3942" w:rsidR="00F158E8">
        <w:rPr>
          <w:lang w:val="nl-NL"/>
        </w:rPr>
        <w:t xml:space="preserve"> Volgens de wetgever is dit </w:t>
      </w:r>
      <w:r w:rsidRPr="00AB3942">
        <w:rPr>
          <w:lang w:val="nl-NL"/>
        </w:rPr>
        <w:t xml:space="preserve">niet </w:t>
      </w:r>
      <w:r w:rsidRPr="00AB3942" w:rsidR="00F158E8">
        <w:rPr>
          <w:lang w:val="nl-NL"/>
        </w:rPr>
        <w:t>nodig omdat rechtsbescherming reeds effectief is</w:t>
      </w:r>
      <w:r w:rsidRPr="00AB3942" w:rsidR="00FC353C">
        <w:rPr>
          <w:lang w:val="nl-NL"/>
        </w:rPr>
        <w:t xml:space="preserve">. </w:t>
      </w:r>
      <w:r w:rsidRPr="00AB3942" w:rsidR="00F158E8">
        <w:rPr>
          <w:color w:val="000000"/>
          <w:lang w:val="nl-NL"/>
        </w:rPr>
        <w:t>Echter</w:t>
      </w:r>
      <w:r w:rsidRPr="00AB3942">
        <w:rPr>
          <w:color w:val="000000"/>
          <w:lang w:val="nl-NL"/>
        </w:rPr>
        <w:t xml:space="preserve">: </w:t>
      </w:r>
      <w:r w:rsidRPr="00AB3942" w:rsidR="00F158E8">
        <w:rPr>
          <w:color w:val="000000"/>
          <w:lang w:val="nl-NL"/>
        </w:rPr>
        <w:t xml:space="preserve">niet alle </w:t>
      </w:r>
      <w:r w:rsidRPr="00AB3942" w:rsidR="00F158E8">
        <w:rPr>
          <w:lang w:val="nl-NL"/>
        </w:rPr>
        <w:t>aanbesteders</w:t>
      </w:r>
      <w:r w:rsidRPr="00AB3942" w:rsidR="00F158E8">
        <w:rPr>
          <w:color w:val="000000"/>
          <w:lang w:val="nl-NL"/>
        </w:rPr>
        <w:t xml:space="preserve"> hebben een klachtmeldpunt ingesteld;</w:t>
      </w:r>
      <w:r w:rsidRPr="00AB3942">
        <w:rPr>
          <w:color w:val="000000"/>
          <w:lang w:val="nl-NL"/>
        </w:rPr>
        <w:t xml:space="preserve"> </w:t>
      </w:r>
      <w:r w:rsidRPr="00AB3942" w:rsidR="00F158E8">
        <w:rPr>
          <w:color w:val="000000"/>
          <w:lang w:val="nl-NL"/>
        </w:rPr>
        <w:t xml:space="preserve">de adviezen van de Commissie van Aanbestedingsexperts </w:t>
      </w:r>
      <w:r w:rsidRPr="00AB3942" w:rsidR="00FC353C">
        <w:rPr>
          <w:color w:val="000000"/>
          <w:lang w:val="nl-NL"/>
        </w:rPr>
        <w:t>(</w:t>
      </w:r>
      <w:proofErr w:type="spellStart"/>
      <w:r w:rsidRPr="00AB3942" w:rsidR="00FC353C">
        <w:rPr>
          <w:color w:val="000000"/>
          <w:lang w:val="nl-NL"/>
        </w:rPr>
        <w:t>CvAE</w:t>
      </w:r>
      <w:proofErr w:type="spellEnd"/>
      <w:r w:rsidRPr="00AB3942" w:rsidR="00FC353C">
        <w:rPr>
          <w:color w:val="000000"/>
          <w:lang w:val="nl-NL"/>
        </w:rPr>
        <w:t xml:space="preserve">) </w:t>
      </w:r>
      <w:r w:rsidRPr="00AB3942" w:rsidR="00F158E8">
        <w:rPr>
          <w:color w:val="000000"/>
          <w:lang w:val="nl-NL"/>
        </w:rPr>
        <w:t xml:space="preserve">zijn niet bindend en zelfs de minister van OCW heeft onlangs in de zaak over de </w:t>
      </w:r>
      <w:proofErr w:type="spellStart"/>
      <w:r w:rsidRPr="00AB3942" w:rsidR="00F158E8">
        <w:rPr>
          <w:color w:val="000000"/>
          <w:lang w:val="nl-NL"/>
        </w:rPr>
        <w:t>inbesteding</w:t>
      </w:r>
      <w:proofErr w:type="spellEnd"/>
      <w:r w:rsidRPr="00AB3942" w:rsidR="00F158E8">
        <w:rPr>
          <w:color w:val="000000"/>
          <w:lang w:val="nl-NL"/>
        </w:rPr>
        <w:t xml:space="preserve"> van de scandi</w:t>
      </w:r>
      <w:r w:rsidRPr="00AB3942">
        <w:rPr>
          <w:color w:val="000000"/>
          <w:lang w:val="nl-NL"/>
        </w:rPr>
        <w:t>ensten het</w:t>
      </w:r>
      <w:r w:rsidRPr="00AB3942" w:rsidR="00F158E8">
        <w:rPr>
          <w:color w:val="000000"/>
          <w:lang w:val="nl-NL"/>
        </w:rPr>
        <w:t xml:space="preserve"> advies</w:t>
      </w:r>
      <w:r w:rsidRPr="00AB3942">
        <w:rPr>
          <w:color w:val="000000"/>
          <w:lang w:val="nl-NL"/>
        </w:rPr>
        <w:t xml:space="preserve"> van de </w:t>
      </w:r>
      <w:proofErr w:type="spellStart"/>
      <w:r w:rsidRPr="00AB3942">
        <w:rPr>
          <w:color w:val="000000"/>
          <w:lang w:val="nl-NL"/>
        </w:rPr>
        <w:t>CvAE</w:t>
      </w:r>
      <w:proofErr w:type="spellEnd"/>
      <w:r w:rsidRPr="00AB3942" w:rsidR="00F158E8">
        <w:rPr>
          <w:color w:val="000000"/>
          <w:lang w:val="nl-NL"/>
        </w:rPr>
        <w:t xml:space="preserve"> naast zich neer gelegd;</w:t>
      </w:r>
      <w:r w:rsidRPr="00AB3942">
        <w:rPr>
          <w:color w:val="000000"/>
          <w:lang w:val="nl-NL"/>
        </w:rPr>
        <w:t xml:space="preserve"> </w:t>
      </w:r>
      <w:r w:rsidRPr="00AB3942" w:rsidR="00F158E8">
        <w:rPr>
          <w:color w:val="000000"/>
          <w:lang w:val="nl-NL"/>
        </w:rPr>
        <w:t xml:space="preserve">klachten bij de nationale of plaatselijke ombudsman kunnen enkel worden ingediend na dat andere klachtmogelijkheden zijn uitgeput en deze kunnen enkel een behoorlijkheidoordeel en geen juridisch oordeel tot gevolg hebben; net als die van de </w:t>
      </w:r>
      <w:proofErr w:type="spellStart"/>
      <w:r w:rsidRPr="00AB3942" w:rsidR="00F158E8">
        <w:rPr>
          <w:color w:val="000000"/>
          <w:lang w:val="nl-NL"/>
        </w:rPr>
        <w:t>CvAE</w:t>
      </w:r>
      <w:proofErr w:type="spellEnd"/>
      <w:r w:rsidRPr="00AB3942" w:rsidR="00F158E8">
        <w:rPr>
          <w:color w:val="000000"/>
          <w:lang w:val="nl-NL"/>
        </w:rPr>
        <w:t xml:space="preserve"> kan men deze oordelen naast zich neerleggen. </w:t>
      </w:r>
    </w:p>
    <w:p w:rsidRPr="00AB3942" w:rsidR="00442EA0" w:rsidP="00330FDE" w:rsidRDefault="00442EA0">
      <w:pPr>
        <w:spacing w:after="0" w:line="276" w:lineRule="auto"/>
        <w:rPr>
          <w:b/>
          <w:bCs/>
          <w:color w:val="000000"/>
          <w:lang w:val="nl-NL"/>
        </w:rPr>
      </w:pPr>
    </w:p>
    <w:p w:rsidRPr="00AB3942" w:rsidR="00330FDE" w:rsidP="00FC353C" w:rsidRDefault="00442EA0">
      <w:pPr>
        <w:spacing w:after="0" w:line="276" w:lineRule="auto"/>
        <w:rPr>
          <w:lang w:val="nl-NL"/>
        </w:rPr>
      </w:pPr>
      <w:r w:rsidRPr="00AB3942">
        <w:rPr>
          <w:b/>
          <w:bCs/>
          <w:lang w:val="nl-NL"/>
        </w:rPr>
        <w:t>10</w:t>
      </w:r>
      <w:r w:rsidRPr="00AB3942">
        <w:rPr>
          <w:b/>
          <w:bCs/>
          <w:vertAlign w:val="superscript"/>
          <w:lang w:val="nl-NL"/>
        </w:rPr>
        <w:t>e</w:t>
      </w:r>
      <w:r w:rsidRPr="00AB3942">
        <w:rPr>
          <w:b/>
          <w:bCs/>
          <w:lang w:val="nl-NL"/>
        </w:rPr>
        <w:t xml:space="preserve"> Aanbeveling: Stel een grijze lijst op van onredelijke contractvoorwaarden</w:t>
      </w:r>
      <w:r w:rsidRPr="00AB3942" w:rsidR="00330FDE">
        <w:rPr>
          <w:b/>
          <w:bCs/>
          <w:lang w:val="nl-NL"/>
        </w:rPr>
        <w:t xml:space="preserve">. </w:t>
      </w:r>
      <w:r w:rsidRPr="00AB3942">
        <w:rPr>
          <w:lang w:val="nl-NL"/>
        </w:rPr>
        <w:t>U</w:t>
      </w:r>
      <w:r w:rsidRPr="00AB3942" w:rsidR="00330FDE">
        <w:rPr>
          <w:lang w:val="nl-NL"/>
        </w:rPr>
        <w:t>it de evaluatie blijkt dat niet of nauwelijks paritair vastgestelde algemene voorwaarden worden toegepast en dat ondernemers onverminderd klagen over onredelijke contractvoorwaarden. Ook in pers en literatuur wordt deze ontwikkeling als een ernstig probleem beschouwd, dat leidt tot grote schade bij ondernemingen en ook tot minder inschrijvingen nu de economie aantrekt. In de Eerste Kamer is bij</w:t>
      </w:r>
      <w:r w:rsidRPr="00AB3942" w:rsidR="00FC353C">
        <w:rPr>
          <w:lang w:val="nl-NL"/>
        </w:rPr>
        <w:t xml:space="preserve"> </w:t>
      </w:r>
      <w:r w:rsidRPr="00AB3942" w:rsidR="002C6F59">
        <w:rPr>
          <w:lang w:val="nl-NL"/>
        </w:rPr>
        <w:t xml:space="preserve">de </w:t>
      </w:r>
      <w:r w:rsidRPr="00AB3942" w:rsidR="00330FDE">
        <w:rPr>
          <w:lang w:val="nl-NL"/>
        </w:rPr>
        <w:t xml:space="preserve"> behandeling van de </w:t>
      </w:r>
      <w:proofErr w:type="spellStart"/>
      <w:r w:rsidRPr="00AB3942" w:rsidR="00330FDE">
        <w:rPr>
          <w:lang w:val="nl-NL"/>
        </w:rPr>
        <w:t>Aw</w:t>
      </w:r>
      <w:proofErr w:type="spellEnd"/>
      <w:r w:rsidRPr="00AB3942" w:rsidR="00330FDE">
        <w:rPr>
          <w:lang w:val="nl-NL"/>
        </w:rPr>
        <w:t xml:space="preserve"> 2012 voorgesteld een grijze lijst van onredelijke contractvoorwaarden op te stellen.</w:t>
      </w:r>
    </w:p>
    <w:sectPr w:rsidRPr="00AB3942" w:rsidR="00330FDE" w:rsidSect="00612E8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D89" w:rsidRDefault="00BD3D89" w:rsidP="002C6F59">
      <w:pPr>
        <w:spacing w:after="0"/>
      </w:pPr>
      <w:r>
        <w:separator/>
      </w:r>
    </w:p>
  </w:endnote>
  <w:endnote w:type="continuationSeparator" w:id="0">
    <w:p w:rsidR="00BD3D89" w:rsidRDefault="00BD3D89" w:rsidP="002C6F59">
      <w:pPr>
        <w:spacing w:after="0"/>
      </w:pPr>
      <w:r>
        <w:continuationSeparator/>
      </w:r>
    </w:p>
  </w:endnote>
  <w:endnote w:id="1">
    <w:p w:rsidR="004E0683" w:rsidRPr="00346E09" w:rsidRDefault="002C6F59" w:rsidP="00E142AA">
      <w:pPr>
        <w:pStyle w:val="Default"/>
        <w:jc w:val="both"/>
        <w:rPr>
          <w:sz w:val="20"/>
          <w:szCs w:val="20"/>
        </w:rPr>
      </w:pPr>
      <w:r w:rsidRPr="00346E09">
        <w:rPr>
          <w:rStyle w:val="Eindnootmarkering"/>
          <w:sz w:val="20"/>
          <w:szCs w:val="20"/>
        </w:rPr>
        <w:endnoteRef/>
      </w:r>
      <w:r w:rsidRPr="00346E09">
        <w:rPr>
          <w:sz w:val="20"/>
          <w:szCs w:val="20"/>
        </w:rPr>
        <w:t xml:space="preserve"> </w:t>
      </w:r>
      <w:proofErr w:type="spellStart"/>
      <w:r w:rsidR="004E0683" w:rsidRPr="00346E09">
        <w:rPr>
          <w:sz w:val="20"/>
          <w:szCs w:val="20"/>
        </w:rPr>
        <w:t>Manunza</w:t>
      </w:r>
      <w:proofErr w:type="spellEnd"/>
      <w:r w:rsidR="004E0683" w:rsidRPr="00346E09">
        <w:rPr>
          <w:sz w:val="20"/>
          <w:szCs w:val="20"/>
        </w:rPr>
        <w:t xml:space="preserve">, Janssen, </w:t>
      </w:r>
      <w:r w:rsidR="004E0683" w:rsidRPr="00346E09">
        <w:rPr>
          <w:i/>
          <w:iCs/>
          <w:sz w:val="20"/>
          <w:szCs w:val="20"/>
        </w:rPr>
        <w:t xml:space="preserve">De </w:t>
      </w:r>
      <w:proofErr w:type="spellStart"/>
      <w:r w:rsidR="004E0683" w:rsidRPr="00346E09">
        <w:rPr>
          <w:i/>
          <w:iCs/>
          <w:sz w:val="20"/>
          <w:szCs w:val="20"/>
        </w:rPr>
        <w:t>inbesteding</w:t>
      </w:r>
      <w:proofErr w:type="spellEnd"/>
      <w:r w:rsidR="004E0683" w:rsidRPr="00346E09">
        <w:rPr>
          <w:i/>
          <w:iCs/>
          <w:sz w:val="20"/>
          <w:szCs w:val="20"/>
        </w:rPr>
        <w:t xml:space="preserve"> van scandiensten,</w:t>
      </w:r>
      <w:r w:rsidR="004E0683" w:rsidRPr="00346E09">
        <w:rPr>
          <w:sz w:val="20"/>
          <w:szCs w:val="20"/>
        </w:rPr>
        <w:t xml:space="preserve"> </w:t>
      </w:r>
      <w:r w:rsidR="00E142AA" w:rsidRPr="00346E09">
        <w:rPr>
          <w:sz w:val="20"/>
          <w:szCs w:val="20"/>
        </w:rPr>
        <w:t xml:space="preserve">(in het bijzonder </w:t>
      </w:r>
      <w:r w:rsidR="00E142AA" w:rsidRPr="00346E09">
        <w:rPr>
          <w:color w:val="auto"/>
          <w:sz w:val="20"/>
          <w:szCs w:val="20"/>
        </w:rPr>
        <w:t xml:space="preserve">Deel II:“Nut en noodzaak om de keuze voor in- of uitbesteden te reguleren: knelpunten en aanbevelingen”), </w:t>
      </w:r>
      <w:r w:rsidR="004E0683" w:rsidRPr="00346E09">
        <w:rPr>
          <w:sz w:val="20"/>
          <w:szCs w:val="20"/>
        </w:rPr>
        <w:t xml:space="preserve">PPRC 2015, te vinden op </w:t>
      </w:r>
      <w:hyperlink r:id="rId1" w:history="1">
        <w:r w:rsidR="004E0683" w:rsidRPr="00346E09">
          <w:rPr>
            <w:rStyle w:val="Hyperlink"/>
            <w:sz w:val="20"/>
            <w:szCs w:val="20"/>
          </w:rPr>
          <w:t>http://www.pprc.eu/wp-content/uploads/PPRC-De-Inbesteding-van-Scanwerkzaamheden-definitief.pdf</w:t>
        </w:r>
      </w:hyperlink>
    </w:p>
  </w:endnote>
  <w:endnote w:id="2">
    <w:p w:rsidR="002C6F59" w:rsidRPr="002C6F59" w:rsidRDefault="002C6F59" w:rsidP="00F66BAE">
      <w:pPr>
        <w:pStyle w:val="Default"/>
        <w:jc w:val="both"/>
        <w:rPr>
          <w:sz w:val="20"/>
          <w:szCs w:val="20"/>
        </w:rPr>
      </w:pPr>
      <w:r w:rsidRPr="00346E09">
        <w:rPr>
          <w:rStyle w:val="Eindnootmarkering"/>
          <w:sz w:val="20"/>
          <w:szCs w:val="20"/>
        </w:rPr>
        <w:endnoteRef/>
      </w:r>
      <w:r w:rsidRPr="00346E09">
        <w:rPr>
          <w:sz w:val="20"/>
          <w:szCs w:val="20"/>
        </w:rPr>
        <w:t xml:space="preserve"> </w:t>
      </w:r>
      <w:proofErr w:type="spellStart"/>
      <w:r w:rsidRPr="00346E09">
        <w:rPr>
          <w:sz w:val="20"/>
          <w:szCs w:val="20"/>
        </w:rPr>
        <w:t>Lohmann</w:t>
      </w:r>
      <w:proofErr w:type="spellEnd"/>
      <w:r w:rsidRPr="00346E09">
        <w:rPr>
          <w:sz w:val="20"/>
          <w:szCs w:val="20"/>
        </w:rPr>
        <w:t xml:space="preserve">, </w:t>
      </w:r>
      <w:proofErr w:type="spellStart"/>
      <w:r w:rsidRPr="00346E09">
        <w:rPr>
          <w:sz w:val="20"/>
          <w:szCs w:val="20"/>
        </w:rPr>
        <w:t>Manunza</w:t>
      </w:r>
      <w:proofErr w:type="spellEnd"/>
      <w:r w:rsidRPr="00346E09">
        <w:rPr>
          <w:sz w:val="20"/>
          <w:szCs w:val="20"/>
        </w:rPr>
        <w:t xml:space="preserve">, Telgen, </w:t>
      </w:r>
      <w:r w:rsidRPr="00346E09">
        <w:rPr>
          <w:i/>
          <w:iCs/>
          <w:sz w:val="20"/>
          <w:szCs w:val="20"/>
        </w:rPr>
        <w:t xml:space="preserve">Hoe wordt uitzendwerk gegund? </w:t>
      </w:r>
      <w:r w:rsidRPr="002C6F59">
        <w:rPr>
          <w:i/>
          <w:iCs/>
          <w:sz w:val="20"/>
          <w:szCs w:val="20"/>
        </w:rPr>
        <w:t xml:space="preserve"> Onderzoek naar gunningsmethodieken voor uitzendwerk: een economische en juridische analyse</w:t>
      </w:r>
      <w:r w:rsidRPr="00346E09">
        <w:rPr>
          <w:sz w:val="20"/>
          <w:szCs w:val="20"/>
        </w:rPr>
        <w:t xml:space="preserve">, PPRC 2013, te vinden op  </w:t>
      </w:r>
      <w:hyperlink r:id="rId2" w:history="1">
        <w:r w:rsidRPr="00346E09">
          <w:rPr>
            <w:rStyle w:val="Hyperlink"/>
            <w:sz w:val="20"/>
            <w:szCs w:val="20"/>
          </w:rPr>
          <w:t>http://www.pprc.eu/wp-content/uploads/Onderzoek-PPRC-Hoe-wordt-uitzendwerk-gegund-sep-2013.pdf</w:t>
        </w:r>
      </w:hyperlink>
    </w:p>
  </w:endnote>
  <w:endnote w:id="3">
    <w:p w:rsidR="009504E7" w:rsidRPr="00F66BAE" w:rsidRDefault="009504E7" w:rsidP="009504E7">
      <w:pPr>
        <w:pStyle w:val="Eindnoottekst"/>
        <w:rPr>
          <w:lang w:val="nl-NL"/>
        </w:rPr>
      </w:pPr>
      <w:r>
        <w:rPr>
          <w:rStyle w:val="Eindnootmarkering"/>
        </w:rPr>
        <w:endnoteRef/>
      </w:r>
      <w:r w:rsidRPr="00F66BAE">
        <w:rPr>
          <w:lang w:val="nl-NL"/>
        </w:rPr>
        <w:t xml:space="preserve"> Motie van de leden Schouten en Ziengs, 11 oktober 2012, Tweede Kamer, vergaderjaar 2012–2013, 32 440, nr. 76.</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D89" w:rsidRDefault="00BD3D89" w:rsidP="002C6F59">
      <w:pPr>
        <w:spacing w:after="0"/>
      </w:pPr>
      <w:r>
        <w:separator/>
      </w:r>
    </w:p>
  </w:footnote>
  <w:footnote w:type="continuationSeparator" w:id="0">
    <w:p w:rsidR="00BD3D89" w:rsidRDefault="00BD3D89" w:rsidP="002C6F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929A7"/>
    <w:multiLevelType w:val="hybridMultilevel"/>
    <w:tmpl w:val="4732BF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47119A7"/>
    <w:multiLevelType w:val="hybridMultilevel"/>
    <w:tmpl w:val="B3E2871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8920444"/>
    <w:multiLevelType w:val="hybridMultilevel"/>
    <w:tmpl w:val="D08403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ACC30CB"/>
    <w:multiLevelType w:val="hybridMultilevel"/>
    <w:tmpl w:val="44ACCA3A"/>
    <w:lvl w:ilvl="0" w:tplc="FEEA1514">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EC46076"/>
    <w:multiLevelType w:val="hybridMultilevel"/>
    <w:tmpl w:val="CB1EC1CA"/>
    <w:lvl w:ilvl="0" w:tplc="3216C750">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744D53"/>
    <w:multiLevelType w:val="hybridMultilevel"/>
    <w:tmpl w:val="BDFAA2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52F0EEE"/>
    <w:multiLevelType w:val="hybridMultilevel"/>
    <w:tmpl w:val="0CA42A26"/>
    <w:lvl w:ilvl="0" w:tplc="2ABA6F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D5C38E6"/>
    <w:multiLevelType w:val="hybridMultilevel"/>
    <w:tmpl w:val="F20C7DB2"/>
    <w:lvl w:ilvl="0" w:tplc="FEEA1514">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74E6F"/>
    <w:rsid w:val="0000386B"/>
    <w:rsid w:val="00016724"/>
    <w:rsid w:val="00025AA0"/>
    <w:rsid w:val="0004074F"/>
    <w:rsid w:val="000D6A4A"/>
    <w:rsid w:val="0012521D"/>
    <w:rsid w:val="00235EE3"/>
    <w:rsid w:val="002508F8"/>
    <w:rsid w:val="00265A92"/>
    <w:rsid w:val="002767FA"/>
    <w:rsid w:val="002B5A3A"/>
    <w:rsid w:val="002C6F59"/>
    <w:rsid w:val="00330FDE"/>
    <w:rsid w:val="00346E09"/>
    <w:rsid w:val="0037320E"/>
    <w:rsid w:val="003832ED"/>
    <w:rsid w:val="003D43CF"/>
    <w:rsid w:val="003E1E4D"/>
    <w:rsid w:val="003F0211"/>
    <w:rsid w:val="00427108"/>
    <w:rsid w:val="00433D93"/>
    <w:rsid w:val="00442EA0"/>
    <w:rsid w:val="004450A3"/>
    <w:rsid w:val="0045649C"/>
    <w:rsid w:val="00490E73"/>
    <w:rsid w:val="004A49D2"/>
    <w:rsid w:val="004E0683"/>
    <w:rsid w:val="0052490C"/>
    <w:rsid w:val="00533F76"/>
    <w:rsid w:val="0054117A"/>
    <w:rsid w:val="00605C25"/>
    <w:rsid w:val="00612E83"/>
    <w:rsid w:val="006C764B"/>
    <w:rsid w:val="00700292"/>
    <w:rsid w:val="00822C77"/>
    <w:rsid w:val="00837D6D"/>
    <w:rsid w:val="00862D59"/>
    <w:rsid w:val="00893B09"/>
    <w:rsid w:val="00895A74"/>
    <w:rsid w:val="009063CE"/>
    <w:rsid w:val="009144E9"/>
    <w:rsid w:val="009504E7"/>
    <w:rsid w:val="00953240"/>
    <w:rsid w:val="00983F92"/>
    <w:rsid w:val="009B3525"/>
    <w:rsid w:val="009C4356"/>
    <w:rsid w:val="009E3B00"/>
    <w:rsid w:val="00A022D5"/>
    <w:rsid w:val="00A06CF9"/>
    <w:rsid w:val="00A42B3F"/>
    <w:rsid w:val="00A7089B"/>
    <w:rsid w:val="00AB3942"/>
    <w:rsid w:val="00AE1B65"/>
    <w:rsid w:val="00B45D17"/>
    <w:rsid w:val="00BD3D89"/>
    <w:rsid w:val="00C7215B"/>
    <w:rsid w:val="00C8736B"/>
    <w:rsid w:val="00CF6F05"/>
    <w:rsid w:val="00D02935"/>
    <w:rsid w:val="00D5434C"/>
    <w:rsid w:val="00DC41C9"/>
    <w:rsid w:val="00DE234A"/>
    <w:rsid w:val="00DF46E6"/>
    <w:rsid w:val="00E01F46"/>
    <w:rsid w:val="00E142AA"/>
    <w:rsid w:val="00E74E6F"/>
    <w:rsid w:val="00F158E8"/>
    <w:rsid w:val="00F66BAE"/>
    <w:rsid w:val="00F75D47"/>
    <w:rsid w:val="00FC353C"/>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nl-N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2E83"/>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3F76"/>
    <w:pPr>
      <w:ind w:left="720"/>
      <w:contextualSpacing/>
    </w:pPr>
  </w:style>
  <w:style w:type="paragraph" w:customStyle="1" w:styleId="Default">
    <w:name w:val="Default"/>
    <w:rsid w:val="00533F76"/>
    <w:pPr>
      <w:autoSpaceDE w:val="0"/>
      <w:autoSpaceDN w:val="0"/>
      <w:adjustRightInd w:val="0"/>
      <w:spacing w:after="0"/>
      <w:jc w:val="left"/>
    </w:pPr>
    <w:rPr>
      <w:color w:val="000000"/>
      <w:sz w:val="24"/>
      <w:szCs w:val="24"/>
    </w:rPr>
  </w:style>
  <w:style w:type="character" w:styleId="Hyperlink">
    <w:name w:val="Hyperlink"/>
    <w:basedOn w:val="Standaardalinea-lettertype"/>
    <w:uiPriority w:val="99"/>
    <w:unhideWhenUsed/>
    <w:rsid w:val="00533F76"/>
    <w:rPr>
      <w:color w:val="0000FF" w:themeColor="hyperlink"/>
      <w:u w:val="single"/>
    </w:rPr>
  </w:style>
  <w:style w:type="paragraph" w:styleId="Geenafstand">
    <w:name w:val="No Spacing"/>
    <w:uiPriority w:val="1"/>
    <w:qFormat/>
    <w:rsid w:val="00983F92"/>
    <w:pPr>
      <w:spacing w:after="0"/>
      <w:jc w:val="left"/>
    </w:pPr>
    <w:rPr>
      <w:rFonts w:asciiTheme="minorHAnsi" w:hAnsiTheme="minorHAnsi" w:cstheme="minorBidi"/>
    </w:rPr>
  </w:style>
  <w:style w:type="paragraph" w:styleId="Ballontekst">
    <w:name w:val="Balloon Text"/>
    <w:basedOn w:val="Standaard"/>
    <w:link w:val="BallontekstChar"/>
    <w:uiPriority w:val="99"/>
    <w:semiHidden/>
    <w:unhideWhenUsed/>
    <w:rsid w:val="0054117A"/>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17A"/>
    <w:rPr>
      <w:rFonts w:ascii="Tahoma" w:hAnsi="Tahoma" w:cs="Tahoma"/>
      <w:sz w:val="16"/>
      <w:szCs w:val="16"/>
      <w:lang w:val="en-GB"/>
    </w:rPr>
  </w:style>
  <w:style w:type="paragraph" w:styleId="Eindnoottekst">
    <w:name w:val="endnote text"/>
    <w:basedOn w:val="Standaard"/>
    <w:link w:val="EindnoottekstChar"/>
    <w:uiPriority w:val="99"/>
    <w:semiHidden/>
    <w:unhideWhenUsed/>
    <w:rsid w:val="002C6F59"/>
    <w:pPr>
      <w:spacing w:after="0"/>
    </w:pPr>
    <w:rPr>
      <w:sz w:val="20"/>
      <w:szCs w:val="20"/>
    </w:rPr>
  </w:style>
  <w:style w:type="character" w:customStyle="1" w:styleId="EindnoottekstChar">
    <w:name w:val="Eindnoottekst Char"/>
    <w:basedOn w:val="Standaardalinea-lettertype"/>
    <w:link w:val="Eindnoottekst"/>
    <w:uiPriority w:val="99"/>
    <w:semiHidden/>
    <w:rsid w:val="002C6F59"/>
    <w:rPr>
      <w:sz w:val="20"/>
      <w:szCs w:val="20"/>
      <w:lang w:val="en-GB"/>
    </w:rPr>
  </w:style>
  <w:style w:type="character" w:styleId="Eindnootmarkering">
    <w:name w:val="endnote reference"/>
    <w:basedOn w:val="Standaardalinea-lettertype"/>
    <w:uiPriority w:val="99"/>
    <w:semiHidden/>
    <w:unhideWhenUsed/>
    <w:rsid w:val="002C6F59"/>
    <w:rPr>
      <w:vertAlign w:val="superscript"/>
    </w:rPr>
  </w:style>
  <w:style w:type="paragraph" w:customStyle="1" w:styleId="s73alineacentregras">
    <w:name w:val="s73alineacentregras"/>
    <w:basedOn w:val="Standaard"/>
    <w:rsid w:val="00442EA0"/>
    <w:pPr>
      <w:spacing w:before="100" w:beforeAutospacing="1" w:after="100" w:afterAutospacing="1"/>
      <w:jc w:val="left"/>
    </w:pPr>
    <w:rPr>
      <w:rFonts w:ascii="Arial" w:eastAsia="Times New Roman" w:hAnsi="Arial" w:cs="Arial"/>
      <w:lang w:val="nl-NL" w:eastAsia="nl-NL"/>
    </w:rPr>
  </w:style>
  <w:style w:type="paragraph" w:styleId="Voetnoottekst">
    <w:name w:val="footnote text"/>
    <w:basedOn w:val="Standaard"/>
    <w:link w:val="VoetnoottekstChar"/>
    <w:uiPriority w:val="99"/>
    <w:semiHidden/>
    <w:unhideWhenUsed/>
    <w:rsid w:val="00F66BAE"/>
    <w:pPr>
      <w:spacing w:after="0"/>
    </w:pPr>
    <w:rPr>
      <w:sz w:val="20"/>
      <w:szCs w:val="20"/>
    </w:rPr>
  </w:style>
  <w:style w:type="character" w:customStyle="1" w:styleId="VoetnoottekstChar">
    <w:name w:val="Voetnoottekst Char"/>
    <w:basedOn w:val="Standaardalinea-lettertype"/>
    <w:link w:val="Voetnoottekst"/>
    <w:uiPriority w:val="99"/>
    <w:semiHidden/>
    <w:rsid w:val="00F66BAE"/>
    <w:rPr>
      <w:sz w:val="20"/>
      <w:szCs w:val="20"/>
      <w:lang w:val="en-GB"/>
    </w:rPr>
  </w:style>
  <w:style w:type="character" w:styleId="Voetnootmarkering">
    <w:name w:val="footnote reference"/>
    <w:basedOn w:val="Standaardalinea-lettertype"/>
    <w:uiPriority w:val="99"/>
    <w:semiHidden/>
    <w:unhideWhenUsed/>
    <w:rsid w:val="00F66B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nl-N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2E83"/>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3F76"/>
    <w:pPr>
      <w:ind w:left="720"/>
      <w:contextualSpacing/>
    </w:pPr>
  </w:style>
  <w:style w:type="paragraph" w:customStyle="1" w:styleId="Default">
    <w:name w:val="Default"/>
    <w:rsid w:val="00533F76"/>
    <w:pPr>
      <w:autoSpaceDE w:val="0"/>
      <w:autoSpaceDN w:val="0"/>
      <w:adjustRightInd w:val="0"/>
      <w:spacing w:after="0"/>
      <w:jc w:val="left"/>
    </w:pPr>
    <w:rPr>
      <w:color w:val="000000"/>
      <w:sz w:val="24"/>
      <w:szCs w:val="24"/>
    </w:rPr>
  </w:style>
  <w:style w:type="character" w:styleId="Hyperlink">
    <w:name w:val="Hyperlink"/>
    <w:basedOn w:val="Standaardalinea-lettertype"/>
    <w:uiPriority w:val="99"/>
    <w:unhideWhenUsed/>
    <w:rsid w:val="00533F76"/>
    <w:rPr>
      <w:color w:val="0000FF" w:themeColor="hyperlink"/>
      <w:u w:val="single"/>
    </w:rPr>
  </w:style>
  <w:style w:type="paragraph" w:styleId="Geenafstand">
    <w:name w:val="No Spacing"/>
    <w:uiPriority w:val="1"/>
    <w:qFormat/>
    <w:rsid w:val="00983F92"/>
    <w:pPr>
      <w:spacing w:after="0"/>
      <w:jc w:val="left"/>
    </w:pPr>
    <w:rPr>
      <w:rFonts w:asciiTheme="minorHAnsi" w:hAnsiTheme="minorHAnsi" w:cstheme="minorBidi"/>
    </w:rPr>
  </w:style>
  <w:style w:type="paragraph" w:styleId="Ballontekst">
    <w:name w:val="Balloon Text"/>
    <w:basedOn w:val="Standaard"/>
    <w:link w:val="BallontekstChar"/>
    <w:uiPriority w:val="99"/>
    <w:semiHidden/>
    <w:unhideWhenUsed/>
    <w:rsid w:val="0054117A"/>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17A"/>
    <w:rPr>
      <w:rFonts w:ascii="Tahoma" w:hAnsi="Tahoma" w:cs="Tahoma"/>
      <w:sz w:val="16"/>
      <w:szCs w:val="16"/>
      <w:lang w:val="en-GB"/>
    </w:rPr>
  </w:style>
  <w:style w:type="paragraph" w:styleId="Eindnoottekst">
    <w:name w:val="endnote text"/>
    <w:basedOn w:val="Standaard"/>
    <w:link w:val="EindnoottekstChar"/>
    <w:uiPriority w:val="99"/>
    <w:semiHidden/>
    <w:unhideWhenUsed/>
    <w:rsid w:val="002C6F59"/>
    <w:pPr>
      <w:spacing w:after="0"/>
    </w:pPr>
    <w:rPr>
      <w:sz w:val="20"/>
      <w:szCs w:val="20"/>
    </w:rPr>
  </w:style>
  <w:style w:type="character" w:customStyle="1" w:styleId="EindnoottekstChar">
    <w:name w:val="Eindnoottekst Char"/>
    <w:basedOn w:val="Standaardalinea-lettertype"/>
    <w:link w:val="Eindnoottekst"/>
    <w:uiPriority w:val="99"/>
    <w:semiHidden/>
    <w:rsid w:val="002C6F59"/>
    <w:rPr>
      <w:sz w:val="20"/>
      <w:szCs w:val="20"/>
      <w:lang w:val="en-GB"/>
    </w:rPr>
  </w:style>
  <w:style w:type="character" w:styleId="Eindnootmarkering">
    <w:name w:val="endnote reference"/>
    <w:basedOn w:val="Standaardalinea-lettertype"/>
    <w:uiPriority w:val="99"/>
    <w:semiHidden/>
    <w:unhideWhenUsed/>
    <w:rsid w:val="002C6F59"/>
    <w:rPr>
      <w:vertAlign w:val="superscript"/>
    </w:rPr>
  </w:style>
  <w:style w:type="paragraph" w:customStyle="1" w:styleId="s73alineacentregras">
    <w:name w:val="s73alineacentregras"/>
    <w:basedOn w:val="Standaard"/>
    <w:rsid w:val="00442EA0"/>
    <w:pPr>
      <w:spacing w:before="100" w:beforeAutospacing="1" w:after="100" w:afterAutospacing="1"/>
      <w:jc w:val="left"/>
    </w:pPr>
    <w:rPr>
      <w:rFonts w:ascii="Arial" w:eastAsia="Times New Roman" w:hAnsi="Arial" w:cs="Arial"/>
      <w:lang w:val="nl-NL" w:eastAsia="nl-NL"/>
    </w:rPr>
  </w:style>
</w:styles>
</file>

<file path=word/webSettings.xml><?xml version="1.0" encoding="utf-8"?>
<w:webSettings xmlns:r="http://schemas.openxmlformats.org/officeDocument/2006/relationships" xmlns:w="http://schemas.openxmlformats.org/wordprocessingml/2006/main">
  <w:divs>
    <w:div w:id="98848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microsoft.com/office/2007/relationships/stylesWithEffects" Target="stylesWithEffects.xml" Id="rId10" /><Relationship Type="http://schemas.openxmlformats.org/officeDocument/2006/relationships/settings" Target="settings.xml" Id="rId4" /><Relationship Type="http://schemas.openxmlformats.org/officeDocument/2006/relationships/theme" Target="theme/theme1.xml" Id="rId9" /></Relationships>
</file>

<file path=word/_rels/endnotes.xml.rels><?xml version="1.0" encoding="UTF-8" standalone="yes"?>
<Relationships xmlns="http://schemas.openxmlformats.org/package/2006/relationships"><Relationship Id="rId2" Type="http://schemas.openxmlformats.org/officeDocument/2006/relationships/hyperlink" Target="http://www.pprc.eu/wp-content/uploads/Onderzoek-PPRC-Hoe-wordt-uitzendwerk-gegund-sep-2013.pdf" TargetMode="External"/><Relationship Id="rId1" Type="http://schemas.openxmlformats.org/officeDocument/2006/relationships/hyperlink" Target="http://www.pprc.eu/wp-content/uploads/PPRC-De-Inbesteding-van-Scanwerkzaamheden-definitief.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1692</ap:Words>
  <ap:Characters>9310</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2015-11-21T22:11:00.0000000Z</dcterms:created>
  <dcterms:modified xsi:type="dcterms:W3CDTF">2015-11-21T22:11:00.0000000Z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