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W12.15.0366/III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29 oktober 2015</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CC5396" w:rsidRDefault="004555AD">
              <w:r>
                <w:t xml:space="preserve">Bij Kabinetsmissive van 16 oktober 2015, no.2015001832, heeft Uwe Majesteit, op voordracht van de Staatssecretaris van Sociale Zaken en Werkgelegenheid, bij de Afdeling advisering van de Raad van State ter overweging aanhangig gemaakt het voorstel van wet </w:t>
              </w:r>
              <w:r>
                <w:t>tot wijziging van de Pensioenwet, de Wet verplichte beroepspensioenregeling en de Wet op de loonbelasting 1964 in verband met invoering van een variabele uitkering (Wet variabele pensioenuitkering), met memorie van toelichting.</w:t>
              </w:r>
            </w:p>
          </w:sdtContent>
        </w:sdt>
        <w:p w:rsidRPr="00831363" w:rsidR="00CE4655" w:rsidP="003C7608" w:rsidRDefault="00CE4655"/>
        <w:sdt>
          <w:sdtPr>
            <w:alias w:val="VrijeTekst1"/>
            <w:tag w:val="VrijeTekst1"/>
            <w:id w:val="-437221631"/>
            <w:lock w:val="sdtLocked"/>
          </w:sdtPr>
          <w:sdtEndPr/>
          <w:sdtContent>
            <w:p w:rsidR="008A28B0" w:rsidP="00215F45" w:rsidRDefault="004555AD">
              <w:r>
                <w:t>Het voorstel strekt tot w</w:t>
              </w:r>
              <w:r>
                <w:t>ijziging van de Pensioenwet en enkele andere wetten en introduceert voor deelnemers aan een premie- of kapitaalovereenkomst de mogelijkheid van een variabel risicodragend pensioen (variabele pensioenuitkering).  Het voorstel beoogt doorbeleggen na ingang v</w:t>
              </w:r>
              <w:r>
                <w:t xml:space="preserve">an de pensioendatum mogelijk te maken. Indien gekozen wordt voor een variabele pensioenuitkering is de hoogte van de pensioenuitkering afhankelijk van het beleggingsresultaat, het sterfteresultaat en de ontwikkeling van de levensverwachting. </w:t>
              </w:r>
            </w:p>
            <w:p w:rsidR="008A28B0" w:rsidP="00215F45" w:rsidRDefault="004555AD"/>
            <w:p w:rsidRPr="002023B3" w:rsidR="00215F45" w:rsidP="00215F45" w:rsidRDefault="004555AD">
              <w:r w:rsidRPr="002023B3">
                <w:rPr>
                  <w:rFonts w:cs="Calibri"/>
                  <w:color w:val="000000"/>
                  <w:szCs w:val="22"/>
                </w:rPr>
                <w:t xml:space="preserve">De Afdeling </w:t>
              </w:r>
              <w:r w:rsidRPr="002023B3">
                <w:rPr>
                  <w:rFonts w:cs="Calibri"/>
                  <w:color w:val="000000"/>
                  <w:szCs w:val="22"/>
                </w:rPr>
                <w:t xml:space="preserve">advisering van de Raad van State adviseert het voorstel aan de Tweede Kamer te zenden, maar acht voor </w:t>
              </w:r>
              <w:r>
                <w:rPr>
                  <w:rFonts w:cs="Calibri"/>
                  <w:color w:val="000000"/>
                  <w:szCs w:val="22"/>
                </w:rPr>
                <w:t>het creëren van de mogelijkheid</w:t>
              </w:r>
              <w:r w:rsidRPr="002023B3">
                <w:rPr>
                  <w:rFonts w:cs="Calibri"/>
                  <w:color w:val="000000"/>
                  <w:szCs w:val="22"/>
                </w:rPr>
                <w:t xml:space="preserve"> om toepassing te geven aan </w:t>
              </w:r>
              <w:r w:rsidRPr="002023B3">
                <w:rPr>
                  <w:iCs/>
                </w:rPr>
                <w:t>de spoedprocedure van de Wet raadgevend referendum</w:t>
              </w:r>
              <w:r>
                <w:rPr>
                  <w:iCs/>
                </w:rPr>
                <w:t xml:space="preserve"> (Wrr)</w:t>
              </w:r>
              <w:r w:rsidRPr="002023B3">
                <w:rPr>
                  <w:iCs/>
                </w:rPr>
                <w:t xml:space="preserve"> </w:t>
              </w:r>
              <w:r w:rsidRPr="002023B3">
                <w:rPr>
                  <w:rFonts w:cs="Calibri"/>
                  <w:color w:val="000000"/>
                  <w:szCs w:val="22"/>
                </w:rPr>
                <w:t xml:space="preserve">een dragende motivering of aanpassing </w:t>
              </w:r>
              <w:r w:rsidRPr="002023B3">
                <w:rPr>
                  <w:rFonts w:cs="Calibri"/>
                  <w:color w:val="000000"/>
                  <w:szCs w:val="22"/>
                </w:rPr>
                <w:t>van het voorstel aangewezen.</w:t>
              </w:r>
              <w:r w:rsidRPr="002023B3">
                <w:br/>
              </w:r>
            </w:p>
            <w:p w:rsidR="006C17A2" w:rsidP="00215F45" w:rsidRDefault="004555AD">
              <w:r>
                <w:t xml:space="preserve">1. </w:t>
              </w:r>
              <w:r>
                <w:tab/>
              </w:r>
              <w:r w:rsidRPr="009D514C">
                <w:rPr>
                  <w:u w:val="single"/>
                </w:rPr>
                <w:t>Initiatiefvoorstel</w:t>
              </w:r>
              <w:r>
                <w:rPr>
                  <w:u w:val="single"/>
                </w:rPr>
                <w:br/>
              </w:r>
            </w:p>
            <w:p w:rsidR="009D514C" w:rsidP="00215F45" w:rsidRDefault="004555AD">
              <w:r>
                <w:t>Bij brief van de voorzitter van de Tweede Kamer der Staten-Generaal van 14 juli 2015 heeft de Tweede Kamer bij de Afdeling advisering van de Raad van State ter overweging aanhangig gemaakt het voorstel</w:t>
              </w:r>
              <w:r>
                <w:t xml:space="preserve"> van wet van het lid Lodders tot wijziging van de Pensioenwet, de Wet verplichte beroepspensioenregeling, de Wet loonbelasting 1964 en de Invoerings- en aanpassingswet Pensioenwet in verband met de invoering van de mogelijkheid tot uitbetaling van pensioen</w:t>
              </w:r>
              <w:r>
                <w:t xml:space="preserve"> in pensioeneenheden (Wet uitbetaling pensioen in pensioeneenheden). </w:t>
              </w:r>
            </w:p>
            <w:p w:rsidR="00215F45" w:rsidP="00215F45" w:rsidRDefault="004555AD">
              <w:r>
                <w:t>Dat wetsvoorstel beoogt eveneens het doorbeleggen na het bereiken van de uitkeringsgerechtigde leeftijd mogelijk te maken. Over dit voorstel brengt de Afdeling gelijktijdig advies uit.</w:t>
              </w:r>
              <w:r>
                <w:rPr>
                  <w:rStyle w:val="Voetnootmarkering"/>
                </w:rPr>
                <w:footnoteReference w:id="1"/>
              </w:r>
              <w:r>
                <w:t xml:space="preserve"> </w:t>
              </w:r>
            </w:p>
            <w:p w:rsidR="00E67E4D" w:rsidP="00FF035E" w:rsidRDefault="004555AD"/>
            <w:p w:rsidR="006F6577" w:rsidP="00FF035E" w:rsidRDefault="004555AD">
              <w:r>
                <w:t>2</w:t>
              </w:r>
              <w:r w:rsidRPr="00E67E4D">
                <w:t>.</w:t>
              </w:r>
              <w:r w:rsidRPr="00E67E4D">
                <w:tab/>
              </w:r>
              <w:r w:rsidRPr="006F6577">
                <w:rPr>
                  <w:u w:val="single"/>
                </w:rPr>
                <w:t>Spoedprocedure Wet raadgevend referendum</w:t>
              </w:r>
            </w:p>
            <w:p w:rsidR="006F6577" w:rsidP="00FF035E" w:rsidRDefault="004555AD"/>
            <w:p w:rsidRPr="006F6577" w:rsidR="006F6577" w:rsidP="006F6577" w:rsidRDefault="004555AD">
              <w:pPr>
                <w:rPr>
                  <w:iCs/>
                </w:rPr>
              </w:pPr>
              <w:r w:rsidRPr="006F6577">
                <w:rPr>
                  <w:iCs/>
                </w:rPr>
                <w:t>In artikel VI wordt de mogelijkheid gecreëerd om in het inwerkingtredingsb</w:t>
              </w:r>
              <w:r>
                <w:rPr>
                  <w:iCs/>
                </w:rPr>
                <w:t xml:space="preserve">esluit de spoedprocedure uit artikel 12 van de </w:t>
              </w:r>
              <w:r w:rsidRPr="006F6577">
                <w:rPr>
                  <w:iCs/>
                </w:rPr>
                <w:t xml:space="preserve">Wrr toe te passen. </w:t>
              </w:r>
              <w:r>
                <w:rPr>
                  <w:iCs/>
                </w:rPr>
                <w:t>U</w:t>
              </w:r>
              <w:r w:rsidRPr="006F6577">
                <w:rPr>
                  <w:iCs/>
                </w:rPr>
                <w:t>itgangspunt van de Wrr</w:t>
              </w:r>
              <w:r w:rsidRPr="006F6577">
                <w:rPr>
                  <w:iCs/>
                </w:rPr>
                <w:t xml:space="preserve"> is dat een wet niet in werking treedt voordat een referendum is gehouden of de gelegenheid is geweest om een inleidend verzoek daartoe in te dienen. Daarvan kan slechts worden afgeweken als een wet dermate spoedeisend is dat zij onmiddellijk in werking mo</w:t>
              </w:r>
              <w:r w:rsidRPr="006F6577">
                <w:rPr>
                  <w:iCs/>
                </w:rPr>
                <w:t>et treden. Als de wetgever daarvoor te lichtvaardig zou kiezen, zou dat het karakter van de Wrr als algemene wet aantasten.</w:t>
              </w:r>
              <w:r>
                <w:rPr>
                  <w:rStyle w:val="Voetnootmarkering"/>
                  <w:iCs/>
                </w:rPr>
                <w:footnoteReference w:id="2"/>
              </w:r>
            </w:p>
            <w:p w:rsidR="00BD61E2" w:rsidP="00FF035E" w:rsidRDefault="004555AD">
              <w:pPr>
                <w:rPr>
                  <w:iCs/>
                </w:rPr>
              </w:pPr>
              <w:r w:rsidRPr="006F6577">
                <w:rPr>
                  <w:iCs/>
                </w:rPr>
                <w:lastRenderedPageBreak/>
                <w:t xml:space="preserve">Uit de toelichting blijkt </w:t>
              </w:r>
              <w:r>
                <w:rPr>
                  <w:iCs/>
                </w:rPr>
                <w:t>slechts</w:t>
              </w:r>
              <w:r w:rsidRPr="006F6577">
                <w:rPr>
                  <w:iCs/>
                </w:rPr>
                <w:t xml:space="preserve"> dat de invoering van de variabele uitkering op korte termijn wenselijk wordt geacht. </w:t>
              </w:r>
              <w:r>
                <w:rPr>
                  <w:iCs/>
                </w:rPr>
                <w:t>Een inhoudel</w:t>
              </w:r>
              <w:r>
                <w:rPr>
                  <w:iCs/>
                </w:rPr>
                <w:t>ijke motivering voor de te betrachten spoed bij de inwerkingtreding en daarmee de afwijking van het uitgangspunt van de Wrr ontbreekt.</w:t>
              </w:r>
            </w:p>
            <w:p w:rsidR="00BD61E2" w:rsidP="00FF035E" w:rsidRDefault="004555AD">
              <w:pPr>
                <w:rPr>
                  <w:iCs/>
                </w:rPr>
              </w:pPr>
            </w:p>
            <w:p w:rsidR="0031089B" w:rsidP="00FF035E" w:rsidRDefault="004555AD">
              <w:r w:rsidRPr="006F6577">
                <w:rPr>
                  <w:iCs/>
                </w:rPr>
                <w:t xml:space="preserve">De Afdeling adviseert </w:t>
              </w:r>
              <w:r>
                <w:rPr>
                  <w:iCs/>
                </w:rPr>
                <w:t>dragend te motiveren waarom de spoedprocedure mogelijk wordt gemaakt en bij gebreke van een dergel</w:t>
              </w:r>
              <w:r>
                <w:rPr>
                  <w:iCs/>
                </w:rPr>
                <w:t>ijke motivering van de mogelijkheid om de spoedprocedure te volgen te schrappen</w:t>
              </w:r>
              <w:r w:rsidRPr="006F6577">
                <w:rPr>
                  <w:iCs/>
                </w:rPr>
                <w:t xml:space="preserve">. </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4555AD">
              <w:r>
                <w:t>3.</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CC5396" w:rsidRDefault="004555AD">
              <w:r>
                <w:t>De Afdeling advisering van de Raad van State geeft U in overweging het voorstel van wet t</w:t>
              </w:r>
              <w:r>
                <w: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W12.15.0366</w:t>
              </w:r>
            </w:sdtContent>
          </w:sdt>
          <w:r w:rsidRPr="00831363">
            <w:t>/</w:t>
          </w:r>
          <w:sdt>
            <w:sdtPr>
              <w:alias w:val="Sectie"/>
              <w:tag w:val="Sectie"/>
              <w:id w:val="743463611"/>
              <w:lock w:val="sdtContentLocked"/>
              <w:placeholder>
                <w:docPart w:val="D10883FDE47A4B5184FB25F7A2C50263"/>
              </w:placeholder>
              <w:text/>
            </w:sdtPr>
            <w:sdtEndPr/>
            <w:sdtContent>
              <w:r>
                <w:t>III</w:t>
              </w:r>
            </w:sdtContent>
          </w:sdt>
        </w:p>
        <w:p w:rsidRPr="00831363" w:rsidR="001410FD" w:rsidRDefault="001410FD"/>
        <w:sdt>
          <w:sdtPr>
            <w:alias w:val="VrijeTekst3"/>
            <w:tag w:val="VrijeTekst3"/>
            <w:id w:val="2141764690"/>
            <w:lock w:val="sdtLocked"/>
          </w:sdtPr>
          <w:sdtEndPr/>
          <w:sdtContent>
            <w:p w:rsidRPr="00C80CBD" w:rsidR="00C80CBD" w:rsidP="00C80CBD" w:rsidRDefault="004555AD">
              <w:pPr>
                <w:numPr>
                  <w:ilvl w:val="0"/>
                  <w:numId w:val="1"/>
                </w:numPr>
                <w:rPr>
                  <w:iCs/>
                </w:rPr>
              </w:pPr>
              <w:r w:rsidRPr="00C80CBD">
                <w:rPr>
                  <w:iCs/>
                </w:rPr>
                <w:t>Gelet op aanwijzing 25 van de Aanwijzingen van de regelgeving in de voorgestelde artikelen 52a, zevende lid, van de Pensioenwet en 63a, zevende lid, van de Wet verplichte beroepspensioenregeling “regels” vervangen door: nadere regels.</w:t>
              </w:r>
            </w:p>
          </w:sdtContent>
        </w:sdt>
        <w:p w:rsidR="00C50D4F" w:rsidP="005841EA" w:rsidRDefault="004555AD">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A40" w:rsidRDefault="004555AD" w:rsidP="005B3E03">
      <w:r>
        <w:separator/>
      </w:r>
    </w:p>
  </w:endnote>
  <w:endnote w:type="continuationSeparator" w:id="0">
    <w:p w:rsidR="00A93A40" w:rsidRDefault="004555AD"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A40" w:rsidRDefault="004555AD" w:rsidP="005B3E03">
      <w:r>
        <w:separator/>
      </w:r>
    </w:p>
  </w:footnote>
  <w:footnote w:type="continuationSeparator" w:id="0">
    <w:p w:rsidR="00A93A40" w:rsidRDefault="004555AD" w:rsidP="005B3E03">
      <w:r>
        <w:continuationSeparator/>
      </w:r>
    </w:p>
  </w:footnote>
  <w:footnote w:id="1">
    <w:p w:rsidR="007B25E8" w:rsidRDefault="004555AD" w:rsidP="007B25E8">
      <w:pPr>
        <w:pStyle w:val="Voetnoottekst"/>
      </w:pPr>
      <w:r w:rsidRPr="00784608">
        <w:rPr>
          <w:rStyle w:val="Voetnootmarkering"/>
        </w:rPr>
        <w:footnoteRef/>
      </w:r>
      <w:r>
        <w:tab/>
      </w:r>
      <w:r w:rsidRPr="00784608">
        <w:rPr>
          <w:sz w:val="18"/>
          <w:szCs w:val="18"/>
        </w:rPr>
        <w:t>Advies van de Afdeling advisering van de Raad van State inzake de Wet uitbetaling in pensioeneenheden (</w:t>
      </w:r>
      <w:r w:rsidRPr="00784608">
        <w:rPr>
          <w:rFonts w:cs="Segoe UI"/>
          <w:sz w:val="18"/>
          <w:szCs w:val="18"/>
        </w:rPr>
        <w:t>W12.15.0247/</w:t>
      </w:r>
      <w:r>
        <w:rPr>
          <w:rFonts w:cs="Segoe UI"/>
          <w:sz w:val="18"/>
          <w:szCs w:val="18"/>
        </w:rPr>
        <w:t>I</w:t>
      </w:r>
      <w:r w:rsidRPr="00784608">
        <w:rPr>
          <w:rFonts w:cs="Segoe UI"/>
          <w:sz w:val="18"/>
          <w:szCs w:val="18"/>
        </w:rPr>
        <w:t>II).</w:t>
      </w:r>
    </w:p>
  </w:footnote>
  <w:footnote w:id="2">
    <w:p w:rsidR="006F6577" w:rsidRPr="007B25E8" w:rsidRDefault="004555AD">
      <w:pPr>
        <w:pStyle w:val="Voetnoottekst"/>
        <w:rPr>
          <w:sz w:val="18"/>
          <w:szCs w:val="18"/>
        </w:rPr>
      </w:pPr>
      <w:r w:rsidRPr="007B25E8">
        <w:rPr>
          <w:rStyle w:val="Voetnootmarkering"/>
          <w:sz w:val="18"/>
          <w:szCs w:val="18"/>
        </w:rPr>
        <w:footnoteRef/>
      </w:r>
      <w:r w:rsidRPr="007B25E8">
        <w:rPr>
          <w:sz w:val="18"/>
          <w:szCs w:val="18"/>
        </w:rPr>
        <w:tab/>
        <w:t>Kamerstukken II 2005/06, 30 372, nr. 3, blz. 9-10, 19-21.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4555AD">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555AD">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4555AD"/>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C5396"/>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5B3E03"/>
    <w:pPr>
      <w:tabs>
        <w:tab w:val="left" w:pos="227"/>
      </w:tabs>
      <w:ind w:left="227" w:hanging="227"/>
    </w:pPr>
    <w:rPr>
      <w:sz w:val="16"/>
      <w:szCs w:val="20"/>
    </w:rPr>
  </w:style>
  <w:style w:type="character" w:customStyle="1" w:styleId="VoetnoottekstChar">
    <w:name w:val="Voetnoottekst Char"/>
    <w:link w:val="Voetnoottekst"/>
    <w:uiPriority w:val="99"/>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unhideWhenUsed/>
    <w:rsid w:val="006F657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5B3E03"/>
    <w:pPr>
      <w:tabs>
        <w:tab w:val="left" w:pos="227"/>
      </w:tabs>
      <w:ind w:left="227" w:hanging="227"/>
    </w:pPr>
    <w:rPr>
      <w:sz w:val="16"/>
      <w:szCs w:val="20"/>
    </w:rPr>
  </w:style>
  <w:style w:type="character" w:customStyle="1" w:styleId="VoetnoottekstChar">
    <w:name w:val="Voetnoottekst Char"/>
    <w:link w:val="Voetnoottekst"/>
    <w:uiPriority w:val="99"/>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unhideWhenUsed/>
    <w:rsid w:val="006F65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557</ap:Words>
  <ap:Characters>3297</ap:Characters>
  <ap:DocSecurity>4</ap:DocSecurity>
  <ap:Lines>27</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2015-11-23T13:40:00.0000000Z</dcterms:created>
  <dcterms:modified xsi:type="dcterms:W3CDTF">2015-11-23T13:40:00.0000000Z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0x01010050515F7D1F6B3249BE804EEBD3639F53</vt:lpwstr>
  </property>
</Properties>
</file>