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5587A" w:rsidR="007B1ADB" w:rsidRDefault="009D3228" w14:paraId="2C83EDD6" w14:textId="44A04193">
      <w:pPr>
        <w:rPr>
          <w:rFonts w:ascii="Times New Roman" w:hAnsi="Times New Roman" w:cs="Times New Roman"/>
          <w:b/>
          <w:lang w:val="nl-NL"/>
        </w:rPr>
      </w:pPr>
      <w:proofErr w:type="spellStart"/>
      <w:r w:rsidRPr="00B5587A">
        <w:rPr>
          <w:rFonts w:ascii="Times New Roman" w:hAnsi="Times New Roman" w:cs="Times New Roman"/>
          <w:b/>
          <w:lang w:val="nl-NL"/>
        </w:rPr>
        <w:t>Position</w:t>
      </w:r>
      <w:proofErr w:type="spellEnd"/>
      <w:r w:rsidRPr="00B5587A">
        <w:rPr>
          <w:rFonts w:ascii="Times New Roman" w:hAnsi="Times New Roman" w:cs="Times New Roman"/>
          <w:b/>
          <w:lang w:val="nl-NL"/>
        </w:rPr>
        <w:t xml:space="preserve"> Paper</w:t>
      </w:r>
      <w:r w:rsidRPr="00B5587A" w:rsidR="007B1ADB">
        <w:rPr>
          <w:rFonts w:ascii="Times New Roman" w:hAnsi="Times New Roman" w:cs="Times New Roman"/>
          <w:b/>
          <w:lang w:val="nl-NL"/>
        </w:rPr>
        <w:t xml:space="preserve"> </w:t>
      </w:r>
      <w:r w:rsidRPr="00B5587A" w:rsidR="00814E8B">
        <w:rPr>
          <w:rFonts w:ascii="Times New Roman" w:hAnsi="Times New Roman" w:cs="Times New Roman"/>
          <w:b/>
          <w:lang w:val="nl-NL"/>
        </w:rPr>
        <w:t>t.b.v.</w:t>
      </w:r>
      <w:r w:rsidRPr="00B5587A" w:rsidR="003921B4">
        <w:rPr>
          <w:rFonts w:ascii="Times New Roman" w:hAnsi="Times New Roman" w:cs="Times New Roman"/>
          <w:b/>
          <w:lang w:val="nl-NL"/>
        </w:rPr>
        <w:t xml:space="preserve"> Rondetafelgesprek “Toekomst van het Pensioenstelsel” </w:t>
      </w:r>
      <w:r w:rsidRPr="00B5587A" w:rsidR="00814E8B">
        <w:rPr>
          <w:rFonts w:ascii="Times New Roman" w:hAnsi="Times New Roman" w:cs="Times New Roman"/>
          <w:b/>
          <w:lang w:val="nl-NL"/>
        </w:rPr>
        <w:t>(thema: keuzevrijheid), Vaste Kamercommissie SZW, Tweede Kamer der Staten-Generaal</w:t>
      </w:r>
      <w:r w:rsidR="00557865">
        <w:rPr>
          <w:rStyle w:val="FootnoteReference"/>
          <w:rFonts w:ascii="Times New Roman" w:hAnsi="Times New Roman" w:cs="Times New Roman"/>
          <w:b/>
          <w:lang w:val="nl-NL"/>
        </w:rPr>
        <w:footnoteReference w:id="1"/>
      </w:r>
    </w:p>
    <w:p w:rsidRPr="00B5587A" w:rsidR="00814E8B" w:rsidRDefault="00814E8B" w14:paraId="50345C80" w14:textId="77777777">
      <w:pPr>
        <w:rPr>
          <w:rFonts w:ascii="Times New Roman" w:hAnsi="Times New Roman" w:cs="Times New Roman"/>
          <w:b/>
          <w:lang w:val="nl-NL"/>
        </w:rPr>
      </w:pPr>
    </w:p>
    <w:p w:rsidRPr="00B5587A" w:rsidR="00AC3003" w:rsidRDefault="007B1ADB" w14:paraId="005BF78B" w14:textId="5C47E52F">
      <w:pPr>
        <w:rPr>
          <w:rFonts w:ascii="Times New Roman" w:hAnsi="Times New Roman" w:cs="Times New Roman"/>
          <w:b/>
          <w:lang w:val="nl-NL"/>
        </w:rPr>
      </w:pPr>
      <w:r w:rsidRPr="00B5587A">
        <w:rPr>
          <w:rFonts w:ascii="Times New Roman" w:hAnsi="Times New Roman" w:cs="Times New Roman"/>
          <w:b/>
          <w:lang w:val="nl-NL"/>
        </w:rPr>
        <w:t>Dr.</w:t>
      </w:r>
      <w:r w:rsidRPr="00B5587A" w:rsidR="009D3228">
        <w:rPr>
          <w:rFonts w:ascii="Times New Roman" w:hAnsi="Times New Roman" w:cs="Times New Roman"/>
          <w:b/>
          <w:lang w:val="nl-NL"/>
        </w:rPr>
        <w:t xml:space="preserve"> Natascha van der Zwan</w:t>
      </w:r>
      <w:r w:rsidRPr="00B5587A" w:rsidR="00CC3958">
        <w:rPr>
          <w:rFonts w:ascii="Times New Roman" w:hAnsi="Times New Roman" w:cs="Times New Roman"/>
          <w:b/>
          <w:lang w:val="nl-NL"/>
        </w:rPr>
        <w:t xml:space="preserve"> (</w:t>
      </w:r>
      <w:r w:rsidRPr="00B5587A">
        <w:rPr>
          <w:rFonts w:ascii="Times New Roman" w:hAnsi="Times New Roman" w:cs="Times New Roman"/>
          <w:b/>
          <w:lang w:val="nl-NL"/>
        </w:rPr>
        <w:t xml:space="preserve">Instituut Bestuurskunde, </w:t>
      </w:r>
      <w:r w:rsidRPr="00B5587A" w:rsidR="00CC3958">
        <w:rPr>
          <w:rFonts w:ascii="Times New Roman" w:hAnsi="Times New Roman" w:cs="Times New Roman"/>
          <w:b/>
          <w:lang w:val="nl-NL"/>
        </w:rPr>
        <w:t>Universiteit Leiden)</w:t>
      </w:r>
    </w:p>
    <w:p w:rsidRPr="00B5587A" w:rsidR="009D3228" w:rsidRDefault="009D3228" w14:paraId="678BED64" w14:textId="77777777">
      <w:pPr>
        <w:rPr>
          <w:rFonts w:ascii="Times New Roman" w:hAnsi="Times New Roman" w:cs="Times New Roman"/>
          <w:u w:val="single"/>
          <w:lang w:val="nl-NL"/>
        </w:rPr>
      </w:pPr>
    </w:p>
    <w:p w:rsidRPr="00B5587A" w:rsidR="007B1ADB" w:rsidRDefault="007B1ADB" w14:paraId="4CADD6AC" w14:textId="5D070A27">
      <w:pPr>
        <w:rPr>
          <w:rFonts w:ascii="Times New Roman" w:hAnsi="Times New Roman" w:cs="Times New Roman"/>
          <w:u w:val="single"/>
          <w:lang w:val="nl-NL"/>
        </w:rPr>
      </w:pPr>
      <w:r w:rsidRPr="00B5587A">
        <w:rPr>
          <w:rFonts w:ascii="Times New Roman" w:hAnsi="Times New Roman" w:cs="Times New Roman"/>
          <w:u w:val="single"/>
          <w:lang w:val="nl-NL"/>
        </w:rPr>
        <w:t xml:space="preserve">Inleiding </w:t>
      </w:r>
    </w:p>
    <w:p w:rsidRPr="00A44A5A" w:rsidR="003921B4" w:rsidP="003F7639" w:rsidRDefault="00F23FDE" w14:paraId="793BD795" w14:textId="098723EC">
      <w:pPr>
        <w:jc w:val="both"/>
        <w:rPr>
          <w:rFonts w:ascii="Times New Roman" w:hAnsi="Times New Roman" w:cs="Times New Roman"/>
          <w:lang w:val="nl-NL"/>
        </w:rPr>
      </w:pPr>
      <w:r w:rsidRPr="00A44A5A">
        <w:rPr>
          <w:rFonts w:ascii="Times New Roman" w:hAnsi="Times New Roman" w:cs="Times New Roman"/>
          <w:lang w:val="nl-NL"/>
        </w:rPr>
        <w:t xml:space="preserve">In toenemende mate wordt keuzevrijheid geopperd als alternatief voor verplichte deelname aan arbeidsvoorwaardelijke pensioenregelingen en het gebrek aan individuele invloed over de </w:t>
      </w:r>
      <w:r w:rsidR="00E66D79">
        <w:rPr>
          <w:rFonts w:ascii="Times New Roman" w:hAnsi="Times New Roman" w:cs="Times New Roman"/>
          <w:lang w:val="nl-NL"/>
        </w:rPr>
        <w:t>inhoud</w:t>
      </w:r>
      <w:r w:rsidRPr="00A44A5A">
        <w:rPr>
          <w:rFonts w:ascii="Times New Roman" w:hAnsi="Times New Roman" w:cs="Times New Roman"/>
          <w:lang w:val="nl-NL"/>
        </w:rPr>
        <w:t xml:space="preserve"> van de pensioenregeling. </w:t>
      </w:r>
      <w:r w:rsidRPr="00A44A5A" w:rsidR="00F71D77">
        <w:rPr>
          <w:rFonts w:ascii="Times New Roman" w:hAnsi="Times New Roman" w:cs="Times New Roman"/>
          <w:lang w:val="nl-NL"/>
        </w:rPr>
        <w:t xml:space="preserve">Toch moeten er vraagtekens gezet worden bij de wenselijkheid van de uitbreiding van keuzemogelijkheden binnen de tweede pijler. Ervaringen met </w:t>
      </w:r>
      <w:r w:rsidR="00A406E3">
        <w:rPr>
          <w:rFonts w:ascii="Times New Roman" w:hAnsi="Times New Roman" w:cs="Times New Roman"/>
          <w:lang w:val="nl-NL"/>
        </w:rPr>
        <w:t xml:space="preserve">bestaande vormen van </w:t>
      </w:r>
      <w:r w:rsidRPr="00A44A5A" w:rsidR="00F71D77">
        <w:rPr>
          <w:rFonts w:ascii="Times New Roman" w:hAnsi="Times New Roman" w:cs="Times New Roman"/>
          <w:lang w:val="nl-NL"/>
        </w:rPr>
        <w:t xml:space="preserve">keuzevrijheid </w:t>
      </w:r>
      <w:r w:rsidR="00A406E3">
        <w:rPr>
          <w:rFonts w:ascii="Times New Roman" w:hAnsi="Times New Roman" w:cs="Times New Roman"/>
          <w:lang w:val="nl-NL"/>
        </w:rPr>
        <w:t>in</w:t>
      </w:r>
      <w:r w:rsidRPr="00A44A5A" w:rsidR="00F71D77">
        <w:rPr>
          <w:rFonts w:ascii="Times New Roman" w:hAnsi="Times New Roman" w:cs="Times New Roman"/>
          <w:lang w:val="nl-NL"/>
        </w:rPr>
        <w:t xml:space="preserve"> </w:t>
      </w:r>
      <w:r w:rsidR="00A406E3">
        <w:rPr>
          <w:rFonts w:ascii="Times New Roman" w:hAnsi="Times New Roman" w:cs="Times New Roman"/>
          <w:lang w:val="nl-NL"/>
        </w:rPr>
        <w:t xml:space="preserve">Nederland en het </w:t>
      </w:r>
      <w:r w:rsidRPr="00A44A5A" w:rsidR="00F71D77">
        <w:rPr>
          <w:rFonts w:ascii="Times New Roman" w:hAnsi="Times New Roman" w:cs="Times New Roman"/>
          <w:lang w:val="nl-NL"/>
        </w:rPr>
        <w:t>buitenland</w:t>
      </w:r>
      <w:r w:rsidR="00A406E3">
        <w:rPr>
          <w:rFonts w:ascii="Times New Roman" w:hAnsi="Times New Roman" w:cs="Times New Roman"/>
          <w:lang w:val="nl-NL"/>
        </w:rPr>
        <w:t xml:space="preserve"> </w:t>
      </w:r>
      <w:r w:rsidRPr="00A44A5A" w:rsidR="008D46F3">
        <w:rPr>
          <w:rFonts w:ascii="Times New Roman" w:hAnsi="Times New Roman" w:cs="Times New Roman"/>
          <w:lang w:val="nl-NL"/>
        </w:rPr>
        <w:t>geven aan dat burgers weinig gebruik maken van keuzemogelijkheden of verkeerde keuzes maken</w:t>
      </w:r>
      <w:r w:rsidRPr="00A44A5A" w:rsidR="00F71D77">
        <w:rPr>
          <w:rFonts w:ascii="Times New Roman" w:hAnsi="Times New Roman" w:cs="Times New Roman"/>
          <w:lang w:val="nl-NL"/>
        </w:rPr>
        <w:t>. Ook v</w:t>
      </w:r>
      <w:r w:rsidRPr="00A44A5A" w:rsidR="00B5587A">
        <w:rPr>
          <w:rFonts w:ascii="Times New Roman" w:hAnsi="Times New Roman" w:cs="Times New Roman"/>
          <w:lang w:val="nl-NL"/>
        </w:rPr>
        <w:t xml:space="preserve">oor aanverwante problemen, zoals onzekerheid over de hoogte van het pensioen en het </w:t>
      </w:r>
      <w:r w:rsidRPr="00A44A5A" w:rsidR="00F71D77">
        <w:rPr>
          <w:rFonts w:ascii="Times New Roman" w:hAnsi="Times New Roman" w:cs="Times New Roman"/>
          <w:lang w:val="nl-NL"/>
        </w:rPr>
        <w:t>lage</w:t>
      </w:r>
      <w:r w:rsidRPr="00A44A5A" w:rsidR="00B5587A">
        <w:rPr>
          <w:rFonts w:ascii="Times New Roman" w:hAnsi="Times New Roman" w:cs="Times New Roman"/>
          <w:lang w:val="nl-NL"/>
        </w:rPr>
        <w:t xml:space="preserve"> pensioenbewustzijn van de gemiddelde deelnemer, zal keuzevrijheid vrijwel zeker geen oplossing bieden. Daarnaast kan meer keuzevrijheid leiden tot een verhoging van de uitvoeringskosten en een toename van ongelijkheid tussen verschillende groepen deelnemers. </w:t>
      </w:r>
      <w:r w:rsidRPr="00A44A5A" w:rsidR="003921B4">
        <w:rPr>
          <w:rFonts w:ascii="Times New Roman" w:hAnsi="Times New Roman" w:cs="Times New Roman"/>
          <w:lang w:val="nl-NL"/>
        </w:rPr>
        <w:t xml:space="preserve">Keuzevrijheid is </w:t>
      </w:r>
      <w:r w:rsidRPr="00A44A5A" w:rsidR="00B5587A">
        <w:rPr>
          <w:rFonts w:ascii="Times New Roman" w:hAnsi="Times New Roman" w:cs="Times New Roman"/>
          <w:lang w:val="nl-NL"/>
        </w:rPr>
        <w:t>daarom</w:t>
      </w:r>
      <w:r w:rsidRPr="00A44A5A" w:rsidR="003921B4">
        <w:rPr>
          <w:rFonts w:ascii="Times New Roman" w:hAnsi="Times New Roman" w:cs="Times New Roman"/>
          <w:lang w:val="nl-NL"/>
        </w:rPr>
        <w:t xml:space="preserve"> geen </w:t>
      </w:r>
      <w:proofErr w:type="spellStart"/>
      <w:r w:rsidRPr="00A44A5A" w:rsidR="003921B4">
        <w:rPr>
          <w:rFonts w:ascii="Times New Roman" w:hAnsi="Times New Roman" w:cs="Times New Roman"/>
          <w:lang w:val="nl-NL"/>
        </w:rPr>
        <w:t>panacea</w:t>
      </w:r>
      <w:proofErr w:type="spellEnd"/>
      <w:r w:rsidRPr="00A44A5A" w:rsidR="003921B4">
        <w:rPr>
          <w:rFonts w:ascii="Times New Roman" w:hAnsi="Times New Roman" w:cs="Times New Roman"/>
          <w:lang w:val="nl-NL"/>
        </w:rPr>
        <w:t xml:space="preserve"> voor de problemen waarmee het </w:t>
      </w:r>
      <w:r w:rsidRPr="00A44A5A" w:rsidR="00F71D77">
        <w:rPr>
          <w:rFonts w:ascii="Times New Roman" w:hAnsi="Times New Roman" w:cs="Times New Roman"/>
          <w:lang w:val="nl-NL"/>
        </w:rPr>
        <w:t>Nederlandse pensioen</w:t>
      </w:r>
      <w:r w:rsidRPr="00A44A5A" w:rsidR="003921B4">
        <w:rPr>
          <w:rFonts w:ascii="Times New Roman" w:hAnsi="Times New Roman" w:cs="Times New Roman"/>
          <w:lang w:val="nl-NL"/>
        </w:rPr>
        <w:t xml:space="preserve">stelsel op dit moment mee </w:t>
      </w:r>
      <w:r w:rsidRPr="00A44A5A" w:rsidR="003F7639">
        <w:rPr>
          <w:rFonts w:ascii="Times New Roman" w:hAnsi="Times New Roman" w:cs="Times New Roman"/>
          <w:lang w:val="nl-NL"/>
        </w:rPr>
        <w:t xml:space="preserve">wordt </w:t>
      </w:r>
      <w:r w:rsidRPr="00A44A5A" w:rsidR="003921B4">
        <w:rPr>
          <w:rFonts w:ascii="Times New Roman" w:hAnsi="Times New Roman" w:cs="Times New Roman"/>
          <w:lang w:val="nl-NL"/>
        </w:rPr>
        <w:t>geconfronteerd. Veel waarschijnlijker is dat</w:t>
      </w:r>
      <w:r w:rsidRPr="00A44A5A" w:rsidR="003F7639">
        <w:rPr>
          <w:rFonts w:ascii="Times New Roman" w:hAnsi="Times New Roman" w:cs="Times New Roman"/>
          <w:lang w:val="nl-NL"/>
        </w:rPr>
        <w:t xml:space="preserve"> de uitbreiding van </w:t>
      </w:r>
      <w:r w:rsidRPr="00A44A5A" w:rsidR="003921B4">
        <w:rPr>
          <w:rFonts w:ascii="Times New Roman" w:hAnsi="Times New Roman" w:cs="Times New Roman"/>
          <w:lang w:val="nl-NL"/>
        </w:rPr>
        <w:t xml:space="preserve">keuzevrijheid </w:t>
      </w:r>
      <w:r w:rsidRPr="00A44A5A" w:rsidR="003F7639">
        <w:rPr>
          <w:rFonts w:ascii="Times New Roman" w:hAnsi="Times New Roman" w:cs="Times New Roman"/>
          <w:lang w:val="nl-NL"/>
        </w:rPr>
        <w:t xml:space="preserve">binnen </w:t>
      </w:r>
      <w:r w:rsidRPr="00A44A5A" w:rsidR="00DD1ABF">
        <w:rPr>
          <w:rFonts w:ascii="Times New Roman" w:hAnsi="Times New Roman" w:cs="Times New Roman"/>
          <w:lang w:val="nl-NL"/>
        </w:rPr>
        <w:t>de</w:t>
      </w:r>
      <w:r w:rsidRPr="00A44A5A" w:rsidR="003F7639">
        <w:rPr>
          <w:rFonts w:ascii="Times New Roman" w:hAnsi="Times New Roman" w:cs="Times New Roman"/>
          <w:lang w:val="nl-NL"/>
        </w:rPr>
        <w:t xml:space="preserve"> </w:t>
      </w:r>
      <w:r w:rsidRPr="00A44A5A" w:rsidR="00DD1ABF">
        <w:rPr>
          <w:rFonts w:ascii="Times New Roman" w:hAnsi="Times New Roman" w:cs="Times New Roman"/>
          <w:lang w:val="nl-NL"/>
        </w:rPr>
        <w:t>tweede pijler</w:t>
      </w:r>
      <w:r w:rsidRPr="00A44A5A" w:rsidR="003F7639">
        <w:rPr>
          <w:rFonts w:ascii="Times New Roman" w:hAnsi="Times New Roman" w:cs="Times New Roman"/>
          <w:lang w:val="nl-NL"/>
        </w:rPr>
        <w:t xml:space="preserve"> deze problemen juist </w:t>
      </w:r>
      <w:proofErr w:type="spellStart"/>
      <w:r w:rsidRPr="00A44A5A" w:rsidR="003F7639">
        <w:rPr>
          <w:rFonts w:ascii="Times New Roman" w:hAnsi="Times New Roman" w:cs="Times New Roman"/>
          <w:lang w:val="nl-NL"/>
        </w:rPr>
        <w:t>externaliseert</w:t>
      </w:r>
      <w:proofErr w:type="spellEnd"/>
      <w:r w:rsidRPr="00A44A5A" w:rsidR="003F7639">
        <w:rPr>
          <w:rFonts w:ascii="Times New Roman" w:hAnsi="Times New Roman" w:cs="Times New Roman"/>
          <w:lang w:val="nl-NL"/>
        </w:rPr>
        <w:t xml:space="preserve"> door de pensioenvoorziening in </w:t>
      </w:r>
      <w:r w:rsidRPr="00A44A5A" w:rsidR="00DD1ABF">
        <w:rPr>
          <w:rFonts w:ascii="Times New Roman" w:hAnsi="Times New Roman" w:cs="Times New Roman"/>
          <w:lang w:val="nl-NL"/>
        </w:rPr>
        <w:t>nog grotere</w:t>
      </w:r>
      <w:r w:rsidRPr="00A44A5A" w:rsidR="003F7639">
        <w:rPr>
          <w:rFonts w:ascii="Times New Roman" w:hAnsi="Times New Roman" w:cs="Times New Roman"/>
          <w:lang w:val="nl-NL"/>
        </w:rPr>
        <w:t xml:space="preserve"> mate de verantwoordelijkheid van de individuele deelnemer te maken. </w:t>
      </w:r>
    </w:p>
    <w:p w:rsidRPr="00B5587A" w:rsidR="00557865" w:rsidRDefault="00557865" w14:paraId="12A52256" w14:textId="77777777">
      <w:pPr>
        <w:rPr>
          <w:rFonts w:ascii="Times New Roman" w:hAnsi="Times New Roman" w:cs="Times New Roman"/>
          <w:lang w:val="nl-NL"/>
        </w:rPr>
      </w:pPr>
    </w:p>
    <w:p w:rsidRPr="00B5587A" w:rsidR="008A1F21" w:rsidRDefault="003921B4" w14:paraId="404C3E04" w14:textId="1D904231">
      <w:pPr>
        <w:rPr>
          <w:rFonts w:ascii="Times New Roman" w:hAnsi="Times New Roman" w:cs="Times New Roman"/>
          <w:u w:val="single"/>
          <w:lang w:val="nl-NL"/>
        </w:rPr>
      </w:pPr>
      <w:r w:rsidRPr="00B5587A">
        <w:rPr>
          <w:rFonts w:ascii="Times New Roman" w:hAnsi="Times New Roman" w:cs="Times New Roman"/>
          <w:u w:val="single"/>
          <w:lang w:val="nl-NL"/>
        </w:rPr>
        <w:t xml:space="preserve">Keuzevrijheid </w:t>
      </w:r>
      <w:r w:rsidRPr="00B5587A" w:rsidR="008A1F21">
        <w:rPr>
          <w:rFonts w:ascii="Times New Roman" w:hAnsi="Times New Roman" w:cs="Times New Roman"/>
          <w:u w:val="single"/>
          <w:lang w:val="nl-NL"/>
        </w:rPr>
        <w:t xml:space="preserve">in </w:t>
      </w:r>
      <w:r w:rsidRPr="00B5587A" w:rsidR="00725E1A">
        <w:rPr>
          <w:rFonts w:ascii="Times New Roman" w:hAnsi="Times New Roman" w:cs="Times New Roman"/>
          <w:u w:val="single"/>
          <w:lang w:val="nl-NL"/>
        </w:rPr>
        <w:t>breder</w:t>
      </w:r>
      <w:r w:rsidRPr="00B5587A" w:rsidR="00CC3958">
        <w:rPr>
          <w:rFonts w:ascii="Times New Roman" w:hAnsi="Times New Roman" w:cs="Times New Roman"/>
          <w:u w:val="single"/>
          <w:lang w:val="nl-NL"/>
        </w:rPr>
        <w:t xml:space="preserve"> </w:t>
      </w:r>
      <w:r w:rsidRPr="00B5587A" w:rsidR="008A1F21">
        <w:rPr>
          <w:rFonts w:ascii="Times New Roman" w:hAnsi="Times New Roman" w:cs="Times New Roman"/>
          <w:u w:val="single"/>
          <w:lang w:val="nl-NL"/>
        </w:rPr>
        <w:t>perspectief</w:t>
      </w:r>
    </w:p>
    <w:p w:rsidRPr="00B5587A" w:rsidR="003F7639" w:rsidP="003F7639" w:rsidRDefault="00F553F7" w14:paraId="72D5D6FB" w14:textId="6FCD7C01">
      <w:pPr>
        <w:jc w:val="both"/>
        <w:rPr>
          <w:rFonts w:ascii="Times New Roman" w:hAnsi="Times New Roman" w:cs="Times New Roman"/>
          <w:lang w:val="nl-NL"/>
        </w:rPr>
      </w:pPr>
      <w:r w:rsidRPr="00B5587A">
        <w:rPr>
          <w:rFonts w:ascii="Times New Roman" w:hAnsi="Times New Roman" w:cs="Times New Roman"/>
          <w:lang w:val="nl-NL"/>
        </w:rPr>
        <w:t>In</w:t>
      </w:r>
      <w:r w:rsidRPr="00B5587A" w:rsidR="003F7639">
        <w:rPr>
          <w:rFonts w:ascii="Times New Roman" w:hAnsi="Times New Roman" w:cs="Times New Roman"/>
          <w:lang w:val="nl-NL"/>
        </w:rPr>
        <w:t xml:space="preserve"> Nederland is het </w:t>
      </w:r>
      <w:r w:rsidR="00EA2BF9">
        <w:rPr>
          <w:rFonts w:ascii="Times New Roman" w:hAnsi="Times New Roman" w:cs="Times New Roman"/>
          <w:lang w:val="nl-NL"/>
        </w:rPr>
        <w:t xml:space="preserve">politieke </w:t>
      </w:r>
      <w:r w:rsidRPr="00B5587A" w:rsidR="003F7639">
        <w:rPr>
          <w:rFonts w:ascii="Times New Roman" w:hAnsi="Times New Roman" w:cs="Times New Roman"/>
          <w:lang w:val="nl-NL"/>
        </w:rPr>
        <w:t>debat rondom keuzevrijheid</w:t>
      </w:r>
      <w:r w:rsidR="00EA2BF9">
        <w:rPr>
          <w:rFonts w:ascii="Times New Roman" w:hAnsi="Times New Roman" w:cs="Times New Roman"/>
          <w:lang w:val="nl-NL"/>
        </w:rPr>
        <w:t xml:space="preserve"> en pensioen</w:t>
      </w:r>
      <w:r w:rsidRPr="00B5587A" w:rsidR="003F7639">
        <w:rPr>
          <w:rFonts w:ascii="Times New Roman" w:hAnsi="Times New Roman" w:cs="Times New Roman"/>
          <w:lang w:val="nl-NL"/>
        </w:rPr>
        <w:t xml:space="preserve"> al langere tijd gaande</w:t>
      </w:r>
      <w:r w:rsidRPr="00B5587A" w:rsidR="00B63DA0">
        <w:rPr>
          <w:rFonts w:ascii="Times New Roman" w:hAnsi="Times New Roman" w:cs="Times New Roman"/>
          <w:lang w:val="nl-NL"/>
        </w:rPr>
        <w:t>. Medio</w:t>
      </w:r>
      <w:r w:rsidRPr="00B5587A" w:rsidR="003F7639">
        <w:rPr>
          <w:rFonts w:ascii="Times New Roman" w:hAnsi="Times New Roman" w:cs="Times New Roman"/>
          <w:lang w:val="nl-NL"/>
        </w:rPr>
        <w:t xml:space="preserve"> jaren ’90 stond </w:t>
      </w:r>
      <w:r w:rsidR="00EA2BF9">
        <w:rPr>
          <w:rFonts w:ascii="Times New Roman" w:hAnsi="Times New Roman" w:cs="Times New Roman"/>
          <w:lang w:val="nl-NL"/>
        </w:rPr>
        <w:t>dit debat</w:t>
      </w:r>
      <w:r w:rsidRPr="00B5587A" w:rsidR="003F7639">
        <w:rPr>
          <w:rFonts w:ascii="Times New Roman" w:hAnsi="Times New Roman" w:cs="Times New Roman"/>
          <w:lang w:val="nl-NL"/>
        </w:rPr>
        <w:t xml:space="preserve"> met name in het teken van de W</w:t>
      </w:r>
      <w:r w:rsidR="00EA2BF9">
        <w:rPr>
          <w:rFonts w:ascii="Times New Roman" w:hAnsi="Times New Roman" w:cs="Times New Roman"/>
          <w:lang w:val="nl-NL"/>
        </w:rPr>
        <w:t xml:space="preserve">et </w:t>
      </w:r>
      <w:r w:rsidRPr="00B5587A" w:rsidR="003F7639">
        <w:rPr>
          <w:rFonts w:ascii="Times New Roman" w:hAnsi="Times New Roman" w:cs="Times New Roman"/>
          <w:lang w:val="nl-NL"/>
        </w:rPr>
        <w:t>v</w:t>
      </w:r>
      <w:r w:rsidR="00EA2BF9">
        <w:rPr>
          <w:rFonts w:ascii="Times New Roman" w:hAnsi="Times New Roman" w:cs="Times New Roman"/>
          <w:lang w:val="nl-NL"/>
        </w:rPr>
        <w:t xml:space="preserve">erplichte deelneming in een </w:t>
      </w:r>
      <w:r w:rsidRPr="00B5587A" w:rsidR="003F7639">
        <w:rPr>
          <w:rFonts w:ascii="Times New Roman" w:hAnsi="Times New Roman" w:cs="Times New Roman"/>
          <w:lang w:val="nl-NL"/>
        </w:rPr>
        <w:t>b</w:t>
      </w:r>
      <w:r w:rsidR="00EA2BF9">
        <w:rPr>
          <w:rFonts w:ascii="Times New Roman" w:hAnsi="Times New Roman" w:cs="Times New Roman"/>
          <w:lang w:val="nl-NL"/>
        </w:rPr>
        <w:t>edrijfstakpensioenfonds (</w:t>
      </w:r>
      <w:proofErr w:type="spellStart"/>
      <w:r w:rsidR="00EA2BF9">
        <w:rPr>
          <w:rFonts w:ascii="Times New Roman" w:hAnsi="Times New Roman" w:cs="Times New Roman"/>
          <w:lang w:val="nl-NL"/>
        </w:rPr>
        <w:t>Wvb</w:t>
      </w:r>
      <w:proofErr w:type="spellEnd"/>
      <w:r w:rsidR="00EA2BF9">
        <w:rPr>
          <w:rFonts w:ascii="Times New Roman" w:hAnsi="Times New Roman" w:cs="Times New Roman"/>
          <w:lang w:val="nl-NL"/>
        </w:rPr>
        <w:t>)</w:t>
      </w:r>
      <w:r w:rsidRPr="00B5587A" w:rsidR="003F7639">
        <w:rPr>
          <w:rFonts w:ascii="Times New Roman" w:hAnsi="Times New Roman" w:cs="Times New Roman"/>
          <w:lang w:val="nl-NL"/>
        </w:rPr>
        <w:t xml:space="preserve">. Voorstanders van keuzevrijheid, waaronder een aantal liberale bewindslieden en de verzekeringsindustrie, wilden afschaffing van de verplichtstelling voor werkgevers en daarmee vrije concurrentie op de pensioenmarkt. </w:t>
      </w:r>
      <w:r w:rsidRPr="00B5587A" w:rsidR="00B63DA0">
        <w:rPr>
          <w:rFonts w:ascii="Times New Roman" w:hAnsi="Times New Roman" w:cs="Times New Roman"/>
          <w:lang w:val="nl-NL"/>
        </w:rPr>
        <w:t>Sinds de eeuwwisseling wordt keuzevrijheid met name besproken ten aanzien van de flexibilisering van arbeidsvoorwaarden. Aandacht voor deze vorm van keuzevrijheid lijkt niet al</w:t>
      </w:r>
      <w:r w:rsidRPr="00B5587A" w:rsidR="003E37CB">
        <w:rPr>
          <w:rFonts w:ascii="Times New Roman" w:hAnsi="Times New Roman" w:cs="Times New Roman"/>
          <w:lang w:val="nl-NL"/>
        </w:rPr>
        <w:t xml:space="preserve">leen ingegeven door de opkomst </w:t>
      </w:r>
      <w:r w:rsidRPr="00B5587A" w:rsidR="00B63DA0">
        <w:rPr>
          <w:rFonts w:ascii="Times New Roman" w:hAnsi="Times New Roman" w:cs="Times New Roman"/>
          <w:lang w:val="nl-NL"/>
        </w:rPr>
        <w:t>van de casco-cao, maar ook door politieke beslissingen zoals het afschaffen van vut, prepensioen en levensloopregeling</w:t>
      </w:r>
      <w:r w:rsidRPr="00B5587A" w:rsidR="003E37CB">
        <w:rPr>
          <w:rFonts w:ascii="Times New Roman" w:hAnsi="Times New Roman" w:cs="Times New Roman"/>
          <w:lang w:val="nl-NL"/>
        </w:rPr>
        <w:t xml:space="preserve"> of </w:t>
      </w:r>
      <w:r w:rsidRPr="00B5587A" w:rsidR="00E96F24">
        <w:rPr>
          <w:rFonts w:ascii="Times New Roman" w:hAnsi="Times New Roman" w:cs="Times New Roman"/>
          <w:lang w:val="nl-NL"/>
        </w:rPr>
        <w:t>plannen om</w:t>
      </w:r>
      <w:r w:rsidRPr="00B5587A" w:rsidR="003E37CB">
        <w:rPr>
          <w:rFonts w:ascii="Times New Roman" w:hAnsi="Times New Roman" w:cs="Times New Roman"/>
          <w:lang w:val="nl-NL"/>
        </w:rPr>
        <w:t xml:space="preserve"> de AOW-leeftijd</w:t>
      </w:r>
      <w:r w:rsidRPr="00B5587A" w:rsidR="00E96F24">
        <w:rPr>
          <w:rFonts w:ascii="Times New Roman" w:hAnsi="Times New Roman" w:cs="Times New Roman"/>
          <w:lang w:val="nl-NL"/>
        </w:rPr>
        <w:t xml:space="preserve"> te verhogen</w:t>
      </w:r>
      <w:r w:rsidR="00EA2BF9">
        <w:rPr>
          <w:rFonts w:ascii="Times New Roman" w:hAnsi="Times New Roman" w:cs="Times New Roman"/>
          <w:lang w:val="nl-NL"/>
        </w:rPr>
        <w:t>. In deze context wor</w:t>
      </w:r>
      <w:r w:rsidRPr="00B5587A" w:rsidR="00B63DA0">
        <w:rPr>
          <w:rFonts w:ascii="Times New Roman" w:hAnsi="Times New Roman" w:cs="Times New Roman"/>
          <w:lang w:val="nl-NL"/>
        </w:rPr>
        <w:t>d</w:t>
      </w:r>
      <w:r w:rsidR="00EA2BF9">
        <w:rPr>
          <w:rFonts w:ascii="Times New Roman" w:hAnsi="Times New Roman" w:cs="Times New Roman"/>
          <w:lang w:val="nl-NL"/>
        </w:rPr>
        <w:t>t</w:t>
      </w:r>
      <w:r w:rsidRPr="00B5587A" w:rsidR="00B63DA0">
        <w:rPr>
          <w:rFonts w:ascii="Times New Roman" w:hAnsi="Times New Roman" w:cs="Times New Roman"/>
          <w:lang w:val="nl-NL"/>
        </w:rPr>
        <w:t xml:space="preserve"> keuzevrijheid vooral </w:t>
      </w:r>
      <w:proofErr w:type="spellStart"/>
      <w:r w:rsidRPr="00B5587A" w:rsidR="00B63DA0">
        <w:rPr>
          <w:rFonts w:ascii="Times New Roman" w:hAnsi="Times New Roman" w:cs="Times New Roman"/>
          <w:lang w:val="nl-NL"/>
        </w:rPr>
        <w:t>geconceptualiseerd</w:t>
      </w:r>
      <w:proofErr w:type="spellEnd"/>
      <w:r w:rsidRPr="00B5587A" w:rsidR="00B63DA0">
        <w:rPr>
          <w:rFonts w:ascii="Times New Roman" w:hAnsi="Times New Roman" w:cs="Times New Roman"/>
          <w:lang w:val="nl-NL"/>
        </w:rPr>
        <w:t xml:space="preserve"> als een middel voor de individuele werknemer om aangrijpende veranderingen binnen het pensioenstelsel op te vangen en om de pensioenvoorziening aan te passen aan de persoonlijke levensbehoeften</w:t>
      </w:r>
      <w:r w:rsidRPr="00B5587A" w:rsidR="003E37CB">
        <w:rPr>
          <w:rFonts w:ascii="Times New Roman" w:hAnsi="Times New Roman" w:cs="Times New Roman"/>
          <w:lang w:val="nl-NL"/>
        </w:rPr>
        <w:t xml:space="preserve">, zoals </w:t>
      </w:r>
      <w:r w:rsidR="00EA2BF9">
        <w:rPr>
          <w:rFonts w:ascii="Times New Roman" w:hAnsi="Times New Roman" w:cs="Times New Roman"/>
          <w:lang w:val="nl-NL"/>
        </w:rPr>
        <w:t xml:space="preserve">mogelijkheid tot </w:t>
      </w:r>
      <w:r w:rsidRPr="00B5587A" w:rsidR="003E37CB">
        <w:rPr>
          <w:rFonts w:ascii="Times New Roman" w:hAnsi="Times New Roman" w:cs="Times New Roman"/>
          <w:lang w:val="nl-NL"/>
        </w:rPr>
        <w:t xml:space="preserve">uittreding voor de </w:t>
      </w:r>
      <w:r w:rsidR="00EA2BF9">
        <w:rPr>
          <w:rFonts w:ascii="Times New Roman" w:hAnsi="Times New Roman" w:cs="Times New Roman"/>
          <w:lang w:val="nl-NL"/>
        </w:rPr>
        <w:t>pensioenleeftijd</w:t>
      </w:r>
      <w:r w:rsidRPr="00B5587A" w:rsidR="00B63DA0">
        <w:rPr>
          <w:rFonts w:ascii="Times New Roman" w:hAnsi="Times New Roman" w:cs="Times New Roman"/>
          <w:lang w:val="nl-NL"/>
        </w:rPr>
        <w:t xml:space="preserve">. </w:t>
      </w:r>
    </w:p>
    <w:p w:rsidRPr="00B5587A" w:rsidR="00B63DA0" w:rsidP="003F7639" w:rsidRDefault="00B63DA0" w14:paraId="059BCC81" w14:textId="77777777">
      <w:pPr>
        <w:jc w:val="both"/>
        <w:rPr>
          <w:rFonts w:ascii="Times New Roman" w:hAnsi="Times New Roman" w:cs="Times New Roman"/>
          <w:lang w:val="nl-NL"/>
        </w:rPr>
      </w:pPr>
    </w:p>
    <w:p w:rsidRPr="00B5587A" w:rsidR="00B63DA0" w:rsidP="003F7639" w:rsidRDefault="00B63DA0" w14:paraId="3C622736" w14:textId="5E2D72F3">
      <w:pPr>
        <w:jc w:val="both"/>
        <w:rPr>
          <w:rFonts w:ascii="Times New Roman" w:hAnsi="Times New Roman" w:cs="Times New Roman"/>
          <w:lang w:val="nl-NL"/>
        </w:rPr>
      </w:pPr>
      <w:r w:rsidRPr="00B5587A">
        <w:rPr>
          <w:rFonts w:ascii="Times New Roman" w:hAnsi="Times New Roman" w:cs="Times New Roman"/>
          <w:lang w:val="nl-NL"/>
        </w:rPr>
        <w:t xml:space="preserve">Sinds de financiële crisis </w:t>
      </w:r>
      <w:r w:rsidRPr="00B5587A" w:rsidR="001E14C0">
        <w:rPr>
          <w:rFonts w:ascii="Times New Roman" w:hAnsi="Times New Roman" w:cs="Times New Roman"/>
          <w:lang w:val="nl-NL"/>
        </w:rPr>
        <w:t>zien we dat keuzevrijheid</w:t>
      </w:r>
      <w:r w:rsidR="00EA2BF9">
        <w:rPr>
          <w:rFonts w:ascii="Times New Roman" w:hAnsi="Times New Roman" w:cs="Times New Roman"/>
          <w:lang w:val="nl-NL"/>
        </w:rPr>
        <w:t xml:space="preserve"> ten aanzien van pensioen</w:t>
      </w:r>
      <w:r w:rsidRPr="00B5587A" w:rsidR="001E14C0">
        <w:rPr>
          <w:rFonts w:ascii="Times New Roman" w:hAnsi="Times New Roman" w:cs="Times New Roman"/>
          <w:lang w:val="nl-NL"/>
        </w:rPr>
        <w:t xml:space="preserve"> </w:t>
      </w:r>
      <w:r w:rsidR="00B5587A">
        <w:rPr>
          <w:rFonts w:ascii="Times New Roman" w:hAnsi="Times New Roman" w:cs="Times New Roman"/>
          <w:lang w:val="nl-NL"/>
        </w:rPr>
        <w:t>steeds vaker</w:t>
      </w:r>
      <w:r w:rsidRPr="00B5587A" w:rsidR="001E14C0">
        <w:rPr>
          <w:rFonts w:ascii="Times New Roman" w:hAnsi="Times New Roman" w:cs="Times New Roman"/>
          <w:lang w:val="nl-NL"/>
        </w:rPr>
        <w:t xml:space="preserve"> wordt geopperd in de context van </w:t>
      </w:r>
      <w:r w:rsidRPr="00B5587A" w:rsidR="004E60A6">
        <w:rPr>
          <w:rFonts w:ascii="Times New Roman" w:hAnsi="Times New Roman" w:cs="Times New Roman"/>
          <w:lang w:val="nl-NL"/>
        </w:rPr>
        <w:t xml:space="preserve">het vergroten van de controle van de individuele deelnemer over zijn of haar pensioenvoorziening. </w:t>
      </w:r>
      <w:r w:rsidRPr="00B5587A" w:rsidR="00E96F24">
        <w:rPr>
          <w:rFonts w:ascii="Times New Roman" w:hAnsi="Times New Roman" w:cs="Times New Roman"/>
          <w:lang w:val="nl-NL"/>
        </w:rPr>
        <w:t>Deze vraag lijkt niet alleen te zijn ingegeven door veranderende lev</w:t>
      </w:r>
      <w:r w:rsidR="00B5587A">
        <w:rPr>
          <w:rFonts w:ascii="Times New Roman" w:hAnsi="Times New Roman" w:cs="Times New Roman"/>
          <w:lang w:val="nl-NL"/>
        </w:rPr>
        <w:t>ensomstandigheden</w:t>
      </w:r>
      <w:r w:rsidR="00EA2BF9">
        <w:rPr>
          <w:rFonts w:ascii="Times New Roman" w:hAnsi="Times New Roman" w:cs="Times New Roman"/>
          <w:lang w:val="nl-NL"/>
        </w:rPr>
        <w:t xml:space="preserve"> (hogere opleidingsniveau, grotere arbeidsmobiliteit)</w:t>
      </w:r>
      <w:r w:rsidRPr="00B45870" w:rsidR="00B5587A">
        <w:rPr>
          <w:rFonts w:ascii="Times New Roman" w:hAnsi="Times New Roman" w:cs="Times New Roman"/>
          <w:lang w:val="nl-NL"/>
        </w:rPr>
        <w:t>, maar ook door</w:t>
      </w:r>
      <w:r w:rsidRPr="00B45870" w:rsidR="00E96F24">
        <w:rPr>
          <w:rFonts w:ascii="Times New Roman" w:hAnsi="Times New Roman" w:cs="Times New Roman"/>
          <w:lang w:val="nl-NL"/>
        </w:rPr>
        <w:t xml:space="preserve"> grote onzekerheid over</w:t>
      </w:r>
      <w:r w:rsidR="006F0F5D">
        <w:rPr>
          <w:rFonts w:ascii="Times New Roman" w:hAnsi="Times New Roman" w:cs="Times New Roman"/>
          <w:lang w:val="nl-NL"/>
        </w:rPr>
        <w:t xml:space="preserve"> de</w:t>
      </w:r>
      <w:r w:rsidRPr="00B45870" w:rsidR="00E96F24">
        <w:rPr>
          <w:rFonts w:ascii="Times New Roman" w:hAnsi="Times New Roman" w:cs="Times New Roman"/>
          <w:lang w:val="nl-NL"/>
        </w:rPr>
        <w:t xml:space="preserve"> </w:t>
      </w:r>
      <w:r w:rsidRPr="00B45870" w:rsidR="00B45870">
        <w:rPr>
          <w:rFonts w:ascii="Times New Roman" w:hAnsi="Times New Roman" w:cs="Times New Roman"/>
          <w:lang w:val="nl-NL"/>
        </w:rPr>
        <w:t>hoogte van het uiteindelijke</w:t>
      </w:r>
      <w:r w:rsidRPr="00B45870" w:rsidR="00E96F24">
        <w:rPr>
          <w:rFonts w:ascii="Times New Roman" w:hAnsi="Times New Roman" w:cs="Times New Roman"/>
          <w:lang w:val="nl-NL"/>
        </w:rPr>
        <w:t xml:space="preserve"> pensioen. </w:t>
      </w:r>
      <w:r w:rsidRPr="00B45870" w:rsidR="00B45870">
        <w:rPr>
          <w:rFonts w:ascii="Times New Roman" w:hAnsi="Times New Roman" w:cs="Times New Roman"/>
          <w:lang w:val="nl-NL"/>
        </w:rPr>
        <w:t>In</w:t>
      </w:r>
      <w:r w:rsidR="00B45870">
        <w:rPr>
          <w:rFonts w:ascii="Times New Roman" w:hAnsi="Times New Roman" w:cs="Times New Roman"/>
          <w:lang w:val="nl-NL"/>
        </w:rPr>
        <w:t xml:space="preserve"> 2013</w:t>
      </w:r>
      <w:r w:rsidRPr="009C1458" w:rsidR="00D91F76">
        <w:rPr>
          <w:rFonts w:ascii="Times New Roman" w:hAnsi="Times New Roman" w:cs="Times New Roman"/>
          <w:lang w:val="nl-NL"/>
        </w:rPr>
        <w:t xml:space="preserve"> </w:t>
      </w:r>
      <w:r w:rsidR="00D91F76">
        <w:rPr>
          <w:rFonts w:ascii="Times New Roman" w:hAnsi="Times New Roman" w:cs="Times New Roman"/>
          <w:lang w:val="nl-NL"/>
        </w:rPr>
        <w:t>gaf</w:t>
      </w:r>
      <w:r w:rsidR="00B45870">
        <w:rPr>
          <w:rFonts w:ascii="Times New Roman" w:hAnsi="Times New Roman" w:cs="Times New Roman"/>
          <w:lang w:val="nl-NL"/>
        </w:rPr>
        <w:t xml:space="preserve"> slechts 57</w:t>
      </w:r>
      <w:r w:rsidRPr="009C1458" w:rsidR="00D91F76">
        <w:rPr>
          <w:rFonts w:ascii="Times New Roman" w:hAnsi="Times New Roman" w:cs="Times New Roman"/>
          <w:lang w:val="nl-NL"/>
        </w:rPr>
        <w:t xml:space="preserve">% van de respondenten uit de DNB Household Survey </w:t>
      </w:r>
      <w:r w:rsidRPr="009C1458" w:rsidR="00D91F76">
        <w:rPr>
          <w:rFonts w:ascii="Times New Roman" w:hAnsi="Times New Roman" w:cs="Times New Roman"/>
          <w:lang w:val="nl-NL"/>
        </w:rPr>
        <w:lastRenderedPageBreak/>
        <w:t>een positief antwoord op de vraag: ‘Heeft u er momenteel vertrouwen in dat het pensioenfonds (de pensioenfondsen) waarbij uw pensioen is ondergebracht in staat zal (zullen) zijn te zijner ti</w:t>
      </w:r>
      <w:r w:rsidR="00D91F76">
        <w:rPr>
          <w:rFonts w:ascii="Times New Roman" w:hAnsi="Times New Roman" w:cs="Times New Roman"/>
          <w:lang w:val="nl-NL"/>
        </w:rPr>
        <w:t>jd uw pensioen uit te betalen?</w:t>
      </w:r>
      <w:r w:rsidRPr="00C46B7E" w:rsidR="00D91F76">
        <w:rPr>
          <w:rFonts w:ascii="Times New Roman" w:hAnsi="Times New Roman" w:cs="Times New Roman"/>
          <w:lang w:val="nl-NL"/>
        </w:rPr>
        <w:t>’ (DNB 2014).</w:t>
      </w:r>
      <w:r w:rsidRPr="00C46B7E" w:rsidR="00B45870">
        <w:rPr>
          <w:rFonts w:ascii="Times New Roman" w:hAnsi="Times New Roman" w:cs="Times New Roman"/>
          <w:lang w:val="nl-NL"/>
        </w:rPr>
        <w:t xml:space="preserve"> In</w:t>
      </w:r>
      <w:r w:rsidR="00B45870">
        <w:rPr>
          <w:rFonts w:ascii="Times New Roman" w:hAnsi="Times New Roman" w:cs="Times New Roman"/>
          <w:lang w:val="nl-NL"/>
        </w:rPr>
        <w:t xml:space="preserve"> 2007 lag dit aantal nog op 87%.</w:t>
      </w:r>
      <w:r w:rsidRPr="009C1458" w:rsidR="00D91F76">
        <w:rPr>
          <w:rFonts w:ascii="Times New Roman" w:hAnsi="Times New Roman" w:cs="Times New Roman"/>
          <w:lang w:val="nl-NL"/>
        </w:rPr>
        <w:t xml:space="preserve"> </w:t>
      </w:r>
      <w:r w:rsidR="00D91F76">
        <w:rPr>
          <w:rFonts w:ascii="Times New Roman" w:hAnsi="Times New Roman" w:cs="Times New Roman"/>
          <w:lang w:val="nl-NL"/>
        </w:rPr>
        <w:t xml:space="preserve">Ook uit </w:t>
      </w:r>
      <w:r w:rsidR="00B45870">
        <w:rPr>
          <w:rFonts w:ascii="Times New Roman" w:hAnsi="Times New Roman" w:cs="Times New Roman"/>
          <w:lang w:val="nl-NL"/>
        </w:rPr>
        <w:t xml:space="preserve">ander </w:t>
      </w:r>
      <w:r w:rsidR="00D91F76">
        <w:rPr>
          <w:rFonts w:ascii="Times New Roman" w:hAnsi="Times New Roman" w:cs="Times New Roman"/>
          <w:lang w:val="nl-NL"/>
        </w:rPr>
        <w:t xml:space="preserve">onderzoek </w:t>
      </w:r>
      <w:r w:rsidR="00B45870">
        <w:rPr>
          <w:rFonts w:ascii="Times New Roman" w:hAnsi="Times New Roman" w:cs="Times New Roman"/>
          <w:lang w:val="nl-NL"/>
        </w:rPr>
        <w:t>is gebleken</w:t>
      </w:r>
      <w:r w:rsidR="00D91F76">
        <w:rPr>
          <w:rFonts w:ascii="Times New Roman" w:hAnsi="Times New Roman" w:cs="Times New Roman"/>
          <w:lang w:val="nl-NL"/>
        </w:rPr>
        <w:t xml:space="preserve"> dat een groeiend aantal Neder</w:t>
      </w:r>
      <w:r w:rsidRPr="00C46B7E" w:rsidR="00D91F76">
        <w:rPr>
          <w:rFonts w:ascii="Times New Roman" w:hAnsi="Times New Roman" w:cs="Times New Roman"/>
          <w:lang w:val="nl-NL"/>
        </w:rPr>
        <w:t xml:space="preserve">landers zich zorgen maakt over het eigen pensioen (Den </w:t>
      </w:r>
      <w:proofErr w:type="spellStart"/>
      <w:r w:rsidRPr="00C46B7E" w:rsidR="00D91F76">
        <w:rPr>
          <w:rFonts w:ascii="Times New Roman" w:hAnsi="Times New Roman" w:cs="Times New Roman"/>
          <w:lang w:val="nl-NL"/>
        </w:rPr>
        <w:t>Noije</w:t>
      </w:r>
      <w:proofErr w:type="spellEnd"/>
      <w:r w:rsidRPr="00C46B7E" w:rsidR="00D91F76">
        <w:rPr>
          <w:rFonts w:ascii="Times New Roman" w:hAnsi="Times New Roman" w:cs="Times New Roman"/>
          <w:lang w:val="nl-NL"/>
        </w:rPr>
        <w:t xml:space="preserve"> et al. 2014</w:t>
      </w:r>
      <w:r w:rsidRPr="00C46B7E" w:rsidR="00B45870">
        <w:rPr>
          <w:rFonts w:ascii="Times New Roman" w:hAnsi="Times New Roman" w:cs="Times New Roman"/>
          <w:lang w:val="nl-NL"/>
        </w:rPr>
        <w:t>; Koenen 2014</w:t>
      </w:r>
      <w:r w:rsidRPr="00C46B7E" w:rsidR="00D91F76">
        <w:rPr>
          <w:rFonts w:ascii="Times New Roman" w:hAnsi="Times New Roman" w:cs="Times New Roman"/>
          <w:lang w:val="nl-NL"/>
        </w:rPr>
        <w:t>)</w:t>
      </w:r>
      <w:r w:rsidRPr="00C46B7E" w:rsidR="006F0F5D">
        <w:rPr>
          <w:rFonts w:ascii="Times New Roman" w:hAnsi="Times New Roman" w:cs="Times New Roman"/>
          <w:lang w:val="nl-NL"/>
        </w:rPr>
        <w:t xml:space="preserve">. </w:t>
      </w:r>
      <w:r w:rsidRPr="00C46B7E" w:rsidR="00685060">
        <w:rPr>
          <w:rFonts w:ascii="Times New Roman" w:hAnsi="Times New Roman" w:cs="Times New Roman"/>
          <w:lang w:val="nl-NL"/>
        </w:rPr>
        <w:t>Veel Nederlanders denken daarom dat zij beter af zullen zijn, als zij</w:t>
      </w:r>
      <w:r w:rsidR="00685060">
        <w:rPr>
          <w:rFonts w:ascii="Times New Roman" w:hAnsi="Times New Roman" w:cs="Times New Roman"/>
          <w:lang w:val="nl-NL"/>
        </w:rPr>
        <w:t xml:space="preserve"> zelf controle krijgen over hun eigen pensioen:</w:t>
      </w:r>
      <w:r w:rsidR="00B45870">
        <w:rPr>
          <w:rFonts w:ascii="Times New Roman" w:hAnsi="Times New Roman" w:cs="Times New Roman"/>
          <w:lang w:val="nl-NL"/>
        </w:rPr>
        <w:t xml:space="preserve"> </w:t>
      </w:r>
      <w:r w:rsidR="00685060">
        <w:rPr>
          <w:rFonts w:ascii="Times New Roman" w:hAnsi="Times New Roman" w:cs="Times New Roman"/>
          <w:lang w:val="nl-NL"/>
        </w:rPr>
        <w:t>e</w:t>
      </w:r>
      <w:r w:rsidRPr="00B5587A" w:rsidR="00E96F24">
        <w:rPr>
          <w:rFonts w:ascii="Times New Roman" w:hAnsi="Times New Roman" w:cs="Times New Roman"/>
          <w:lang w:val="nl-NL"/>
        </w:rPr>
        <w:t xml:space="preserve">en paradoxale situatie voor een stelsel dat nog steeds internationaal bekend staat als een van de </w:t>
      </w:r>
      <w:r w:rsidR="00B45870">
        <w:rPr>
          <w:rFonts w:ascii="Times New Roman" w:hAnsi="Times New Roman" w:cs="Times New Roman"/>
          <w:lang w:val="nl-NL"/>
        </w:rPr>
        <w:t>beste</w:t>
      </w:r>
      <w:r w:rsidRPr="00B5587A" w:rsidR="00E96F24">
        <w:rPr>
          <w:rFonts w:ascii="Times New Roman" w:hAnsi="Times New Roman" w:cs="Times New Roman"/>
          <w:lang w:val="nl-NL"/>
        </w:rPr>
        <w:t xml:space="preserve"> ter wereld! </w:t>
      </w:r>
      <w:r w:rsidR="00EA2BF9">
        <w:rPr>
          <w:rFonts w:ascii="Times New Roman" w:hAnsi="Times New Roman" w:cs="Times New Roman"/>
          <w:lang w:val="nl-NL"/>
        </w:rPr>
        <w:t xml:space="preserve"> </w:t>
      </w:r>
    </w:p>
    <w:p w:rsidRPr="00B5587A" w:rsidR="003F7639" w:rsidP="008A1F21" w:rsidRDefault="003F7639" w14:paraId="5CB2E5EB" w14:textId="77777777">
      <w:pPr>
        <w:jc w:val="both"/>
        <w:rPr>
          <w:rFonts w:ascii="Times New Roman" w:hAnsi="Times New Roman" w:cs="Times New Roman"/>
          <w:lang w:val="nl-NL"/>
        </w:rPr>
      </w:pPr>
    </w:p>
    <w:p w:rsidR="009135DF" w:rsidP="008A1F21" w:rsidRDefault="00C64A93" w14:paraId="43E73A74" w14:textId="01DD4AEE">
      <w:pPr>
        <w:jc w:val="both"/>
        <w:rPr>
          <w:rFonts w:ascii="Times New Roman" w:hAnsi="Times New Roman" w:cs="Times New Roman"/>
          <w:lang w:val="nl-NL"/>
        </w:rPr>
      </w:pPr>
      <w:r w:rsidRPr="00B5587A">
        <w:rPr>
          <w:rFonts w:ascii="Times New Roman" w:hAnsi="Times New Roman" w:cs="Times New Roman"/>
          <w:lang w:val="nl-NL"/>
        </w:rPr>
        <w:t>Een tweetal</w:t>
      </w:r>
      <w:r w:rsidRPr="00B5587A" w:rsidR="003F7639">
        <w:rPr>
          <w:rFonts w:ascii="Times New Roman" w:hAnsi="Times New Roman" w:cs="Times New Roman"/>
          <w:lang w:val="nl-NL"/>
        </w:rPr>
        <w:t xml:space="preserve"> zaken </w:t>
      </w:r>
      <w:r w:rsidR="00685060">
        <w:rPr>
          <w:rFonts w:ascii="Times New Roman" w:hAnsi="Times New Roman" w:cs="Times New Roman"/>
          <w:lang w:val="nl-NL"/>
        </w:rPr>
        <w:t>valt</w:t>
      </w:r>
      <w:r w:rsidRPr="00B5587A" w:rsidR="003F7639">
        <w:rPr>
          <w:rFonts w:ascii="Times New Roman" w:hAnsi="Times New Roman" w:cs="Times New Roman"/>
          <w:lang w:val="nl-NL"/>
        </w:rPr>
        <w:t xml:space="preserve"> op aan </w:t>
      </w:r>
      <w:r w:rsidR="00B5587A">
        <w:rPr>
          <w:rFonts w:ascii="Times New Roman" w:hAnsi="Times New Roman" w:cs="Times New Roman"/>
          <w:lang w:val="nl-NL"/>
        </w:rPr>
        <w:t>het politieke en maatschappelijke</w:t>
      </w:r>
      <w:r w:rsidRPr="00B5587A" w:rsidR="003F7639">
        <w:rPr>
          <w:rFonts w:ascii="Times New Roman" w:hAnsi="Times New Roman" w:cs="Times New Roman"/>
          <w:lang w:val="nl-NL"/>
        </w:rPr>
        <w:t xml:space="preserve"> debat</w:t>
      </w:r>
      <w:r w:rsidRPr="00B5587A" w:rsidR="00807EA3">
        <w:rPr>
          <w:rFonts w:ascii="Times New Roman" w:hAnsi="Times New Roman" w:cs="Times New Roman"/>
          <w:lang w:val="nl-NL"/>
        </w:rPr>
        <w:t xml:space="preserve"> rondom keuzevrijheid </w:t>
      </w:r>
      <w:r w:rsidR="00685060">
        <w:rPr>
          <w:rFonts w:ascii="Times New Roman" w:hAnsi="Times New Roman" w:cs="Times New Roman"/>
          <w:lang w:val="nl-NL"/>
        </w:rPr>
        <w:t>en</w:t>
      </w:r>
      <w:r w:rsidRPr="00B5587A" w:rsidR="00807EA3">
        <w:rPr>
          <w:rFonts w:ascii="Times New Roman" w:hAnsi="Times New Roman" w:cs="Times New Roman"/>
          <w:lang w:val="nl-NL"/>
        </w:rPr>
        <w:t xml:space="preserve"> pensioen</w:t>
      </w:r>
      <w:r w:rsidRPr="00B5587A">
        <w:rPr>
          <w:rFonts w:ascii="Times New Roman" w:hAnsi="Times New Roman" w:cs="Times New Roman"/>
          <w:lang w:val="nl-NL"/>
        </w:rPr>
        <w:t xml:space="preserve">. Allereerst </w:t>
      </w:r>
      <w:r w:rsidRPr="00B5587A" w:rsidR="00DE65F7">
        <w:rPr>
          <w:rFonts w:ascii="Times New Roman" w:hAnsi="Times New Roman" w:cs="Times New Roman"/>
          <w:lang w:val="nl-NL"/>
        </w:rPr>
        <w:t>kunnen we</w:t>
      </w:r>
      <w:r w:rsidRPr="00B5587A">
        <w:rPr>
          <w:rFonts w:ascii="Times New Roman" w:hAnsi="Times New Roman" w:cs="Times New Roman"/>
          <w:lang w:val="nl-NL"/>
        </w:rPr>
        <w:t xml:space="preserve"> de Nederlandse voorstellen op het gebied van keuzevrijheid en pensioen </w:t>
      </w:r>
      <w:r w:rsidRPr="00B5587A" w:rsidR="00DE65F7">
        <w:rPr>
          <w:rFonts w:ascii="Times New Roman" w:hAnsi="Times New Roman" w:cs="Times New Roman"/>
          <w:lang w:val="nl-NL"/>
        </w:rPr>
        <w:t>plaatsen in de context van</w:t>
      </w:r>
      <w:r w:rsidRPr="00B5587A">
        <w:rPr>
          <w:rFonts w:ascii="Times New Roman" w:hAnsi="Times New Roman" w:cs="Times New Roman"/>
          <w:lang w:val="nl-NL"/>
        </w:rPr>
        <w:t xml:space="preserve"> internationale ontwikkelingen</w:t>
      </w:r>
      <w:r w:rsidRPr="00B5587A" w:rsidR="00DE65F7">
        <w:rPr>
          <w:rFonts w:ascii="Times New Roman" w:hAnsi="Times New Roman" w:cs="Times New Roman"/>
          <w:lang w:val="nl-NL"/>
        </w:rPr>
        <w:t>, met name op het gebied van de privatisering van pensioenstelsels</w:t>
      </w:r>
      <w:r w:rsidRPr="00B5587A">
        <w:rPr>
          <w:rFonts w:ascii="Times New Roman" w:hAnsi="Times New Roman" w:cs="Times New Roman"/>
          <w:lang w:val="nl-NL"/>
        </w:rPr>
        <w:t xml:space="preserve">. </w:t>
      </w:r>
      <w:r w:rsidR="00B14111">
        <w:rPr>
          <w:rFonts w:ascii="Times New Roman" w:hAnsi="Times New Roman" w:cs="Times New Roman"/>
          <w:lang w:val="nl-NL"/>
        </w:rPr>
        <w:t xml:space="preserve">Onder pensioenprivatisering wordt onder andere verstaan </w:t>
      </w:r>
      <w:r w:rsidR="00FD775D">
        <w:rPr>
          <w:rFonts w:ascii="Times New Roman" w:hAnsi="Times New Roman" w:cs="Times New Roman"/>
          <w:lang w:val="nl-NL"/>
        </w:rPr>
        <w:t>de overgang van een omslagstelsel naar kapitaaldekking</w:t>
      </w:r>
      <w:r w:rsidRPr="008102D0" w:rsidR="00B45870">
        <w:rPr>
          <w:rFonts w:ascii="Times New Roman" w:hAnsi="Times New Roman" w:cs="Times New Roman"/>
          <w:lang w:val="nl-NL"/>
        </w:rPr>
        <w:t>, het versterken van de tweede en derde pijlers van het pensioenstelsel, en individuele verantwoordelijkheid over de eigen pensioe</w:t>
      </w:r>
      <w:r w:rsidR="00B14111">
        <w:rPr>
          <w:rFonts w:ascii="Times New Roman" w:hAnsi="Times New Roman" w:cs="Times New Roman"/>
          <w:lang w:val="nl-NL"/>
        </w:rPr>
        <w:t xml:space="preserve">nvoorziening </w:t>
      </w:r>
      <w:r w:rsidRPr="003D1400" w:rsidR="00B14111">
        <w:rPr>
          <w:rFonts w:ascii="Times New Roman" w:hAnsi="Times New Roman" w:cs="Times New Roman"/>
          <w:lang w:val="nl-NL"/>
        </w:rPr>
        <w:t>(</w:t>
      </w:r>
      <w:proofErr w:type="spellStart"/>
      <w:r w:rsidRPr="003D1400" w:rsidR="00FD775D">
        <w:rPr>
          <w:rFonts w:ascii="Times New Roman" w:hAnsi="Times New Roman" w:cs="Times New Roman"/>
          <w:lang w:val="nl-NL"/>
        </w:rPr>
        <w:t>Ebbinghouse</w:t>
      </w:r>
      <w:proofErr w:type="spellEnd"/>
      <w:r w:rsidRPr="003D1400" w:rsidR="00FD775D">
        <w:rPr>
          <w:rFonts w:ascii="Times New Roman" w:hAnsi="Times New Roman" w:cs="Times New Roman"/>
          <w:lang w:val="nl-NL"/>
        </w:rPr>
        <w:t xml:space="preserve"> en Whiteside 2012</w:t>
      </w:r>
      <w:r w:rsidRPr="003D1400" w:rsidR="00B14111">
        <w:rPr>
          <w:rFonts w:ascii="Times New Roman" w:hAnsi="Times New Roman" w:cs="Times New Roman"/>
          <w:lang w:val="nl-NL"/>
        </w:rPr>
        <w:t>)</w:t>
      </w:r>
      <w:r w:rsidRPr="003D1400" w:rsidR="00B45870">
        <w:rPr>
          <w:rFonts w:ascii="Times New Roman" w:hAnsi="Times New Roman" w:cs="Times New Roman"/>
          <w:lang w:val="nl-NL"/>
        </w:rPr>
        <w:t xml:space="preserve">. </w:t>
      </w:r>
      <w:r w:rsidRPr="003D1400" w:rsidR="008102D0">
        <w:rPr>
          <w:rFonts w:ascii="Times New Roman" w:hAnsi="Times New Roman" w:cs="Times New Roman"/>
          <w:lang w:val="nl-NL"/>
        </w:rPr>
        <w:t>Voorbeelden</w:t>
      </w:r>
      <w:r w:rsidRPr="008102D0" w:rsidR="008102D0">
        <w:rPr>
          <w:rFonts w:ascii="Times New Roman" w:hAnsi="Times New Roman" w:cs="Times New Roman"/>
          <w:lang w:val="nl-NL"/>
        </w:rPr>
        <w:t xml:space="preserve"> zijn onder andere de </w:t>
      </w:r>
      <w:proofErr w:type="spellStart"/>
      <w:r w:rsidRPr="008102D0" w:rsidR="008102D0">
        <w:rPr>
          <w:rFonts w:ascii="Times New Roman" w:hAnsi="Times New Roman" w:cs="Times New Roman"/>
          <w:lang w:val="nl-NL"/>
        </w:rPr>
        <w:t>Riester</w:t>
      </w:r>
      <w:proofErr w:type="spellEnd"/>
      <w:r w:rsidRPr="008102D0" w:rsidR="008102D0">
        <w:rPr>
          <w:rFonts w:ascii="Times New Roman" w:hAnsi="Times New Roman" w:cs="Times New Roman"/>
          <w:lang w:val="nl-NL"/>
        </w:rPr>
        <w:t>-pensioenen in Duitsland</w:t>
      </w:r>
      <w:r w:rsidR="001170A0">
        <w:rPr>
          <w:rFonts w:ascii="Times New Roman" w:hAnsi="Times New Roman" w:cs="Times New Roman"/>
          <w:lang w:val="nl-NL"/>
        </w:rPr>
        <w:t xml:space="preserve"> (vrijwillige deelname)</w:t>
      </w:r>
      <w:r w:rsidRPr="008102D0" w:rsidR="008102D0">
        <w:rPr>
          <w:rFonts w:ascii="Times New Roman" w:hAnsi="Times New Roman" w:cs="Times New Roman"/>
          <w:lang w:val="nl-NL"/>
        </w:rPr>
        <w:t xml:space="preserve">, de National </w:t>
      </w:r>
      <w:proofErr w:type="spellStart"/>
      <w:r w:rsidRPr="008102D0" w:rsidR="008102D0">
        <w:rPr>
          <w:rFonts w:ascii="Times New Roman" w:hAnsi="Times New Roman" w:cs="Times New Roman"/>
          <w:lang w:val="nl-NL"/>
        </w:rPr>
        <w:t>Employment</w:t>
      </w:r>
      <w:proofErr w:type="spellEnd"/>
      <w:r w:rsidRPr="008102D0" w:rsidR="008102D0">
        <w:rPr>
          <w:rFonts w:ascii="Times New Roman" w:hAnsi="Times New Roman" w:cs="Times New Roman"/>
          <w:lang w:val="nl-NL"/>
        </w:rPr>
        <w:t xml:space="preserve"> </w:t>
      </w:r>
      <w:proofErr w:type="spellStart"/>
      <w:r w:rsidRPr="008102D0" w:rsidR="008102D0">
        <w:rPr>
          <w:rFonts w:ascii="Times New Roman" w:hAnsi="Times New Roman" w:cs="Times New Roman"/>
          <w:lang w:val="nl-NL"/>
        </w:rPr>
        <w:t>Savings</w:t>
      </w:r>
      <w:proofErr w:type="spellEnd"/>
      <w:r w:rsidRPr="008102D0" w:rsidR="008102D0">
        <w:rPr>
          <w:rFonts w:ascii="Times New Roman" w:hAnsi="Times New Roman" w:cs="Times New Roman"/>
          <w:lang w:val="nl-NL"/>
        </w:rPr>
        <w:t xml:space="preserve"> Trust (NEST) in het Verenigd Koninkrijk </w:t>
      </w:r>
      <w:r w:rsidR="001170A0">
        <w:rPr>
          <w:rFonts w:ascii="Times New Roman" w:hAnsi="Times New Roman" w:cs="Times New Roman"/>
          <w:lang w:val="nl-NL"/>
        </w:rPr>
        <w:t xml:space="preserve">(vrijwillige deelname, bepaalde beleggingskeuzes) </w:t>
      </w:r>
      <w:r w:rsidRPr="008102D0" w:rsidR="008102D0">
        <w:rPr>
          <w:rFonts w:ascii="Times New Roman" w:hAnsi="Times New Roman" w:cs="Times New Roman"/>
          <w:lang w:val="nl-NL"/>
        </w:rPr>
        <w:t xml:space="preserve">en </w:t>
      </w:r>
      <w:r w:rsidRPr="008102D0" w:rsidR="009135DF">
        <w:rPr>
          <w:rFonts w:ascii="Times New Roman" w:hAnsi="Times New Roman" w:cs="Times New Roman"/>
          <w:lang w:val="nl-NL"/>
        </w:rPr>
        <w:t>het Premium Pension in Zweden</w:t>
      </w:r>
      <w:r w:rsidR="001170A0">
        <w:rPr>
          <w:rFonts w:ascii="Times New Roman" w:hAnsi="Times New Roman" w:cs="Times New Roman"/>
          <w:lang w:val="nl-NL"/>
        </w:rPr>
        <w:t xml:space="preserve"> (beleggingskeuzes)</w:t>
      </w:r>
      <w:r w:rsidRPr="008102D0" w:rsidR="008102D0">
        <w:rPr>
          <w:rFonts w:ascii="Times New Roman" w:hAnsi="Times New Roman" w:cs="Times New Roman"/>
          <w:lang w:val="nl-NL"/>
        </w:rPr>
        <w:t xml:space="preserve">. </w:t>
      </w:r>
      <w:r w:rsidRPr="008102D0" w:rsidR="009135DF">
        <w:rPr>
          <w:rFonts w:ascii="Times New Roman" w:hAnsi="Times New Roman" w:cs="Times New Roman"/>
          <w:lang w:val="nl-NL"/>
        </w:rPr>
        <w:t xml:space="preserve">Wel moet worden opgemerkt dat ook deze vormen van keuzevrijheid een </w:t>
      </w:r>
      <w:r w:rsidR="002C0876">
        <w:rPr>
          <w:rFonts w:ascii="Times New Roman" w:hAnsi="Times New Roman" w:cs="Times New Roman"/>
          <w:lang w:val="nl-NL"/>
        </w:rPr>
        <w:t>zekere</w:t>
      </w:r>
      <w:r w:rsidRPr="008102D0" w:rsidR="009135DF">
        <w:rPr>
          <w:rFonts w:ascii="Times New Roman" w:hAnsi="Times New Roman" w:cs="Times New Roman"/>
          <w:lang w:val="nl-NL"/>
        </w:rPr>
        <w:t xml:space="preserve"> mate van </w:t>
      </w:r>
      <w:r w:rsidRPr="008102D0" w:rsidR="008102D0">
        <w:rPr>
          <w:rFonts w:ascii="Times New Roman" w:hAnsi="Times New Roman" w:cs="Times New Roman"/>
          <w:lang w:val="nl-NL"/>
        </w:rPr>
        <w:t>dwang</w:t>
      </w:r>
      <w:r w:rsidRPr="008102D0" w:rsidR="009135DF">
        <w:rPr>
          <w:rFonts w:ascii="Times New Roman" w:hAnsi="Times New Roman" w:cs="Times New Roman"/>
          <w:lang w:val="nl-NL"/>
        </w:rPr>
        <w:t xml:space="preserve"> of </w:t>
      </w:r>
      <w:r w:rsidR="008102D0">
        <w:rPr>
          <w:rFonts w:ascii="Times New Roman" w:hAnsi="Times New Roman" w:cs="Times New Roman"/>
          <w:lang w:val="nl-NL"/>
        </w:rPr>
        <w:t>aanmoediging</w:t>
      </w:r>
      <w:r w:rsidRPr="008102D0" w:rsidR="009135DF">
        <w:rPr>
          <w:rFonts w:ascii="Times New Roman" w:hAnsi="Times New Roman" w:cs="Times New Roman"/>
          <w:lang w:val="nl-NL"/>
        </w:rPr>
        <w:t xml:space="preserve"> kennen</w:t>
      </w:r>
      <w:r w:rsidR="001170A0">
        <w:rPr>
          <w:rFonts w:ascii="Times New Roman" w:hAnsi="Times New Roman" w:cs="Times New Roman"/>
          <w:lang w:val="nl-NL"/>
        </w:rPr>
        <w:t>, onder andere</w:t>
      </w:r>
      <w:r w:rsidRPr="008102D0" w:rsidR="008102D0">
        <w:rPr>
          <w:rFonts w:ascii="Times New Roman" w:hAnsi="Times New Roman" w:cs="Times New Roman"/>
          <w:lang w:val="nl-NL"/>
        </w:rPr>
        <w:t xml:space="preserve"> om deelname te verhogen</w:t>
      </w:r>
      <w:r w:rsidR="001170A0">
        <w:rPr>
          <w:rFonts w:ascii="Times New Roman" w:hAnsi="Times New Roman" w:cs="Times New Roman"/>
          <w:lang w:val="nl-NL"/>
        </w:rPr>
        <w:t xml:space="preserve"> en</w:t>
      </w:r>
      <w:r w:rsidR="002C0876">
        <w:rPr>
          <w:rFonts w:ascii="Times New Roman" w:hAnsi="Times New Roman" w:cs="Times New Roman"/>
          <w:lang w:val="nl-NL"/>
        </w:rPr>
        <w:t xml:space="preserve"> het</w:t>
      </w:r>
      <w:r w:rsidR="001170A0">
        <w:rPr>
          <w:rFonts w:ascii="Times New Roman" w:hAnsi="Times New Roman" w:cs="Times New Roman"/>
          <w:lang w:val="nl-NL"/>
        </w:rPr>
        <w:t xml:space="preserve"> kiezen makkelijker te maken</w:t>
      </w:r>
      <w:r w:rsidRPr="008102D0" w:rsidR="009135DF">
        <w:rPr>
          <w:rFonts w:ascii="Times New Roman" w:hAnsi="Times New Roman" w:cs="Times New Roman"/>
          <w:lang w:val="nl-NL"/>
        </w:rPr>
        <w:t>. Een</w:t>
      </w:r>
      <w:r w:rsidRPr="009135DF" w:rsidR="009135DF">
        <w:rPr>
          <w:rFonts w:ascii="Times New Roman" w:hAnsi="Times New Roman" w:cs="Times New Roman"/>
          <w:lang w:val="nl-NL"/>
        </w:rPr>
        <w:t xml:space="preserve"> goed voorbeeld hiervan is het Verenigd Koninkrijk, waar men is teruggekomen van volledige keuzevrijheid voor de werkgever binnen de tweede pijler en een systeem van </w:t>
      </w:r>
      <w:r w:rsidR="008102D0">
        <w:rPr>
          <w:rFonts w:ascii="Times New Roman" w:hAnsi="Times New Roman" w:cs="Times New Roman"/>
          <w:i/>
          <w:lang w:val="nl-NL"/>
        </w:rPr>
        <w:t xml:space="preserve">automatic </w:t>
      </w:r>
      <w:proofErr w:type="spellStart"/>
      <w:r w:rsidRPr="009135DF" w:rsidR="009135DF">
        <w:rPr>
          <w:rFonts w:ascii="Times New Roman" w:hAnsi="Times New Roman" w:cs="Times New Roman"/>
          <w:i/>
          <w:lang w:val="nl-NL"/>
        </w:rPr>
        <w:t>enrolment</w:t>
      </w:r>
      <w:proofErr w:type="spellEnd"/>
      <w:r w:rsidRPr="009135DF" w:rsidR="009135DF">
        <w:rPr>
          <w:rFonts w:ascii="Times New Roman" w:hAnsi="Times New Roman" w:cs="Times New Roman"/>
          <w:lang w:val="nl-NL"/>
        </w:rPr>
        <w:t xml:space="preserve"> </w:t>
      </w:r>
      <w:r w:rsidR="002C0876">
        <w:rPr>
          <w:rFonts w:ascii="Times New Roman" w:hAnsi="Times New Roman" w:cs="Times New Roman"/>
          <w:lang w:val="nl-NL"/>
        </w:rPr>
        <w:t>heeft</w:t>
      </w:r>
      <w:r w:rsidRPr="009135DF" w:rsidR="009135DF">
        <w:rPr>
          <w:rFonts w:ascii="Times New Roman" w:hAnsi="Times New Roman" w:cs="Times New Roman"/>
          <w:lang w:val="nl-NL"/>
        </w:rPr>
        <w:t xml:space="preserve"> ingevoerd </w:t>
      </w:r>
      <w:r w:rsidRPr="008102D0" w:rsidR="009135DF">
        <w:rPr>
          <w:rFonts w:ascii="Times New Roman" w:hAnsi="Times New Roman" w:cs="Times New Roman"/>
          <w:lang w:val="nl-NL"/>
        </w:rPr>
        <w:t xml:space="preserve">voor </w:t>
      </w:r>
      <w:r w:rsidRPr="008102D0" w:rsidR="008102D0">
        <w:rPr>
          <w:rFonts w:ascii="Times New Roman" w:hAnsi="Times New Roman" w:cs="Times New Roman"/>
          <w:lang w:val="nl-NL"/>
        </w:rPr>
        <w:t xml:space="preserve">bepaalde groepen </w:t>
      </w:r>
      <w:r w:rsidRPr="008102D0" w:rsidR="009135DF">
        <w:rPr>
          <w:rFonts w:ascii="Times New Roman" w:hAnsi="Times New Roman" w:cs="Times New Roman"/>
          <w:lang w:val="nl-NL"/>
        </w:rPr>
        <w:t>werknemers.</w:t>
      </w:r>
      <w:r w:rsidRPr="009135DF" w:rsidR="009135DF">
        <w:rPr>
          <w:rFonts w:ascii="Times New Roman" w:hAnsi="Times New Roman" w:cs="Times New Roman"/>
          <w:lang w:val="nl-NL"/>
        </w:rPr>
        <w:t xml:space="preserve"> </w:t>
      </w:r>
    </w:p>
    <w:p w:rsidRPr="00B5587A" w:rsidR="00C64A93" w:rsidP="008A1F21" w:rsidRDefault="00C64A93" w14:paraId="0F80847B" w14:textId="77777777">
      <w:pPr>
        <w:jc w:val="both"/>
        <w:rPr>
          <w:rFonts w:ascii="Times New Roman" w:hAnsi="Times New Roman" w:cs="Times New Roman"/>
          <w:lang w:val="nl-NL"/>
        </w:rPr>
      </w:pPr>
    </w:p>
    <w:p w:rsidRPr="00B5587A" w:rsidR="004A6631" w:rsidP="00F813B8" w:rsidRDefault="00C64A93" w14:paraId="299EE16C" w14:textId="007245AF">
      <w:pPr>
        <w:jc w:val="both"/>
        <w:rPr>
          <w:rFonts w:ascii="Times New Roman" w:hAnsi="Times New Roman" w:cs="Times New Roman"/>
          <w:lang w:val="nl-NL"/>
        </w:rPr>
      </w:pPr>
      <w:r w:rsidRPr="00B5587A">
        <w:rPr>
          <w:rFonts w:ascii="Times New Roman" w:hAnsi="Times New Roman" w:cs="Times New Roman"/>
          <w:lang w:val="nl-NL"/>
        </w:rPr>
        <w:t>Ten tweede is het opvallend dat het idee van keuzevrijheid in toenem</w:t>
      </w:r>
      <w:r w:rsidR="00E45314">
        <w:rPr>
          <w:rFonts w:ascii="Times New Roman" w:hAnsi="Times New Roman" w:cs="Times New Roman"/>
          <w:lang w:val="nl-NL"/>
        </w:rPr>
        <w:t>en</w:t>
      </w:r>
      <w:r w:rsidRPr="00B5587A">
        <w:rPr>
          <w:rFonts w:ascii="Times New Roman" w:hAnsi="Times New Roman" w:cs="Times New Roman"/>
          <w:lang w:val="nl-NL"/>
        </w:rPr>
        <w:t xml:space="preserve">de mate wordt geaccepteerd door diverse </w:t>
      </w:r>
      <w:r w:rsidRPr="00C01BA4">
        <w:rPr>
          <w:rFonts w:ascii="Times New Roman" w:hAnsi="Times New Roman" w:cs="Times New Roman"/>
          <w:lang w:val="nl-NL"/>
        </w:rPr>
        <w:t>partijen binnen het Nederlandse stelsel. Daar waar voorstanders voor keuzevrijheid in eerste instantie slechts te vinden waren onder partijen met sterke fin</w:t>
      </w:r>
      <w:r w:rsidRPr="00C01BA4" w:rsidR="008A3793">
        <w:rPr>
          <w:rFonts w:ascii="Times New Roman" w:hAnsi="Times New Roman" w:cs="Times New Roman"/>
          <w:lang w:val="nl-NL"/>
        </w:rPr>
        <w:t>ancië</w:t>
      </w:r>
      <w:r w:rsidRPr="00C01BA4">
        <w:rPr>
          <w:rFonts w:ascii="Times New Roman" w:hAnsi="Times New Roman" w:cs="Times New Roman"/>
          <w:lang w:val="nl-NL"/>
        </w:rPr>
        <w:t xml:space="preserve">le en ideologische belangen bij dit onderwerp (zie </w:t>
      </w:r>
      <w:r w:rsidRPr="00C01BA4" w:rsidR="00F553F7">
        <w:rPr>
          <w:rFonts w:ascii="Times New Roman" w:hAnsi="Times New Roman" w:cs="Times New Roman"/>
          <w:lang w:val="nl-NL"/>
        </w:rPr>
        <w:t xml:space="preserve">Verbond van Verzekeraars 2014; </w:t>
      </w:r>
      <w:r w:rsidRPr="00C01BA4" w:rsidR="00C01BA4">
        <w:rPr>
          <w:rFonts w:ascii="Times New Roman" w:hAnsi="Times New Roman" w:cs="Times New Roman"/>
          <w:lang w:val="nl-NL"/>
        </w:rPr>
        <w:t>Teldersstichting 2012</w:t>
      </w:r>
      <w:r w:rsidRPr="00C01BA4">
        <w:rPr>
          <w:rFonts w:ascii="Times New Roman" w:hAnsi="Times New Roman" w:cs="Times New Roman"/>
          <w:lang w:val="nl-NL"/>
        </w:rPr>
        <w:t>), zie</w:t>
      </w:r>
      <w:r w:rsidRPr="00C01BA4" w:rsidR="00E45314">
        <w:rPr>
          <w:rFonts w:ascii="Times New Roman" w:hAnsi="Times New Roman" w:cs="Times New Roman"/>
          <w:lang w:val="nl-NL"/>
        </w:rPr>
        <w:t>n we nu een acceptatie van ideeë</w:t>
      </w:r>
      <w:r w:rsidRPr="00C01BA4">
        <w:rPr>
          <w:rFonts w:ascii="Times New Roman" w:hAnsi="Times New Roman" w:cs="Times New Roman"/>
          <w:lang w:val="nl-NL"/>
        </w:rPr>
        <w:t>n omtrent individualisering en liberalisering van de tweede</w:t>
      </w:r>
      <w:r w:rsidRPr="00B5587A">
        <w:rPr>
          <w:rFonts w:ascii="Times New Roman" w:hAnsi="Times New Roman" w:cs="Times New Roman"/>
          <w:lang w:val="nl-NL"/>
        </w:rPr>
        <w:t xml:space="preserve"> pijler</w:t>
      </w:r>
      <w:r w:rsidRPr="00B5587A" w:rsidR="00F553F7">
        <w:rPr>
          <w:rFonts w:ascii="Times New Roman" w:hAnsi="Times New Roman" w:cs="Times New Roman"/>
          <w:lang w:val="nl-NL"/>
        </w:rPr>
        <w:t xml:space="preserve"> over een veel breder politiek </w:t>
      </w:r>
      <w:r w:rsidRPr="00E45314" w:rsidR="00F553F7">
        <w:rPr>
          <w:rFonts w:ascii="Times New Roman" w:hAnsi="Times New Roman" w:cs="Times New Roman"/>
          <w:lang w:val="nl-NL"/>
        </w:rPr>
        <w:t>spectrum</w:t>
      </w:r>
      <w:r w:rsidRPr="00E45314">
        <w:rPr>
          <w:rFonts w:ascii="Times New Roman" w:hAnsi="Times New Roman" w:cs="Times New Roman"/>
          <w:lang w:val="nl-NL"/>
        </w:rPr>
        <w:t>. Een dergelijke acceptatie</w:t>
      </w:r>
      <w:r w:rsidRPr="00E45314" w:rsidR="00E45314">
        <w:rPr>
          <w:rFonts w:ascii="Times New Roman" w:hAnsi="Times New Roman" w:cs="Times New Roman"/>
          <w:lang w:val="nl-NL"/>
        </w:rPr>
        <w:t xml:space="preserve"> is ongetwijfeld te wijten aan de toegenomen </w:t>
      </w:r>
      <w:r w:rsidRPr="00E45314">
        <w:rPr>
          <w:rFonts w:ascii="Times New Roman" w:hAnsi="Times New Roman" w:cs="Times New Roman"/>
          <w:lang w:val="nl-NL"/>
        </w:rPr>
        <w:t>politisering</w:t>
      </w:r>
      <w:r w:rsidRPr="00E45314" w:rsidR="00E45314">
        <w:rPr>
          <w:rFonts w:ascii="Times New Roman" w:hAnsi="Times New Roman" w:cs="Times New Roman"/>
          <w:lang w:val="nl-NL"/>
        </w:rPr>
        <w:t xml:space="preserve"> van</w:t>
      </w:r>
      <w:r w:rsidR="00E45314">
        <w:rPr>
          <w:rFonts w:ascii="Times New Roman" w:hAnsi="Times New Roman" w:cs="Times New Roman"/>
          <w:lang w:val="nl-NL"/>
        </w:rPr>
        <w:t xml:space="preserve"> het thema keuzevrijheid</w:t>
      </w:r>
      <w:r w:rsidRPr="00B5587A">
        <w:rPr>
          <w:rFonts w:ascii="Times New Roman" w:hAnsi="Times New Roman" w:cs="Times New Roman"/>
          <w:lang w:val="nl-NL"/>
        </w:rPr>
        <w:t>. Soms is er echter ook sprake van</w:t>
      </w:r>
      <w:r w:rsidRPr="00B5587A" w:rsidR="00F553F7">
        <w:rPr>
          <w:rFonts w:ascii="Times New Roman" w:hAnsi="Times New Roman" w:cs="Times New Roman"/>
          <w:lang w:val="nl-NL"/>
        </w:rPr>
        <w:t xml:space="preserve"> een zekere</w:t>
      </w:r>
      <w:r w:rsidRPr="00B5587A">
        <w:rPr>
          <w:rFonts w:ascii="Times New Roman" w:hAnsi="Times New Roman" w:cs="Times New Roman"/>
          <w:lang w:val="nl-NL"/>
        </w:rPr>
        <w:t xml:space="preserve"> co</w:t>
      </w:r>
      <w:r w:rsidRPr="00B5587A" w:rsidR="00F813B8">
        <w:rPr>
          <w:rFonts w:ascii="Times New Roman" w:hAnsi="Times New Roman" w:cs="Times New Roman"/>
          <w:lang w:val="nl-NL"/>
        </w:rPr>
        <w:t>ö</w:t>
      </w:r>
      <w:r w:rsidRPr="00B5587A">
        <w:rPr>
          <w:rFonts w:ascii="Times New Roman" w:hAnsi="Times New Roman" w:cs="Times New Roman"/>
          <w:lang w:val="nl-NL"/>
        </w:rPr>
        <w:t xml:space="preserve">ptatie </w:t>
      </w:r>
      <w:r w:rsidRPr="00B5587A" w:rsidR="00F813B8">
        <w:rPr>
          <w:rFonts w:ascii="Times New Roman" w:hAnsi="Times New Roman" w:cs="Times New Roman"/>
          <w:lang w:val="nl-NL"/>
        </w:rPr>
        <w:t xml:space="preserve">van het idee van keuzevrijheid. </w:t>
      </w:r>
      <w:r w:rsidRPr="00B5587A" w:rsidR="003A1135">
        <w:rPr>
          <w:rFonts w:ascii="Times New Roman" w:hAnsi="Times New Roman" w:cs="Times New Roman"/>
          <w:lang w:val="nl-NL"/>
        </w:rPr>
        <w:t xml:space="preserve">Zo </w:t>
      </w:r>
      <w:r w:rsidR="00FD775D">
        <w:rPr>
          <w:rFonts w:ascii="Times New Roman" w:hAnsi="Times New Roman" w:cs="Times New Roman"/>
          <w:lang w:val="nl-NL"/>
        </w:rPr>
        <w:t>is</w:t>
      </w:r>
      <w:r w:rsidRPr="00B5587A" w:rsidR="003A1135">
        <w:rPr>
          <w:rFonts w:ascii="Times New Roman" w:hAnsi="Times New Roman" w:cs="Times New Roman"/>
          <w:lang w:val="nl-NL"/>
        </w:rPr>
        <w:t xml:space="preserve"> in het verleden weerstand tegen het verhogen van de AOW-leeftijd eveneens verwoo</w:t>
      </w:r>
      <w:r w:rsidR="00C01BA4">
        <w:rPr>
          <w:rFonts w:ascii="Times New Roman" w:hAnsi="Times New Roman" w:cs="Times New Roman"/>
          <w:lang w:val="nl-NL"/>
        </w:rPr>
        <w:t>rd in termen van keuzevrijheid</w:t>
      </w:r>
      <w:r w:rsidRPr="00B5587A" w:rsidR="003A1135">
        <w:rPr>
          <w:rFonts w:ascii="Times New Roman" w:hAnsi="Times New Roman" w:cs="Times New Roman"/>
          <w:lang w:val="nl-NL"/>
        </w:rPr>
        <w:t xml:space="preserve">. </w:t>
      </w:r>
      <w:r w:rsidRPr="00B5587A" w:rsidR="003E37CB">
        <w:rPr>
          <w:rFonts w:ascii="Times New Roman" w:hAnsi="Times New Roman" w:cs="Times New Roman"/>
          <w:lang w:val="nl-NL"/>
        </w:rPr>
        <w:t xml:space="preserve">Daarmee is </w:t>
      </w:r>
      <w:r w:rsidR="00E45314">
        <w:rPr>
          <w:rFonts w:ascii="Times New Roman" w:hAnsi="Times New Roman" w:cs="Times New Roman"/>
          <w:lang w:val="nl-NL"/>
        </w:rPr>
        <w:t xml:space="preserve">de term keuzevrijheid een waar </w:t>
      </w:r>
      <w:proofErr w:type="spellStart"/>
      <w:r w:rsidRPr="00E45314" w:rsidR="003E37CB">
        <w:rPr>
          <w:rFonts w:ascii="Times New Roman" w:hAnsi="Times New Roman" w:cs="Times New Roman"/>
          <w:i/>
          <w:lang w:val="nl-NL"/>
        </w:rPr>
        <w:t>buzzwo</w:t>
      </w:r>
      <w:r w:rsidRPr="00E45314" w:rsidR="00E45314">
        <w:rPr>
          <w:rFonts w:ascii="Times New Roman" w:hAnsi="Times New Roman" w:cs="Times New Roman"/>
          <w:i/>
          <w:lang w:val="nl-NL"/>
        </w:rPr>
        <w:t>rd</w:t>
      </w:r>
      <w:proofErr w:type="spellEnd"/>
      <w:r w:rsidRPr="00B5587A" w:rsidR="00F813B8">
        <w:rPr>
          <w:rFonts w:ascii="Times New Roman" w:hAnsi="Times New Roman" w:cs="Times New Roman"/>
          <w:lang w:val="nl-NL"/>
        </w:rPr>
        <w:t xml:space="preserve"> geworden, waaronder </w:t>
      </w:r>
      <w:r w:rsidRPr="00B5587A" w:rsidR="00DD18D8">
        <w:rPr>
          <w:rFonts w:ascii="Times New Roman" w:hAnsi="Times New Roman" w:cs="Times New Roman"/>
          <w:lang w:val="nl-NL"/>
        </w:rPr>
        <w:t>zeer uiteenlopende beleids</w:t>
      </w:r>
      <w:r w:rsidRPr="00B5587A" w:rsidR="00F813B8">
        <w:rPr>
          <w:rFonts w:ascii="Times New Roman" w:hAnsi="Times New Roman" w:cs="Times New Roman"/>
          <w:lang w:val="nl-NL"/>
        </w:rPr>
        <w:t xml:space="preserve">voorstellen vallen. </w:t>
      </w:r>
      <w:r w:rsidR="00E45314">
        <w:rPr>
          <w:rFonts w:ascii="Times New Roman" w:hAnsi="Times New Roman" w:cs="Times New Roman"/>
          <w:lang w:val="nl-NL"/>
        </w:rPr>
        <w:t>Dit roept de vraag op: a</w:t>
      </w:r>
      <w:r w:rsidRPr="00B5587A" w:rsidR="00DD18D8">
        <w:rPr>
          <w:rFonts w:ascii="Times New Roman" w:hAnsi="Times New Roman" w:cs="Times New Roman"/>
          <w:lang w:val="nl-NL"/>
        </w:rPr>
        <w:t>ls er gesproken wordt over keuzevrijheid in het pensioenstelsel, wat wordt er nu eigenlijk precies bedoeld?</w:t>
      </w:r>
    </w:p>
    <w:p w:rsidRPr="00B5587A" w:rsidR="00E96F24" w:rsidP="00B97F96" w:rsidRDefault="00E96F24" w14:paraId="7500E680" w14:textId="77777777">
      <w:pPr>
        <w:rPr>
          <w:rFonts w:ascii="Times New Roman" w:hAnsi="Times New Roman" w:cs="Times New Roman"/>
          <w:lang w:val="nl-NL"/>
        </w:rPr>
      </w:pPr>
    </w:p>
    <w:p w:rsidRPr="00B5587A" w:rsidR="003921B4" w:rsidP="003921B4" w:rsidRDefault="00F553F7" w14:paraId="5CCB8606" w14:textId="19F43AD0">
      <w:pPr>
        <w:rPr>
          <w:rFonts w:ascii="Times New Roman" w:hAnsi="Times New Roman" w:cs="Times New Roman"/>
          <w:u w:val="single"/>
          <w:lang w:val="nl-NL"/>
        </w:rPr>
      </w:pPr>
      <w:r w:rsidRPr="00B5587A">
        <w:rPr>
          <w:rFonts w:ascii="Times New Roman" w:hAnsi="Times New Roman" w:cs="Times New Roman"/>
          <w:u w:val="single"/>
          <w:lang w:val="nl-NL"/>
        </w:rPr>
        <w:t>Vormen</w:t>
      </w:r>
      <w:r w:rsidRPr="00B5587A" w:rsidR="003921B4">
        <w:rPr>
          <w:rFonts w:ascii="Times New Roman" w:hAnsi="Times New Roman" w:cs="Times New Roman"/>
          <w:u w:val="single"/>
          <w:lang w:val="nl-NL"/>
        </w:rPr>
        <w:t xml:space="preserve"> van keuzevrijheid</w:t>
      </w:r>
      <w:r w:rsidRPr="00B5587A">
        <w:rPr>
          <w:rFonts w:ascii="Times New Roman" w:hAnsi="Times New Roman" w:cs="Times New Roman"/>
          <w:u w:val="single"/>
          <w:lang w:val="nl-NL"/>
        </w:rPr>
        <w:t xml:space="preserve"> ten aanzien van pensioen </w:t>
      </w:r>
    </w:p>
    <w:p w:rsidRPr="00B5587A" w:rsidR="00F553F7" w:rsidP="00F553F7" w:rsidRDefault="00F553F7" w14:paraId="72F9271C" w14:textId="51CBCC00">
      <w:pPr>
        <w:jc w:val="both"/>
        <w:rPr>
          <w:rFonts w:ascii="Times New Roman" w:hAnsi="Times New Roman" w:cs="Times New Roman"/>
          <w:lang w:val="nl-NL"/>
        </w:rPr>
      </w:pPr>
      <w:r w:rsidRPr="00B5587A">
        <w:rPr>
          <w:rFonts w:ascii="Times New Roman" w:hAnsi="Times New Roman" w:cs="Times New Roman"/>
          <w:lang w:val="nl-NL"/>
        </w:rPr>
        <w:t xml:space="preserve">Er zijn verschillende vormen van keuzevrijheid met betrekking tot pensioen denkbaar. In het AIAS-project ‘Keuzevrijheid en Pensioenen’ maakten mijn </w:t>
      </w:r>
      <w:proofErr w:type="spellStart"/>
      <w:r w:rsidRPr="00B5587A">
        <w:rPr>
          <w:rFonts w:ascii="Times New Roman" w:hAnsi="Times New Roman" w:cs="Times New Roman"/>
          <w:lang w:val="nl-NL"/>
        </w:rPr>
        <w:t>co-auteurs</w:t>
      </w:r>
      <w:proofErr w:type="spellEnd"/>
      <w:r w:rsidRPr="00B5587A">
        <w:rPr>
          <w:rFonts w:ascii="Times New Roman" w:hAnsi="Times New Roman" w:cs="Times New Roman"/>
          <w:lang w:val="nl-NL"/>
        </w:rPr>
        <w:t xml:space="preserve"> en ik een </w:t>
      </w:r>
      <w:r w:rsidRPr="002904D3">
        <w:rPr>
          <w:rFonts w:ascii="Times New Roman" w:hAnsi="Times New Roman" w:cs="Times New Roman"/>
          <w:lang w:val="nl-NL"/>
        </w:rPr>
        <w:t>onderscheid tussen vier soorten keuzevrijheid ten aanzien van pensioen</w:t>
      </w:r>
      <w:r w:rsidRPr="002904D3" w:rsidR="00450740">
        <w:rPr>
          <w:rFonts w:ascii="Times New Roman" w:hAnsi="Times New Roman" w:cs="Times New Roman"/>
          <w:lang w:val="nl-NL"/>
        </w:rPr>
        <w:t>, waarbij wij ons beperkten tot de tweede pijler van de arbeidsvoorwaardelijke pensioenen</w:t>
      </w:r>
      <w:r w:rsidRPr="002904D3">
        <w:rPr>
          <w:rFonts w:ascii="Times New Roman" w:hAnsi="Times New Roman" w:cs="Times New Roman"/>
          <w:lang w:val="nl-NL"/>
        </w:rPr>
        <w:t xml:space="preserve"> (zie De Beer et al</w:t>
      </w:r>
      <w:r w:rsidRPr="002904D3" w:rsidR="00430839">
        <w:rPr>
          <w:rFonts w:ascii="Times New Roman" w:hAnsi="Times New Roman" w:cs="Times New Roman"/>
          <w:lang w:val="nl-NL"/>
        </w:rPr>
        <w:t>. 2015).</w:t>
      </w:r>
      <w:r w:rsidR="00430839">
        <w:rPr>
          <w:rFonts w:ascii="Times New Roman" w:hAnsi="Times New Roman" w:cs="Times New Roman"/>
          <w:lang w:val="nl-NL"/>
        </w:rPr>
        <w:t xml:space="preserve"> Allereerst onderscheid</w:t>
      </w:r>
      <w:r w:rsidRPr="00B5587A">
        <w:rPr>
          <w:rFonts w:ascii="Times New Roman" w:hAnsi="Times New Roman" w:cs="Times New Roman"/>
          <w:lang w:val="nl-NL"/>
        </w:rPr>
        <w:t>en wij de keuze voor een pens</w:t>
      </w:r>
      <w:r w:rsidR="00B5587A">
        <w:rPr>
          <w:rFonts w:ascii="Times New Roman" w:hAnsi="Times New Roman" w:cs="Times New Roman"/>
          <w:lang w:val="nl-NL"/>
        </w:rPr>
        <w:t xml:space="preserve">ioenuitvoerder van </w:t>
      </w:r>
      <w:r w:rsidR="00B5587A">
        <w:rPr>
          <w:rFonts w:ascii="Times New Roman" w:hAnsi="Times New Roman" w:cs="Times New Roman"/>
          <w:lang w:val="nl-NL"/>
        </w:rPr>
        <w:lastRenderedPageBreak/>
        <w:t>keuze</w:t>
      </w:r>
      <w:r w:rsidRPr="00B5587A">
        <w:rPr>
          <w:rFonts w:ascii="Times New Roman" w:hAnsi="Times New Roman" w:cs="Times New Roman"/>
          <w:lang w:val="nl-NL"/>
        </w:rPr>
        <w:t>mogelijkheden binnen de pensioenregeling. Wat betreft deze tweede categorie valt te denken aan bestaande opties, zoals de uitruil van pensioensoorten of een variabele pensioenuitkering, maar ook aan keuzes met betrekking tot beleggingen of</w:t>
      </w:r>
      <w:r w:rsidR="00430839">
        <w:rPr>
          <w:rFonts w:ascii="Times New Roman" w:hAnsi="Times New Roman" w:cs="Times New Roman"/>
          <w:lang w:val="nl-NL"/>
        </w:rPr>
        <w:t xml:space="preserve"> de pensioenopbouw. Daarnaast ne</w:t>
      </w:r>
      <w:r w:rsidRPr="00B5587A">
        <w:rPr>
          <w:rFonts w:ascii="Times New Roman" w:hAnsi="Times New Roman" w:cs="Times New Roman"/>
          <w:lang w:val="nl-NL"/>
        </w:rPr>
        <w:t>men wij in overweging voor wie de keuzevrijheid bedoeld was: de werkgever of de werknemer. Daarbij hebben wij keuzevrijheid in eerste instantie opgevat als een zaak van de individuele werknemer of werkgever. Toch is het niet ondenkbaar om beslissingen over pensioen over te laten aan (eventueel nieuwe) collectiviteiten van werknemers of werkgevers.</w:t>
      </w:r>
    </w:p>
    <w:p w:rsidRPr="00B5587A" w:rsidR="001462EC" w:rsidP="003921B4" w:rsidRDefault="001462EC" w14:paraId="1359C3FF" w14:textId="77777777">
      <w:pPr>
        <w:jc w:val="both"/>
        <w:rPr>
          <w:rFonts w:ascii="Times New Roman" w:hAnsi="Times New Roman" w:cs="Times New Roman"/>
          <w:lang w:val="nl-NL"/>
        </w:rPr>
      </w:pPr>
    </w:p>
    <w:p w:rsidRPr="00B5587A" w:rsidR="003921B4" w:rsidP="003921B4" w:rsidRDefault="001462EC" w14:paraId="10944F82" w14:textId="4F7905EC">
      <w:pPr>
        <w:jc w:val="both"/>
        <w:rPr>
          <w:rFonts w:ascii="Times New Roman" w:hAnsi="Times New Roman" w:cs="Times New Roman"/>
          <w:lang w:val="nl-NL"/>
        </w:rPr>
      </w:pPr>
      <w:r w:rsidRPr="00B5587A">
        <w:rPr>
          <w:rFonts w:ascii="Times New Roman" w:hAnsi="Times New Roman" w:cs="Times New Roman"/>
          <w:lang w:val="nl-NL"/>
        </w:rPr>
        <w:t xml:space="preserve">Individuele keuze voor een pensioenuitvoerder </w:t>
      </w:r>
      <w:r w:rsidR="0022094E">
        <w:rPr>
          <w:rFonts w:ascii="Times New Roman" w:hAnsi="Times New Roman" w:cs="Times New Roman"/>
          <w:lang w:val="nl-NL"/>
        </w:rPr>
        <w:t>houdt in dat werknemers of werkgevers</w:t>
      </w:r>
      <w:r w:rsidRPr="00B5587A" w:rsidR="003921B4">
        <w:rPr>
          <w:rFonts w:ascii="Times New Roman" w:hAnsi="Times New Roman" w:cs="Times New Roman"/>
          <w:lang w:val="nl-NL"/>
        </w:rPr>
        <w:t xml:space="preserve"> zelf een pensioenuitvoerder kunnen kiezen die past bij hun voorkeuren. </w:t>
      </w:r>
      <w:r w:rsidR="0022094E">
        <w:rPr>
          <w:rFonts w:ascii="Times New Roman" w:hAnsi="Times New Roman" w:cs="Times New Roman"/>
          <w:lang w:val="nl-NL"/>
        </w:rPr>
        <w:t xml:space="preserve">Deze </w:t>
      </w:r>
      <w:r w:rsidRPr="00B5587A" w:rsidR="0022094E">
        <w:rPr>
          <w:rFonts w:ascii="Times New Roman" w:hAnsi="Times New Roman" w:cs="Times New Roman"/>
          <w:lang w:val="nl-NL"/>
        </w:rPr>
        <w:t>vorm van keuzevrijheid</w:t>
      </w:r>
      <w:r w:rsidR="0022094E">
        <w:rPr>
          <w:rFonts w:ascii="Times New Roman" w:hAnsi="Times New Roman" w:cs="Times New Roman"/>
          <w:lang w:val="nl-NL"/>
        </w:rPr>
        <w:t xml:space="preserve"> </w:t>
      </w:r>
      <w:r w:rsidRPr="00B5587A" w:rsidR="0022094E">
        <w:rPr>
          <w:rFonts w:ascii="Times New Roman" w:hAnsi="Times New Roman" w:cs="Times New Roman"/>
          <w:lang w:val="nl-NL"/>
        </w:rPr>
        <w:t xml:space="preserve">staat het verste af van de huidige praktijk. </w:t>
      </w:r>
      <w:r w:rsidR="0022094E">
        <w:rPr>
          <w:rFonts w:ascii="Times New Roman" w:hAnsi="Times New Roman" w:cs="Times New Roman"/>
          <w:lang w:val="nl-NL"/>
        </w:rPr>
        <w:t>Bij keuzevrijheid voor een pensioenuitvoerder</w:t>
      </w:r>
      <w:r w:rsidRPr="00B5587A" w:rsidR="003921B4">
        <w:rPr>
          <w:rFonts w:ascii="Times New Roman" w:hAnsi="Times New Roman" w:cs="Times New Roman"/>
          <w:lang w:val="nl-NL"/>
        </w:rPr>
        <w:t xml:space="preserve"> zou de ontstane concurrentie tussen pensioenuitvoerders hen een prikkel kunnen geven om beter te presteren middels betere rendementen en/of lagere kosten. Hierdoor zouden deelnemers niet alleen meer controle over hun pensioen krijgen, maar ook betere pensioenen. Keuzevrijheid functioneert dus als feedbackmechanisme, waarbij het vertrek van de deelnemers de uitvoerder een prikkel geeft om de kwaliteit van het gebodene te verhogen. Een dergelijke prikkel wordt ook onderkend door voorstanders van keuzevrijheid in het pensioendebat: de mogelijkheid van deelnemers om over te stappen naar een andere uitvoerder zal pensioenfondsen stimuleren de rendementen te verhogen en de administratiekosten te verlagen</w:t>
      </w:r>
      <w:r w:rsidR="00430839">
        <w:rPr>
          <w:rFonts w:ascii="Times New Roman" w:hAnsi="Times New Roman" w:cs="Times New Roman"/>
          <w:lang w:val="nl-NL"/>
        </w:rPr>
        <w:t xml:space="preserve"> (</w:t>
      </w:r>
      <w:proofErr w:type="spellStart"/>
      <w:r w:rsidR="00526EF9">
        <w:rPr>
          <w:rFonts w:ascii="Times New Roman" w:hAnsi="Times New Roman" w:cs="Times New Roman"/>
          <w:lang w:val="nl-NL"/>
        </w:rPr>
        <w:t>Stellinga</w:t>
      </w:r>
      <w:proofErr w:type="spellEnd"/>
      <w:r w:rsidR="00526EF9">
        <w:rPr>
          <w:rFonts w:ascii="Times New Roman" w:hAnsi="Times New Roman" w:cs="Times New Roman"/>
          <w:lang w:val="nl-NL"/>
        </w:rPr>
        <w:t xml:space="preserve"> 2011, </w:t>
      </w:r>
      <w:r w:rsidRPr="00526EF9" w:rsidR="00526EF9">
        <w:rPr>
          <w:rFonts w:ascii="Times New Roman" w:hAnsi="Times New Roman" w:cs="Times New Roman"/>
          <w:i/>
          <w:lang w:val="nl-NL"/>
        </w:rPr>
        <w:t>De Telegraaf</w:t>
      </w:r>
      <w:r w:rsidR="00526EF9">
        <w:rPr>
          <w:rFonts w:ascii="Times New Roman" w:hAnsi="Times New Roman" w:cs="Times New Roman"/>
          <w:lang w:val="nl-NL"/>
        </w:rPr>
        <w:t xml:space="preserve"> 2014</w:t>
      </w:r>
      <w:r w:rsidR="00430839">
        <w:rPr>
          <w:rFonts w:ascii="Times New Roman" w:hAnsi="Times New Roman" w:cs="Times New Roman"/>
          <w:lang w:val="nl-NL"/>
        </w:rPr>
        <w:t>)</w:t>
      </w:r>
      <w:r w:rsidRPr="00B5587A" w:rsidR="003921B4">
        <w:rPr>
          <w:rFonts w:ascii="Times New Roman" w:hAnsi="Times New Roman" w:cs="Times New Roman"/>
          <w:lang w:val="nl-NL"/>
        </w:rPr>
        <w:t xml:space="preserve">. </w:t>
      </w:r>
    </w:p>
    <w:p w:rsidRPr="00B5587A" w:rsidR="003921B4" w:rsidP="003921B4" w:rsidRDefault="003921B4" w14:paraId="24BAFA95" w14:textId="77777777">
      <w:pPr>
        <w:jc w:val="both"/>
        <w:rPr>
          <w:rFonts w:ascii="Times New Roman" w:hAnsi="Times New Roman" w:cs="Times New Roman"/>
          <w:lang w:val="nl-NL"/>
        </w:rPr>
      </w:pPr>
    </w:p>
    <w:p w:rsidR="004568F5" w:rsidP="003921B4" w:rsidRDefault="00746D87" w14:paraId="41BF2E0D" w14:textId="4C4DE7E9">
      <w:pPr>
        <w:jc w:val="both"/>
        <w:rPr>
          <w:rFonts w:ascii="Times New Roman" w:hAnsi="Times New Roman" w:cs="Times New Roman"/>
          <w:lang w:val="nl-NL"/>
        </w:rPr>
      </w:pPr>
      <w:r>
        <w:rPr>
          <w:rFonts w:ascii="Times New Roman" w:hAnsi="Times New Roman" w:cs="Times New Roman"/>
          <w:lang w:val="nl-NL"/>
        </w:rPr>
        <w:t>Tegen b</w:t>
      </w:r>
      <w:r w:rsidRPr="00430839" w:rsidR="00430839">
        <w:rPr>
          <w:rFonts w:ascii="Times New Roman" w:hAnsi="Times New Roman" w:cs="Times New Roman"/>
          <w:lang w:val="nl-NL"/>
        </w:rPr>
        <w:t xml:space="preserve">ovenstaande argumentatie </w:t>
      </w:r>
      <w:r>
        <w:rPr>
          <w:rFonts w:ascii="Times New Roman" w:hAnsi="Times New Roman" w:cs="Times New Roman"/>
          <w:lang w:val="nl-NL"/>
        </w:rPr>
        <w:t>kunnen</w:t>
      </w:r>
      <w:r w:rsidRPr="00430839" w:rsidR="00430839">
        <w:rPr>
          <w:rFonts w:ascii="Times New Roman" w:hAnsi="Times New Roman" w:cs="Times New Roman"/>
          <w:lang w:val="nl-NL"/>
        </w:rPr>
        <w:t xml:space="preserve"> </w:t>
      </w:r>
      <w:r w:rsidR="00456DAA">
        <w:rPr>
          <w:rFonts w:ascii="Times New Roman" w:hAnsi="Times New Roman" w:cs="Times New Roman"/>
          <w:lang w:val="nl-NL"/>
        </w:rPr>
        <w:t xml:space="preserve">een </w:t>
      </w:r>
      <w:r w:rsidRPr="00430839" w:rsidR="00430839">
        <w:rPr>
          <w:rFonts w:ascii="Times New Roman" w:hAnsi="Times New Roman" w:cs="Times New Roman"/>
          <w:lang w:val="nl-NL"/>
        </w:rPr>
        <w:t>twee</w:t>
      </w:r>
      <w:r w:rsidR="00456DAA">
        <w:rPr>
          <w:rFonts w:ascii="Times New Roman" w:hAnsi="Times New Roman" w:cs="Times New Roman"/>
          <w:lang w:val="nl-NL"/>
        </w:rPr>
        <w:t>tal</w:t>
      </w:r>
      <w:r w:rsidRPr="00430839" w:rsidR="00430839">
        <w:rPr>
          <w:rFonts w:ascii="Times New Roman" w:hAnsi="Times New Roman" w:cs="Times New Roman"/>
          <w:lang w:val="nl-NL"/>
        </w:rPr>
        <w:t xml:space="preserve"> bezwaren </w:t>
      </w:r>
      <w:r>
        <w:rPr>
          <w:rFonts w:ascii="Times New Roman" w:hAnsi="Times New Roman" w:cs="Times New Roman"/>
          <w:lang w:val="nl-NL"/>
        </w:rPr>
        <w:t>worden opgemerkt</w:t>
      </w:r>
      <w:r w:rsidRPr="00430839" w:rsidR="00430839">
        <w:rPr>
          <w:rFonts w:ascii="Times New Roman" w:hAnsi="Times New Roman" w:cs="Times New Roman"/>
          <w:lang w:val="nl-NL"/>
        </w:rPr>
        <w:t>.</w:t>
      </w:r>
      <w:r w:rsidRPr="00430839" w:rsidR="0022094E">
        <w:rPr>
          <w:rFonts w:ascii="Times New Roman" w:hAnsi="Times New Roman" w:cs="Times New Roman"/>
          <w:lang w:val="nl-NL"/>
        </w:rPr>
        <w:t xml:space="preserve"> </w:t>
      </w:r>
      <w:r w:rsidR="004568F5">
        <w:rPr>
          <w:rFonts w:ascii="Times New Roman" w:hAnsi="Times New Roman" w:cs="Times New Roman"/>
          <w:lang w:val="nl-NL"/>
        </w:rPr>
        <w:t xml:space="preserve">Allereerst hangt de effectiviteit van keuzevrijheid als feedbackmechanisme af van het </w:t>
      </w:r>
      <w:r w:rsidRPr="00B5587A" w:rsidR="004568F5">
        <w:rPr>
          <w:rFonts w:ascii="Times New Roman" w:hAnsi="Times New Roman" w:cs="Times New Roman"/>
          <w:lang w:val="nl-NL"/>
        </w:rPr>
        <w:t>aantal deelnemers dat overstapt, indien de prestaties van een pensioenuitvoerder afnemen: deze dient hoog genoeg te zijn voor uitvoerders om negatieve effect</w:t>
      </w:r>
      <w:r w:rsidR="004568F5">
        <w:rPr>
          <w:rFonts w:ascii="Times New Roman" w:hAnsi="Times New Roman" w:cs="Times New Roman"/>
          <w:lang w:val="nl-NL"/>
        </w:rPr>
        <w:t xml:space="preserve">en tegen te gaan. Uit de </w:t>
      </w:r>
      <w:proofErr w:type="spellStart"/>
      <w:r w:rsidR="004568F5">
        <w:rPr>
          <w:rFonts w:ascii="Times New Roman" w:hAnsi="Times New Roman" w:cs="Times New Roman"/>
          <w:lang w:val="nl-NL"/>
        </w:rPr>
        <w:t>gedrags</w:t>
      </w:r>
      <w:r w:rsidRPr="00B5587A" w:rsidR="004568F5">
        <w:rPr>
          <w:rFonts w:ascii="Times New Roman" w:hAnsi="Times New Roman" w:cs="Times New Roman"/>
          <w:lang w:val="nl-NL"/>
        </w:rPr>
        <w:t>economische</w:t>
      </w:r>
      <w:proofErr w:type="spellEnd"/>
      <w:r w:rsidRPr="00B5587A" w:rsidR="004568F5">
        <w:rPr>
          <w:rFonts w:ascii="Times New Roman" w:hAnsi="Times New Roman" w:cs="Times New Roman"/>
          <w:lang w:val="nl-NL"/>
        </w:rPr>
        <w:t xml:space="preserve"> literatuur weten we echter dat slechts een minderheid actieve keuzes maakt en dat </w:t>
      </w:r>
      <w:r w:rsidRPr="004D1585" w:rsidR="004568F5">
        <w:rPr>
          <w:rFonts w:ascii="Times New Roman" w:hAnsi="Times New Roman" w:cs="Times New Roman"/>
          <w:lang w:val="nl-NL"/>
        </w:rPr>
        <w:t>personen die keuzes veelal niet baseren op ‘rationele’ overwegingen (</w:t>
      </w:r>
      <w:proofErr w:type="spellStart"/>
      <w:r w:rsidRPr="004D1585" w:rsidR="004568F5">
        <w:rPr>
          <w:rFonts w:ascii="Times New Roman" w:hAnsi="Times New Roman" w:cs="Times New Roman"/>
          <w:lang w:val="nl-NL"/>
        </w:rPr>
        <w:t>Bodie</w:t>
      </w:r>
      <w:proofErr w:type="spellEnd"/>
      <w:r w:rsidRPr="004D1585" w:rsidR="004568F5">
        <w:rPr>
          <w:rFonts w:ascii="Times New Roman" w:hAnsi="Times New Roman" w:cs="Times New Roman"/>
          <w:lang w:val="nl-NL"/>
        </w:rPr>
        <w:t xml:space="preserve"> en </w:t>
      </w:r>
      <w:proofErr w:type="spellStart"/>
      <w:r w:rsidRPr="004D1585" w:rsidR="004568F5">
        <w:rPr>
          <w:rFonts w:ascii="Times New Roman" w:hAnsi="Times New Roman" w:cs="Times New Roman"/>
          <w:lang w:val="nl-NL"/>
        </w:rPr>
        <w:t>Prast</w:t>
      </w:r>
      <w:proofErr w:type="spellEnd"/>
      <w:r w:rsidRPr="004D1585" w:rsidR="004568F5">
        <w:rPr>
          <w:rFonts w:ascii="Times New Roman" w:hAnsi="Times New Roman" w:cs="Times New Roman"/>
          <w:lang w:val="nl-NL"/>
        </w:rPr>
        <w:t xml:space="preserve"> 2011</w:t>
      </w:r>
      <w:r w:rsidRPr="00B5587A" w:rsidR="004568F5">
        <w:rPr>
          <w:rFonts w:ascii="Times New Roman" w:hAnsi="Times New Roman" w:cs="Times New Roman"/>
          <w:lang w:val="nl-NL"/>
        </w:rPr>
        <w:t xml:space="preserve">). Ook ervaringen </w:t>
      </w:r>
      <w:r w:rsidR="002904D3">
        <w:rPr>
          <w:rFonts w:ascii="Times New Roman" w:hAnsi="Times New Roman" w:cs="Times New Roman"/>
          <w:lang w:val="nl-NL"/>
        </w:rPr>
        <w:t xml:space="preserve">uit Nederland en </w:t>
      </w:r>
      <w:r w:rsidR="004D1585">
        <w:rPr>
          <w:rFonts w:ascii="Times New Roman" w:hAnsi="Times New Roman" w:cs="Times New Roman"/>
          <w:lang w:val="nl-NL"/>
        </w:rPr>
        <w:t xml:space="preserve">uit </w:t>
      </w:r>
      <w:r w:rsidR="002904D3">
        <w:rPr>
          <w:rFonts w:ascii="Times New Roman" w:hAnsi="Times New Roman" w:cs="Times New Roman"/>
          <w:lang w:val="nl-NL"/>
        </w:rPr>
        <w:t xml:space="preserve">het buitenland wijzen deze kant op. Denk bijvoorbeeld aan het </w:t>
      </w:r>
      <w:r w:rsidR="004D1585">
        <w:rPr>
          <w:rFonts w:ascii="Times New Roman" w:hAnsi="Times New Roman" w:cs="Times New Roman"/>
          <w:lang w:val="nl-NL"/>
        </w:rPr>
        <w:t>geringe</w:t>
      </w:r>
      <w:r w:rsidR="002904D3">
        <w:rPr>
          <w:rFonts w:ascii="Times New Roman" w:hAnsi="Times New Roman" w:cs="Times New Roman"/>
          <w:lang w:val="nl-NL"/>
        </w:rPr>
        <w:t xml:space="preserve"> aantal </w:t>
      </w:r>
      <w:r w:rsidR="004D1585">
        <w:rPr>
          <w:rFonts w:ascii="Times New Roman" w:hAnsi="Times New Roman" w:cs="Times New Roman"/>
          <w:lang w:val="nl-NL"/>
        </w:rPr>
        <w:t xml:space="preserve">Nederlandse </w:t>
      </w:r>
      <w:r w:rsidR="002904D3">
        <w:rPr>
          <w:rFonts w:ascii="Times New Roman" w:hAnsi="Times New Roman" w:cs="Times New Roman"/>
          <w:lang w:val="nl-NL"/>
        </w:rPr>
        <w:t>deelnemers dat gebruik maakt van waardeoverdracht en de lage vrijwillige deelname van ZZP-</w:t>
      </w:r>
      <w:proofErr w:type="spellStart"/>
      <w:r w:rsidR="002904D3">
        <w:rPr>
          <w:rFonts w:ascii="Times New Roman" w:hAnsi="Times New Roman" w:cs="Times New Roman"/>
          <w:lang w:val="nl-NL"/>
        </w:rPr>
        <w:t>ers</w:t>
      </w:r>
      <w:proofErr w:type="spellEnd"/>
      <w:r w:rsidR="002904D3">
        <w:rPr>
          <w:rFonts w:ascii="Times New Roman" w:hAnsi="Times New Roman" w:cs="Times New Roman"/>
          <w:lang w:val="nl-NL"/>
        </w:rPr>
        <w:t xml:space="preserve"> aan </w:t>
      </w:r>
      <w:r w:rsidRPr="004D1585" w:rsidR="002904D3">
        <w:rPr>
          <w:rFonts w:ascii="Times New Roman" w:hAnsi="Times New Roman" w:cs="Times New Roman"/>
          <w:lang w:val="nl-NL"/>
        </w:rPr>
        <w:t>pensioenvoorzieningen</w:t>
      </w:r>
      <w:r w:rsidRPr="004D1585" w:rsidR="004D1585">
        <w:rPr>
          <w:rFonts w:ascii="Times New Roman" w:hAnsi="Times New Roman" w:cs="Times New Roman"/>
          <w:lang w:val="nl-NL"/>
        </w:rPr>
        <w:t xml:space="preserve"> (Berden en Kok 2010; SZW 2013)</w:t>
      </w:r>
      <w:r w:rsidRPr="004D1585" w:rsidR="002904D3">
        <w:rPr>
          <w:rFonts w:ascii="Times New Roman" w:hAnsi="Times New Roman" w:cs="Times New Roman"/>
          <w:lang w:val="nl-NL"/>
        </w:rPr>
        <w:t>.</w:t>
      </w:r>
      <w:r w:rsidR="002904D3">
        <w:rPr>
          <w:rFonts w:ascii="Times New Roman" w:hAnsi="Times New Roman" w:cs="Times New Roman"/>
          <w:lang w:val="nl-NL"/>
        </w:rPr>
        <w:t xml:space="preserve"> </w:t>
      </w:r>
      <w:r w:rsidR="00D97239">
        <w:rPr>
          <w:rFonts w:ascii="Times New Roman" w:hAnsi="Times New Roman" w:cs="Times New Roman"/>
          <w:lang w:val="nl-NL"/>
        </w:rPr>
        <w:t>Ten tweede is het zeker niet evident dat keuzevrijheid zal leiden tot hogere efficiëntie en lagere kosten in de pensioenuitvoering. Ervaringen met keuzevrijheid in andere landen, zoals het Verenigd Koninkrijk, Duitsland en Australië, laten zien dat ze gepaard gaat met extreem hoge administratie- en uitvoeringskosten. In Zweden namen de kosten ook toe door het ontstaan van een nieuwe adviesindustrie rond pensioen</w:t>
      </w:r>
      <w:r w:rsidR="002904D3">
        <w:rPr>
          <w:rFonts w:ascii="Times New Roman" w:hAnsi="Times New Roman" w:cs="Times New Roman"/>
          <w:lang w:val="nl-NL"/>
        </w:rPr>
        <w:t xml:space="preserve"> (De Beer et al. 2015)</w:t>
      </w:r>
      <w:r w:rsidR="00D97239">
        <w:rPr>
          <w:rFonts w:ascii="Times New Roman" w:hAnsi="Times New Roman" w:cs="Times New Roman"/>
          <w:lang w:val="nl-NL"/>
        </w:rPr>
        <w:t xml:space="preserve">. </w:t>
      </w:r>
    </w:p>
    <w:p w:rsidRPr="00B5587A" w:rsidR="001C57CC" w:rsidP="003921B4" w:rsidRDefault="001C57CC" w14:paraId="0D89934A" w14:textId="77777777">
      <w:pPr>
        <w:jc w:val="both"/>
        <w:rPr>
          <w:rFonts w:ascii="Times New Roman" w:hAnsi="Times New Roman" w:cs="Times New Roman"/>
          <w:lang w:val="nl-NL"/>
        </w:rPr>
      </w:pPr>
    </w:p>
    <w:p w:rsidR="00DF0622" w:rsidP="0022094E" w:rsidRDefault="00544A1F" w14:paraId="343D0F86" w14:textId="6FBC11F0">
      <w:pPr>
        <w:jc w:val="both"/>
        <w:rPr>
          <w:rFonts w:ascii="Times New Roman" w:hAnsi="Times New Roman" w:cs="Times New Roman"/>
          <w:lang w:val="nl-NL"/>
        </w:rPr>
      </w:pPr>
      <w:r w:rsidRPr="00DF0622">
        <w:rPr>
          <w:rFonts w:ascii="Times New Roman" w:hAnsi="Times New Roman" w:cs="Times New Roman"/>
          <w:lang w:val="nl-NL"/>
        </w:rPr>
        <w:t xml:space="preserve">Ook bij keuzevrijheid binnen de pensioenregeling zijn </w:t>
      </w:r>
      <w:r w:rsidRPr="00DF0622" w:rsidR="00DF0622">
        <w:rPr>
          <w:rFonts w:ascii="Times New Roman" w:hAnsi="Times New Roman" w:cs="Times New Roman"/>
          <w:lang w:val="nl-NL"/>
        </w:rPr>
        <w:t>bovenstaande</w:t>
      </w:r>
      <w:r w:rsidRPr="00DF0622">
        <w:rPr>
          <w:rFonts w:ascii="Times New Roman" w:hAnsi="Times New Roman" w:cs="Times New Roman"/>
          <w:lang w:val="nl-NL"/>
        </w:rPr>
        <w:t xml:space="preserve"> bezwaren aan te </w:t>
      </w:r>
      <w:r w:rsidRPr="00DF0622" w:rsidR="0066396F">
        <w:rPr>
          <w:rFonts w:ascii="Times New Roman" w:hAnsi="Times New Roman" w:cs="Times New Roman"/>
          <w:lang w:val="nl-NL"/>
        </w:rPr>
        <w:t>voeren</w:t>
      </w:r>
      <w:r w:rsidRPr="00DF0622">
        <w:rPr>
          <w:rFonts w:ascii="Times New Roman" w:hAnsi="Times New Roman" w:cs="Times New Roman"/>
          <w:lang w:val="nl-NL"/>
        </w:rPr>
        <w:t>. Slechts een minderheid van de deelnemers zal een actieve keuze maken</w:t>
      </w:r>
      <w:r w:rsidRPr="00DF0622" w:rsidR="00DF0622">
        <w:rPr>
          <w:rFonts w:ascii="Times New Roman" w:hAnsi="Times New Roman" w:cs="Times New Roman"/>
          <w:lang w:val="nl-NL"/>
        </w:rPr>
        <w:t xml:space="preserve">, terwijl personen die kiezen dit </w:t>
      </w:r>
      <w:r w:rsidRPr="00DF0622">
        <w:rPr>
          <w:rFonts w:ascii="Times New Roman" w:hAnsi="Times New Roman" w:cs="Times New Roman"/>
          <w:lang w:val="nl-NL"/>
        </w:rPr>
        <w:t xml:space="preserve">vaak op </w:t>
      </w:r>
      <w:r w:rsidRPr="00DF0622" w:rsidR="00DF0622">
        <w:rPr>
          <w:rFonts w:ascii="Times New Roman" w:hAnsi="Times New Roman" w:cs="Times New Roman"/>
          <w:lang w:val="nl-NL"/>
        </w:rPr>
        <w:t>‘</w:t>
      </w:r>
      <w:r w:rsidRPr="00DF0622">
        <w:rPr>
          <w:rFonts w:ascii="Times New Roman" w:hAnsi="Times New Roman" w:cs="Times New Roman"/>
          <w:lang w:val="nl-NL"/>
        </w:rPr>
        <w:t>niet-rationele</w:t>
      </w:r>
      <w:r w:rsidRPr="00DF0622" w:rsidR="00DF0622">
        <w:rPr>
          <w:rFonts w:ascii="Times New Roman" w:hAnsi="Times New Roman" w:cs="Times New Roman"/>
          <w:lang w:val="nl-NL"/>
        </w:rPr>
        <w:t>’</w:t>
      </w:r>
      <w:r w:rsidRPr="00DF0622">
        <w:rPr>
          <w:rFonts w:ascii="Times New Roman" w:hAnsi="Times New Roman" w:cs="Times New Roman"/>
          <w:lang w:val="nl-NL"/>
        </w:rPr>
        <w:t xml:space="preserve"> basis</w:t>
      </w:r>
      <w:r w:rsidRPr="00DF0622" w:rsidR="00DF0622">
        <w:rPr>
          <w:rFonts w:ascii="Times New Roman" w:hAnsi="Times New Roman" w:cs="Times New Roman"/>
          <w:lang w:val="nl-NL"/>
        </w:rPr>
        <w:t xml:space="preserve"> doen</w:t>
      </w:r>
      <w:r w:rsidRPr="00DF0622">
        <w:rPr>
          <w:rFonts w:ascii="Times New Roman" w:hAnsi="Times New Roman" w:cs="Times New Roman"/>
          <w:lang w:val="nl-NL"/>
        </w:rPr>
        <w:t xml:space="preserve">. </w:t>
      </w:r>
      <w:r w:rsidR="00DF0622">
        <w:rPr>
          <w:rFonts w:ascii="Times New Roman" w:hAnsi="Times New Roman" w:cs="Times New Roman"/>
          <w:lang w:val="nl-NL"/>
        </w:rPr>
        <w:t xml:space="preserve">Neem bijvoorbeeld de twee keuzemogelijkheden die momenteel veel ter discussie staan: (enige) keuzevrijheid voor het opbouwpercentage en beleggingsvrijheid. Bij eigen keuze </w:t>
      </w:r>
      <w:r w:rsidR="00867B2E">
        <w:rPr>
          <w:rFonts w:ascii="Times New Roman" w:hAnsi="Times New Roman" w:cs="Times New Roman"/>
          <w:lang w:val="nl-NL"/>
        </w:rPr>
        <w:t>kan het</w:t>
      </w:r>
      <w:r w:rsidR="00DF0622">
        <w:rPr>
          <w:rFonts w:ascii="Times New Roman" w:hAnsi="Times New Roman" w:cs="Times New Roman"/>
          <w:lang w:val="nl-NL"/>
        </w:rPr>
        <w:t xml:space="preserve"> </w:t>
      </w:r>
      <w:r w:rsidR="00867B2E">
        <w:rPr>
          <w:rFonts w:ascii="Times New Roman" w:hAnsi="Times New Roman" w:cs="Times New Roman"/>
          <w:lang w:val="nl-NL"/>
        </w:rPr>
        <w:t>opbouwpercentage aangepast worden aan de persoonlijke omstandigheden</w:t>
      </w:r>
      <w:r w:rsidR="00DF0622">
        <w:rPr>
          <w:rFonts w:ascii="Times New Roman" w:hAnsi="Times New Roman" w:cs="Times New Roman"/>
          <w:lang w:val="nl-NL"/>
        </w:rPr>
        <w:t xml:space="preserve">, zoals ook door de AFM </w:t>
      </w:r>
      <w:r w:rsidR="00867B2E">
        <w:rPr>
          <w:rFonts w:ascii="Times New Roman" w:hAnsi="Times New Roman" w:cs="Times New Roman"/>
          <w:lang w:val="nl-NL"/>
        </w:rPr>
        <w:t xml:space="preserve">(2015) </w:t>
      </w:r>
      <w:r w:rsidR="00DF0622">
        <w:rPr>
          <w:rFonts w:ascii="Times New Roman" w:hAnsi="Times New Roman" w:cs="Times New Roman"/>
          <w:lang w:val="nl-NL"/>
        </w:rPr>
        <w:t xml:space="preserve">werd geopperd. Toch bestaat ook de kans dat veel deelnemers </w:t>
      </w:r>
      <w:r w:rsidR="00E5097C">
        <w:rPr>
          <w:rFonts w:ascii="Times New Roman" w:hAnsi="Times New Roman" w:cs="Times New Roman"/>
          <w:lang w:val="nl-NL"/>
        </w:rPr>
        <w:t>op termijn onvoldoende pensioen zullen opbouwen, omdat zij een te laag opbouwpercentage kiezen (</w:t>
      </w:r>
      <w:r w:rsidR="00456DAA">
        <w:rPr>
          <w:rFonts w:ascii="Times New Roman" w:hAnsi="Times New Roman" w:cs="Times New Roman"/>
          <w:lang w:val="nl-NL"/>
        </w:rPr>
        <w:t xml:space="preserve">Delsen </w:t>
      </w:r>
      <w:r w:rsidR="00456DAA">
        <w:rPr>
          <w:rFonts w:ascii="Times New Roman" w:hAnsi="Times New Roman" w:cs="Times New Roman"/>
          <w:lang w:val="nl-NL"/>
        </w:rPr>
        <w:lastRenderedPageBreak/>
        <w:t>2014</w:t>
      </w:r>
      <w:r w:rsidR="00E5097C">
        <w:rPr>
          <w:rFonts w:ascii="Times New Roman" w:hAnsi="Times New Roman" w:cs="Times New Roman"/>
          <w:lang w:val="nl-NL"/>
        </w:rPr>
        <w:t>). Ook bij beleggingsvrijheid kunnen dergelijke problemen optreden. Zo ontbreekt vaak bij deelnemers</w:t>
      </w:r>
      <w:r w:rsidR="00456DAA">
        <w:rPr>
          <w:rFonts w:ascii="Times New Roman" w:hAnsi="Times New Roman" w:cs="Times New Roman"/>
          <w:lang w:val="nl-NL"/>
        </w:rPr>
        <w:t xml:space="preserve"> </w:t>
      </w:r>
      <w:r w:rsidR="00E5097C">
        <w:rPr>
          <w:rFonts w:ascii="Times New Roman" w:hAnsi="Times New Roman" w:cs="Times New Roman"/>
          <w:lang w:val="nl-NL"/>
        </w:rPr>
        <w:t xml:space="preserve">de financiële expertise om geschikte keuzes te maken, </w:t>
      </w:r>
      <w:r w:rsidR="00456DAA">
        <w:rPr>
          <w:rFonts w:ascii="Times New Roman" w:hAnsi="Times New Roman" w:cs="Times New Roman"/>
          <w:lang w:val="nl-NL"/>
        </w:rPr>
        <w:t xml:space="preserve">inzicht in de lange termijn, en </w:t>
      </w:r>
      <w:r w:rsidR="00E5097C">
        <w:rPr>
          <w:rFonts w:ascii="Times New Roman" w:hAnsi="Times New Roman" w:cs="Times New Roman"/>
          <w:lang w:val="nl-NL"/>
        </w:rPr>
        <w:t>zijn zij risicoavers en daardoor te behoudend in het beleggingsbeleid</w:t>
      </w:r>
      <w:r w:rsidR="00456DAA">
        <w:rPr>
          <w:rFonts w:ascii="Times New Roman" w:hAnsi="Times New Roman" w:cs="Times New Roman"/>
          <w:lang w:val="nl-NL"/>
        </w:rPr>
        <w:t xml:space="preserve"> (Delsen 2014)</w:t>
      </w:r>
      <w:r w:rsidR="00E5097C">
        <w:rPr>
          <w:rFonts w:ascii="Times New Roman" w:hAnsi="Times New Roman" w:cs="Times New Roman"/>
          <w:lang w:val="nl-NL"/>
        </w:rPr>
        <w:t>. Maar zelfs personen met  financiële expertise worden geconfronteerd met uiterst complexe keuzes, gezien de</w:t>
      </w:r>
      <w:r w:rsidR="00456DAA">
        <w:rPr>
          <w:rFonts w:ascii="Times New Roman" w:hAnsi="Times New Roman" w:cs="Times New Roman"/>
          <w:lang w:val="nl-NL"/>
        </w:rPr>
        <w:t xml:space="preserve"> grote</w:t>
      </w:r>
      <w:r w:rsidR="00E5097C">
        <w:rPr>
          <w:rFonts w:ascii="Times New Roman" w:hAnsi="Times New Roman" w:cs="Times New Roman"/>
          <w:lang w:val="nl-NL"/>
        </w:rPr>
        <w:t xml:space="preserve"> onzekerheid over hoeveel pensioen in de toekomst nodig zal zijn. Bij de huidige keuzemogelijkheden, zoals deeltijdpensioen of de variabele pensioenuitkering, spelen deze problemen minder een rol, omdat zij pas gemaakt worden op het moment van uittreding (De Beer at al. 2015). </w:t>
      </w:r>
    </w:p>
    <w:p w:rsidR="001C57CC" w:rsidP="001C57CC" w:rsidRDefault="001C57CC" w14:paraId="2C5B0BF2" w14:textId="77777777">
      <w:pPr>
        <w:jc w:val="both"/>
        <w:rPr>
          <w:rFonts w:ascii="Times New Roman" w:hAnsi="Times New Roman" w:cs="Times New Roman"/>
          <w:lang w:val="nl-NL"/>
        </w:rPr>
      </w:pPr>
    </w:p>
    <w:p w:rsidRPr="00F75AB3" w:rsidR="00F23FDE" w:rsidP="00F23FDE" w:rsidRDefault="00557865" w14:paraId="0BA46030" w14:textId="360E9E20">
      <w:pPr>
        <w:rPr>
          <w:rFonts w:ascii="Times New Roman" w:hAnsi="Times New Roman" w:cs="Times New Roman"/>
          <w:u w:val="single"/>
          <w:lang w:val="nl-NL"/>
        </w:rPr>
      </w:pPr>
      <w:r>
        <w:rPr>
          <w:rFonts w:ascii="Times New Roman" w:hAnsi="Times New Roman" w:cs="Times New Roman"/>
          <w:u w:val="single"/>
          <w:lang w:val="nl-NL"/>
        </w:rPr>
        <w:t>De behoefte aan</w:t>
      </w:r>
      <w:r w:rsidRPr="00F23FDE" w:rsidR="00F23FDE">
        <w:rPr>
          <w:rFonts w:ascii="Times New Roman" w:hAnsi="Times New Roman" w:cs="Times New Roman"/>
          <w:u w:val="single"/>
          <w:lang w:val="nl-NL"/>
        </w:rPr>
        <w:t xml:space="preserve"> keuzevrijheid</w:t>
      </w:r>
    </w:p>
    <w:p w:rsidRPr="00F23FDE" w:rsidR="00F23FDE" w:rsidP="00F23FDE" w:rsidRDefault="00F23FDE" w14:paraId="3C0ACF7B" w14:textId="7E584C71">
      <w:pPr>
        <w:jc w:val="both"/>
        <w:rPr>
          <w:rFonts w:ascii="Times New Roman" w:hAnsi="Times New Roman" w:cs="Times New Roman"/>
          <w:lang w:val="nl-NL"/>
        </w:rPr>
      </w:pPr>
      <w:proofErr w:type="spellStart"/>
      <w:r w:rsidRPr="00F23FDE">
        <w:rPr>
          <w:rFonts w:ascii="Times New Roman" w:hAnsi="Times New Roman" w:cs="Times New Roman"/>
          <w:lang w:val="nl-NL"/>
        </w:rPr>
        <w:t>Surveys</w:t>
      </w:r>
      <w:proofErr w:type="spellEnd"/>
      <w:r w:rsidRPr="00F23FDE">
        <w:rPr>
          <w:rFonts w:ascii="Times New Roman" w:hAnsi="Times New Roman" w:cs="Times New Roman"/>
          <w:lang w:val="nl-NL"/>
        </w:rPr>
        <w:t xml:space="preserve"> geven een tegenstrijdig beeld over de mate waarin burgers behoefte hebben aan meer keuzevrijhei</w:t>
      </w:r>
      <w:r w:rsidR="00087E75">
        <w:rPr>
          <w:rFonts w:ascii="Times New Roman" w:hAnsi="Times New Roman" w:cs="Times New Roman"/>
          <w:lang w:val="nl-NL"/>
        </w:rPr>
        <w:t xml:space="preserve">d ten aanzien van pensioen. Sommige </w:t>
      </w:r>
      <w:proofErr w:type="spellStart"/>
      <w:r w:rsidR="00087E75">
        <w:rPr>
          <w:rFonts w:ascii="Times New Roman" w:hAnsi="Times New Roman" w:cs="Times New Roman"/>
          <w:lang w:val="nl-NL"/>
        </w:rPr>
        <w:t>surveys</w:t>
      </w:r>
      <w:proofErr w:type="spellEnd"/>
      <w:r w:rsidR="00087E75">
        <w:rPr>
          <w:rFonts w:ascii="Times New Roman" w:hAnsi="Times New Roman" w:cs="Times New Roman"/>
          <w:lang w:val="nl-NL"/>
        </w:rPr>
        <w:t xml:space="preserve"> geven aan dat respondenten meer keuzevrijheid willen, andere wijzen juist uit dat respondenten dit liever aan pensioenfonds of sociale partners overlaten. </w:t>
      </w:r>
      <w:r w:rsidR="00035AA8">
        <w:rPr>
          <w:rFonts w:ascii="Times New Roman" w:hAnsi="Times New Roman" w:cs="Times New Roman"/>
          <w:lang w:val="nl-NL"/>
        </w:rPr>
        <w:t xml:space="preserve">Dit is niet zo vreemd: </w:t>
      </w:r>
      <w:r w:rsidRPr="00F23FDE" w:rsidR="00035AA8">
        <w:rPr>
          <w:rFonts w:ascii="Times New Roman" w:hAnsi="Times New Roman" w:cs="Times New Roman"/>
          <w:lang w:val="nl-NL"/>
        </w:rPr>
        <w:t xml:space="preserve">de specifieke bewoording van de vraagstelling in </w:t>
      </w:r>
      <w:proofErr w:type="spellStart"/>
      <w:r w:rsidRPr="00F23FDE" w:rsidR="00035AA8">
        <w:rPr>
          <w:rFonts w:ascii="Times New Roman" w:hAnsi="Times New Roman" w:cs="Times New Roman"/>
          <w:lang w:val="nl-NL"/>
        </w:rPr>
        <w:t>surveys</w:t>
      </w:r>
      <w:proofErr w:type="spellEnd"/>
      <w:r w:rsidRPr="00F23FDE" w:rsidR="00035AA8">
        <w:rPr>
          <w:rFonts w:ascii="Times New Roman" w:hAnsi="Times New Roman" w:cs="Times New Roman"/>
          <w:lang w:val="nl-NL"/>
        </w:rPr>
        <w:t xml:space="preserve"> naar keuzevrijheid in het pensioenstelsel </w:t>
      </w:r>
      <w:r w:rsidR="00035AA8">
        <w:rPr>
          <w:rFonts w:ascii="Times New Roman" w:hAnsi="Times New Roman" w:cs="Times New Roman"/>
          <w:lang w:val="nl-NL"/>
        </w:rPr>
        <w:t xml:space="preserve">kan </w:t>
      </w:r>
      <w:r w:rsidRPr="00F23FDE" w:rsidR="00035AA8">
        <w:rPr>
          <w:rFonts w:ascii="Times New Roman" w:hAnsi="Times New Roman" w:cs="Times New Roman"/>
          <w:lang w:val="nl-NL"/>
        </w:rPr>
        <w:t>de antwoorden van respondenten in hoge mate sturen</w:t>
      </w:r>
      <w:r w:rsidR="00035AA8">
        <w:rPr>
          <w:rFonts w:ascii="Times New Roman" w:hAnsi="Times New Roman" w:cs="Times New Roman"/>
          <w:lang w:val="nl-NL"/>
        </w:rPr>
        <w:t xml:space="preserve">. Ook zijn respondenten zelf vaak niet consistent in hun antwoorden (Van Dalen en Henkens 2014). </w:t>
      </w:r>
      <w:r w:rsidRPr="00F23FDE">
        <w:rPr>
          <w:rFonts w:ascii="Times New Roman" w:hAnsi="Times New Roman" w:cs="Times New Roman"/>
          <w:lang w:val="nl-NL"/>
        </w:rPr>
        <w:t xml:space="preserve">Opvallend is dat bestaande </w:t>
      </w:r>
      <w:proofErr w:type="spellStart"/>
      <w:r w:rsidRPr="00F23FDE">
        <w:rPr>
          <w:rFonts w:ascii="Times New Roman" w:hAnsi="Times New Roman" w:cs="Times New Roman"/>
          <w:lang w:val="nl-NL"/>
        </w:rPr>
        <w:t>surveys</w:t>
      </w:r>
      <w:proofErr w:type="spellEnd"/>
      <w:r w:rsidRPr="00F23FDE">
        <w:rPr>
          <w:rFonts w:ascii="Times New Roman" w:hAnsi="Times New Roman" w:cs="Times New Roman"/>
          <w:lang w:val="nl-NL"/>
        </w:rPr>
        <w:t xml:space="preserve"> </w:t>
      </w:r>
      <w:r w:rsidR="00087E75">
        <w:rPr>
          <w:rFonts w:ascii="Times New Roman" w:hAnsi="Times New Roman" w:cs="Times New Roman"/>
          <w:lang w:val="nl-NL"/>
        </w:rPr>
        <w:t>dikwijls</w:t>
      </w:r>
      <w:r w:rsidRPr="00F23FDE">
        <w:rPr>
          <w:rFonts w:ascii="Times New Roman" w:hAnsi="Times New Roman" w:cs="Times New Roman"/>
          <w:lang w:val="nl-NL"/>
        </w:rPr>
        <w:t xml:space="preserve"> in algemene termen vragen naar deelnemers behoefte aan keuzevrijheid, maar deelnemers </w:t>
      </w:r>
      <w:r w:rsidR="00087E75">
        <w:rPr>
          <w:rFonts w:ascii="Times New Roman" w:hAnsi="Times New Roman" w:cs="Times New Roman"/>
          <w:lang w:val="nl-NL"/>
        </w:rPr>
        <w:t xml:space="preserve">zelden </w:t>
      </w:r>
      <w:r w:rsidRPr="00F23FDE">
        <w:rPr>
          <w:rFonts w:ascii="Times New Roman" w:hAnsi="Times New Roman" w:cs="Times New Roman"/>
          <w:lang w:val="nl-NL"/>
        </w:rPr>
        <w:t xml:space="preserve">vragen in hoeverre ze bereid zijn tijd en energie te steken in het maken van die keuzes. </w:t>
      </w:r>
      <w:r w:rsidR="00035AA8">
        <w:rPr>
          <w:rFonts w:ascii="Times New Roman" w:hAnsi="Times New Roman" w:cs="Times New Roman"/>
          <w:lang w:val="nl-NL"/>
        </w:rPr>
        <w:t xml:space="preserve">Daardoor blijven deze onderzoeken vrij abstract en is het niet duidelijk </w:t>
      </w:r>
      <w:r w:rsidR="00C06F91">
        <w:rPr>
          <w:rFonts w:ascii="Times New Roman" w:hAnsi="Times New Roman" w:cs="Times New Roman"/>
          <w:lang w:val="nl-NL"/>
        </w:rPr>
        <w:t xml:space="preserve">welke offers Nederlanders precies bereid zijn te maken voor meer keuzevrijheid. </w:t>
      </w:r>
    </w:p>
    <w:p w:rsidRPr="00F23FDE" w:rsidR="00F23FDE" w:rsidP="00F23FDE" w:rsidRDefault="00F23FDE" w14:paraId="05C67B71" w14:textId="77777777">
      <w:pPr>
        <w:jc w:val="both"/>
        <w:rPr>
          <w:rFonts w:ascii="Times New Roman" w:hAnsi="Times New Roman" w:cs="Times New Roman"/>
          <w:lang w:val="nl-NL"/>
        </w:rPr>
      </w:pPr>
    </w:p>
    <w:p w:rsidR="00F23FDE" w:rsidP="00F23FDE" w:rsidRDefault="00F23FDE" w14:paraId="2A7A5978" w14:textId="77777777">
      <w:pPr>
        <w:jc w:val="both"/>
        <w:rPr>
          <w:rFonts w:ascii="Times New Roman" w:hAnsi="Times New Roman" w:cs="Times New Roman"/>
          <w:lang w:val="nl-NL"/>
        </w:rPr>
      </w:pPr>
      <w:r w:rsidRPr="00F23FDE">
        <w:rPr>
          <w:rFonts w:ascii="Times New Roman" w:hAnsi="Times New Roman" w:cs="Times New Roman"/>
          <w:lang w:val="nl-NL"/>
        </w:rPr>
        <w:t xml:space="preserve">Wellicht een betere indicator van de behoefte aan keuzevrijheid is de mate waarin deelnemers momenteel gebruik maken van de aanwezige keuzemogelijkheden binnen hun pensioenregeling. Openbare gegevens over de daadwerkelijke keuzes die deelnemers maken zijn helaas beperkt. Dellaert &amp; </w:t>
      </w:r>
      <w:proofErr w:type="spellStart"/>
      <w:r w:rsidRPr="00F23FDE">
        <w:rPr>
          <w:rFonts w:ascii="Times New Roman" w:hAnsi="Times New Roman" w:cs="Times New Roman"/>
          <w:lang w:val="nl-NL"/>
        </w:rPr>
        <w:t>Ponds</w:t>
      </w:r>
      <w:proofErr w:type="spellEnd"/>
      <w:r w:rsidRPr="00F23FDE">
        <w:rPr>
          <w:rFonts w:ascii="Times New Roman" w:hAnsi="Times New Roman" w:cs="Times New Roman"/>
          <w:lang w:val="nl-NL"/>
        </w:rPr>
        <w:t xml:space="preserve"> (2014) rapporteren dat slechts een minderheid van ABP-deelnemers (20-30%) gebruik maakt van keuzemogelijkheden binnen de pensioenregeling, met name van de flexibele pensioenleeftijd, het deeltijdpensioen en de variabele pensioenuitkering. Hun gegevens komen uit 2007 en 2010. Het zou interessant zijn om na te gaan of deze deelname aan de keuzemogelijkheden stabiel is of de afgelopen jaren is toegenomen door de maatschappelijke aandacht voor dit onderwerp. Ook gegevens van andere pensioenfondsen zouden hier meer inzicht in kunnen verschaffen. </w:t>
      </w:r>
    </w:p>
    <w:p w:rsidRPr="00F23FDE" w:rsidR="00F23FDE" w:rsidP="00F23FDE" w:rsidRDefault="00F23FDE" w14:paraId="7DE446C4" w14:textId="6AC886F1">
      <w:pPr>
        <w:rPr>
          <w:rFonts w:ascii="Times New Roman" w:hAnsi="Times New Roman" w:cs="Times New Roman"/>
          <w:i/>
          <w:lang w:val="nl-NL"/>
        </w:rPr>
      </w:pPr>
    </w:p>
    <w:p w:rsidR="00FB32D0" w:rsidP="00F23FDE" w:rsidRDefault="00F23FDE" w14:paraId="54FEE8F1" w14:textId="563DFA75">
      <w:pPr>
        <w:jc w:val="both"/>
        <w:rPr>
          <w:rFonts w:ascii="Times New Roman" w:hAnsi="Times New Roman" w:cs="Times New Roman"/>
          <w:lang w:val="nl-NL"/>
        </w:rPr>
      </w:pPr>
      <w:r w:rsidRPr="00087E75">
        <w:rPr>
          <w:rFonts w:ascii="Times New Roman" w:hAnsi="Times New Roman" w:cs="Times New Roman"/>
          <w:lang w:val="nl-NL"/>
        </w:rPr>
        <w:t xml:space="preserve">Wie </w:t>
      </w:r>
      <w:r w:rsidRPr="00087E75" w:rsidR="00087E75">
        <w:rPr>
          <w:rFonts w:ascii="Times New Roman" w:hAnsi="Times New Roman" w:cs="Times New Roman"/>
          <w:lang w:val="nl-NL"/>
        </w:rPr>
        <w:t xml:space="preserve">uiteindelijk </w:t>
      </w:r>
      <w:r w:rsidRPr="00087E75">
        <w:rPr>
          <w:rFonts w:ascii="Times New Roman" w:hAnsi="Times New Roman" w:cs="Times New Roman"/>
          <w:lang w:val="nl-NL"/>
        </w:rPr>
        <w:t xml:space="preserve">baat heeft bij keuzevrijheid, hangt af van </w:t>
      </w:r>
      <w:r w:rsidRPr="00087E75" w:rsidR="00087E75">
        <w:rPr>
          <w:rFonts w:ascii="Times New Roman" w:hAnsi="Times New Roman" w:cs="Times New Roman"/>
          <w:lang w:val="nl-NL"/>
        </w:rPr>
        <w:t>welke keuzes gemaakt worden en door wie</w:t>
      </w:r>
      <w:r w:rsidRPr="00087E75">
        <w:rPr>
          <w:rFonts w:ascii="Times New Roman" w:hAnsi="Times New Roman" w:cs="Times New Roman"/>
          <w:lang w:val="nl-NL"/>
        </w:rPr>
        <w:t xml:space="preserve">. </w:t>
      </w:r>
      <w:r w:rsidRPr="00087E75" w:rsidR="00087E75">
        <w:rPr>
          <w:rFonts w:ascii="Times New Roman" w:hAnsi="Times New Roman" w:cs="Times New Roman"/>
          <w:lang w:val="nl-NL"/>
        </w:rPr>
        <w:t>Hoger opgeleiden, jongeren en personen die ontevreden zijn met het huidige stelsel lijken meer behoefte</w:t>
      </w:r>
      <w:r w:rsidR="00087E75">
        <w:rPr>
          <w:rFonts w:ascii="Times New Roman" w:hAnsi="Times New Roman" w:cs="Times New Roman"/>
          <w:lang w:val="nl-NL"/>
        </w:rPr>
        <w:t xml:space="preserve"> te hebben aan keuzevrijheid (</w:t>
      </w:r>
      <w:r w:rsidR="00FB32D0">
        <w:rPr>
          <w:rFonts w:ascii="Times New Roman" w:hAnsi="Times New Roman" w:cs="Times New Roman"/>
          <w:lang w:val="nl-NL"/>
        </w:rPr>
        <w:t>Hoff 2015</w:t>
      </w:r>
      <w:r w:rsidR="00087E75">
        <w:rPr>
          <w:rFonts w:ascii="Times New Roman" w:hAnsi="Times New Roman" w:cs="Times New Roman"/>
          <w:lang w:val="nl-NL"/>
        </w:rPr>
        <w:t xml:space="preserve">). </w:t>
      </w:r>
      <w:r w:rsidR="00FB32D0">
        <w:rPr>
          <w:rFonts w:ascii="Times New Roman" w:hAnsi="Times New Roman" w:cs="Times New Roman"/>
          <w:lang w:val="nl-NL"/>
        </w:rPr>
        <w:t xml:space="preserve">Als bepaalde groepen meer gebruik maken van hun keuzevrijheid dan andere, dan kan dit ongelijkheid tot gevolg hebben, indien zij door het maken van die keuze tot betere of slechtere resultaten komen. In Zweden blijkt keuze voor de pensioenuitvoerder bijvoorbeeld negatief te hebben uitgepakt voor de groep kiezers, omdat het </w:t>
      </w:r>
      <w:r w:rsidRPr="00FB32D0" w:rsidR="00FB32D0">
        <w:rPr>
          <w:rFonts w:ascii="Times New Roman" w:hAnsi="Times New Roman" w:cs="Times New Roman"/>
          <w:i/>
          <w:lang w:val="nl-NL"/>
        </w:rPr>
        <w:t>default</w:t>
      </w:r>
      <w:r w:rsidR="00FB32D0">
        <w:rPr>
          <w:rFonts w:ascii="Times New Roman" w:hAnsi="Times New Roman" w:cs="Times New Roman"/>
          <w:lang w:val="nl-NL"/>
        </w:rPr>
        <w:t xml:space="preserve"> fonds van de overheid al jarenlang beter presteert dan de publieke fondsen (De Beer et al. 2015). Ook vrije keuze omtrent het opbouwpercentage kan leiden tot ongelijkheid, bijvoorbeeld als jongere deelnemers meer geneigd zijn dan oudere om een lagere inleg te kiezen. De </w:t>
      </w:r>
      <w:r w:rsidR="00FB32D0">
        <w:rPr>
          <w:rFonts w:ascii="Times New Roman" w:hAnsi="Times New Roman" w:cs="Times New Roman"/>
          <w:lang w:val="nl-NL"/>
        </w:rPr>
        <w:lastRenderedPageBreak/>
        <w:t xml:space="preserve">solidariteit binnen een fonds kan onder druk komen te staan, als intergenerationele risicodeling hierdoor moeilijker of zelfs onmogelijk wordt (De Beer et al. 2015). </w:t>
      </w:r>
    </w:p>
    <w:p w:rsidRPr="00F23FDE" w:rsidR="00F23FDE" w:rsidP="00F23FDE" w:rsidRDefault="00F23FDE" w14:paraId="32C72C02" w14:textId="77777777">
      <w:pPr>
        <w:rPr>
          <w:rFonts w:ascii="Times New Roman" w:hAnsi="Times New Roman" w:cs="Times New Roman"/>
          <w:lang w:val="nl-NL"/>
        </w:rPr>
      </w:pPr>
    </w:p>
    <w:p w:rsidRPr="00F23FDE" w:rsidR="00F23FDE" w:rsidP="00F23FDE" w:rsidRDefault="00057B76" w14:paraId="1DF01348" w14:textId="3C0D614E">
      <w:pPr>
        <w:rPr>
          <w:rFonts w:ascii="Times New Roman" w:hAnsi="Times New Roman" w:cs="Times New Roman"/>
          <w:i/>
          <w:lang w:val="nl-NL"/>
        </w:rPr>
      </w:pPr>
      <w:r>
        <w:rPr>
          <w:rFonts w:ascii="Times New Roman" w:hAnsi="Times New Roman" w:cs="Times New Roman"/>
          <w:i/>
          <w:lang w:val="nl-NL"/>
        </w:rPr>
        <w:t>V</w:t>
      </w:r>
      <w:r w:rsidR="001B4CB0">
        <w:rPr>
          <w:rFonts w:ascii="Times New Roman" w:hAnsi="Times New Roman" w:cs="Times New Roman"/>
          <w:i/>
          <w:lang w:val="nl-NL"/>
        </w:rPr>
        <w:t>ertrouwen</w:t>
      </w:r>
      <w:r w:rsidRPr="00F23FDE" w:rsidR="00F23FDE">
        <w:rPr>
          <w:rFonts w:ascii="Times New Roman" w:hAnsi="Times New Roman" w:cs="Times New Roman"/>
          <w:i/>
          <w:lang w:val="nl-NL"/>
        </w:rPr>
        <w:t xml:space="preserve"> </w:t>
      </w:r>
      <w:r w:rsidR="001B4CB0">
        <w:rPr>
          <w:rFonts w:ascii="Times New Roman" w:hAnsi="Times New Roman" w:cs="Times New Roman"/>
          <w:i/>
          <w:lang w:val="nl-NL"/>
        </w:rPr>
        <w:t>in het pensioenstelsel</w:t>
      </w:r>
    </w:p>
    <w:p w:rsidR="00F23FDE" w:rsidP="00F23FDE" w:rsidRDefault="00F23FDE" w14:paraId="1E2080BC" w14:textId="3142A03F">
      <w:pPr>
        <w:jc w:val="both"/>
        <w:rPr>
          <w:rFonts w:ascii="Times New Roman" w:hAnsi="Times New Roman" w:cs="Times New Roman"/>
          <w:lang w:val="nl-NL"/>
        </w:rPr>
      </w:pPr>
      <w:r w:rsidRPr="00F23FDE">
        <w:rPr>
          <w:rFonts w:ascii="Times New Roman" w:hAnsi="Times New Roman" w:cs="Times New Roman"/>
          <w:lang w:val="nl-NL"/>
        </w:rPr>
        <w:t xml:space="preserve">Een </w:t>
      </w:r>
      <w:r w:rsidR="00C06F91">
        <w:rPr>
          <w:rFonts w:ascii="Times New Roman" w:hAnsi="Times New Roman" w:cs="Times New Roman"/>
          <w:lang w:val="nl-NL"/>
        </w:rPr>
        <w:t>andere</w:t>
      </w:r>
      <w:r w:rsidRPr="00F23FDE">
        <w:rPr>
          <w:rFonts w:ascii="Times New Roman" w:hAnsi="Times New Roman" w:cs="Times New Roman"/>
          <w:lang w:val="nl-NL"/>
        </w:rPr>
        <w:t xml:space="preserve"> veronderstelling, onder andere </w:t>
      </w:r>
      <w:r w:rsidR="00C06F91">
        <w:rPr>
          <w:rFonts w:ascii="Times New Roman" w:hAnsi="Times New Roman" w:cs="Times New Roman"/>
          <w:lang w:val="nl-NL"/>
        </w:rPr>
        <w:t xml:space="preserve">gedaan </w:t>
      </w:r>
      <w:r w:rsidRPr="00F23FDE">
        <w:rPr>
          <w:rFonts w:ascii="Times New Roman" w:hAnsi="Times New Roman" w:cs="Times New Roman"/>
          <w:lang w:val="nl-NL"/>
        </w:rPr>
        <w:t>in de Hoofdlijnennotitie</w:t>
      </w:r>
      <w:r w:rsidR="005C1CAF">
        <w:rPr>
          <w:rFonts w:ascii="Times New Roman" w:hAnsi="Times New Roman" w:cs="Times New Roman"/>
          <w:lang w:val="nl-NL"/>
        </w:rPr>
        <w:t>,</w:t>
      </w:r>
      <w:r w:rsidRPr="00F23FDE">
        <w:rPr>
          <w:rFonts w:ascii="Times New Roman" w:hAnsi="Times New Roman" w:cs="Times New Roman"/>
          <w:lang w:val="nl-NL"/>
        </w:rPr>
        <w:t xml:space="preserve"> </w:t>
      </w:r>
      <w:r w:rsidR="005C1CAF">
        <w:rPr>
          <w:rFonts w:ascii="Times New Roman" w:hAnsi="Times New Roman" w:cs="Times New Roman"/>
          <w:lang w:val="nl-NL"/>
        </w:rPr>
        <w:t>is dat</w:t>
      </w:r>
      <w:r w:rsidRPr="00F23FDE">
        <w:rPr>
          <w:rFonts w:ascii="Times New Roman" w:hAnsi="Times New Roman" w:cs="Times New Roman"/>
          <w:lang w:val="nl-NL"/>
        </w:rPr>
        <w:t xml:space="preserve"> keuzevrijheid de betrokkenheid van de deelnemer</w:t>
      </w:r>
      <w:r w:rsidR="005C1CAF">
        <w:rPr>
          <w:rFonts w:ascii="Times New Roman" w:hAnsi="Times New Roman" w:cs="Times New Roman"/>
          <w:lang w:val="nl-NL"/>
        </w:rPr>
        <w:t xml:space="preserve"> bij zijn of haar pensioenvoorziening kan </w:t>
      </w:r>
      <w:r w:rsidRPr="00FB32D0" w:rsidR="005C1CAF">
        <w:rPr>
          <w:rFonts w:ascii="Times New Roman" w:hAnsi="Times New Roman" w:cs="Times New Roman"/>
          <w:lang w:val="nl-NL"/>
        </w:rPr>
        <w:t>vergroten</w:t>
      </w:r>
      <w:r w:rsidRPr="00FB32D0" w:rsidR="00C36543">
        <w:rPr>
          <w:rFonts w:ascii="Times New Roman" w:hAnsi="Times New Roman" w:cs="Times New Roman"/>
          <w:lang w:val="nl-NL"/>
        </w:rPr>
        <w:t xml:space="preserve"> (</w:t>
      </w:r>
      <w:proofErr w:type="spellStart"/>
      <w:r w:rsidRPr="00FB32D0" w:rsidR="00C36543">
        <w:rPr>
          <w:rFonts w:ascii="Times New Roman" w:hAnsi="Times New Roman" w:cs="Times New Roman"/>
          <w:lang w:val="nl-NL"/>
        </w:rPr>
        <w:t>Kortleve</w:t>
      </w:r>
      <w:proofErr w:type="spellEnd"/>
      <w:r w:rsidRPr="00FB32D0" w:rsidR="00C36543">
        <w:rPr>
          <w:rFonts w:ascii="Times New Roman" w:hAnsi="Times New Roman" w:cs="Times New Roman"/>
          <w:lang w:val="nl-NL"/>
        </w:rPr>
        <w:t xml:space="preserve"> en Slager 2010)</w:t>
      </w:r>
      <w:r w:rsidRPr="00FB32D0">
        <w:rPr>
          <w:rFonts w:ascii="Times New Roman" w:hAnsi="Times New Roman" w:cs="Times New Roman"/>
          <w:lang w:val="nl-NL"/>
        </w:rPr>
        <w:t>.</w:t>
      </w:r>
      <w:r w:rsidRPr="00FB32D0" w:rsidR="005C1CAF">
        <w:rPr>
          <w:rFonts w:ascii="Times New Roman" w:hAnsi="Times New Roman" w:cs="Times New Roman"/>
          <w:lang w:val="nl-NL"/>
        </w:rPr>
        <w:t xml:space="preserve"> Ook wordt het hebben van keuzevrijheid in verband gebracht met een </w:t>
      </w:r>
      <w:r w:rsidRPr="00F07574" w:rsidR="005C1CAF">
        <w:rPr>
          <w:rFonts w:ascii="Times New Roman" w:hAnsi="Times New Roman" w:cs="Times New Roman"/>
          <w:lang w:val="nl-NL"/>
        </w:rPr>
        <w:t xml:space="preserve">toename van vertrouwen (Delsen 2014). </w:t>
      </w:r>
      <w:r w:rsidRPr="00F07574" w:rsidR="00D63FE3">
        <w:rPr>
          <w:rFonts w:ascii="Times New Roman" w:hAnsi="Times New Roman" w:cs="Times New Roman"/>
          <w:lang w:val="nl-NL"/>
        </w:rPr>
        <w:t>Dergelijke veronderstellingen</w:t>
      </w:r>
      <w:r w:rsidRPr="00F07574" w:rsidR="001B4CB0">
        <w:rPr>
          <w:rFonts w:ascii="Times New Roman" w:hAnsi="Times New Roman" w:cs="Times New Roman"/>
          <w:lang w:val="nl-NL"/>
        </w:rPr>
        <w:t xml:space="preserve"> stoelen op de </w:t>
      </w:r>
      <w:r w:rsidRPr="00F07574" w:rsidR="00D63FE3">
        <w:rPr>
          <w:rFonts w:ascii="Times New Roman" w:hAnsi="Times New Roman" w:cs="Times New Roman"/>
          <w:lang w:val="nl-NL"/>
        </w:rPr>
        <w:t>assumptie dat</w:t>
      </w:r>
      <w:r w:rsidRPr="00F07574" w:rsidR="00F07574">
        <w:rPr>
          <w:rFonts w:ascii="Times New Roman" w:hAnsi="Times New Roman" w:cs="Times New Roman"/>
          <w:lang w:val="nl-NL"/>
        </w:rPr>
        <w:t xml:space="preserve"> eigen verantwoordelijkheid voordelig uit zal pakken, zolang deelnemers beschikken over voldoende informatie.</w:t>
      </w:r>
      <w:r w:rsidRPr="00F07574" w:rsidR="00D63FE3">
        <w:rPr>
          <w:rFonts w:ascii="Times New Roman" w:hAnsi="Times New Roman" w:cs="Times New Roman"/>
          <w:lang w:val="nl-NL"/>
        </w:rPr>
        <w:t xml:space="preserve"> Wetenschappelijk onderzoek uit andere disci</w:t>
      </w:r>
      <w:r w:rsidRPr="00F07574" w:rsidR="00F07574">
        <w:rPr>
          <w:rFonts w:ascii="Times New Roman" w:hAnsi="Times New Roman" w:cs="Times New Roman"/>
          <w:lang w:val="nl-NL"/>
        </w:rPr>
        <w:t>plines ondersteunt deze aanname</w:t>
      </w:r>
      <w:r w:rsidRPr="00F07574" w:rsidR="00D63FE3">
        <w:rPr>
          <w:rFonts w:ascii="Times New Roman" w:hAnsi="Times New Roman" w:cs="Times New Roman"/>
          <w:lang w:val="nl-NL"/>
        </w:rPr>
        <w:t xml:space="preserve"> echter niet. Zo brengen Hyde en Dixon </w:t>
      </w:r>
      <w:r w:rsidRPr="00F07574" w:rsidR="00EF5E06">
        <w:rPr>
          <w:rFonts w:ascii="Times New Roman" w:hAnsi="Times New Roman" w:cs="Times New Roman"/>
          <w:lang w:val="nl-NL"/>
        </w:rPr>
        <w:t xml:space="preserve">(2010) </w:t>
      </w:r>
      <w:r w:rsidRPr="00F07574" w:rsidR="00D63FE3">
        <w:rPr>
          <w:rFonts w:ascii="Times New Roman" w:hAnsi="Times New Roman" w:cs="Times New Roman"/>
          <w:lang w:val="nl-NL"/>
        </w:rPr>
        <w:t>vertrouwen in het pensioenstelsel juist in verband met</w:t>
      </w:r>
      <w:r w:rsidRPr="00F07574" w:rsidR="00EF5E06">
        <w:rPr>
          <w:rFonts w:ascii="Times New Roman" w:hAnsi="Times New Roman" w:cs="Times New Roman"/>
          <w:lang w:val="nl-NL"/>
        </w:rPr>
        <w:t xml:space="preserve"> goed functionerende verantwoordingsstructuren</w:t>
      </w:r>
      <w:r w:rsidR="00EF5E06">
        <w:rPr>
          <w:rFonts w:ascii="Times New Roman" w:hAnsi="Times New Roman" w:cs="Times New Roman"/>
          <w:lang w:val="nl-NL"/>
        </w:rPr>
        <w:t>, transparantie, financiële stabiliteit en zekerheid</w:t>
      </w:r>
      <w:r w:rsidR="00F56D25">
        <w:rPr>
          <w:rFonts w:ascii="Times New Roman" w:hAnsi="Times New Roman" w:cs="Times New Roman"/>
          <w:lang w:val="nl-NL"/>
        </w:rPr>
        <w:t>,</w:t>
      </w:r>
      <w:r w:rsidR="00EF5E06">
        <w:rPr>
          <w:rFonts w:ascii="Times New Roman" w:hAnsi="Times New Roman" w:cs="Times New Roman"/>
          <w:lang w:val="nl-NL"/>
        </w:rPr>
        <w:t xml:space="preserve"> en de borging van pensioenrechten en –aanspraken. Herstel van vertrouwen is daardoor eerder een functie van een goede </w:t>
      </w:r>
      <w:proofErr w:type="spellStart"/>
      <w:r w:rsidR="00EF5E06">
        <w:rPr>
          <w:rFonts w:ascii="Times New Roman" w:hAnsi="Times New Roman" w:cs="Times New Roman"/>
          <w:lang w:val="nl-NL"/>
        </w:rPr>
        <w:t>governance</w:t>
      </w:r>
      <w:proofErr w:type="spellEnd"/>
      <w:r w:rsidR="00EF5E06">
        <w:rPr>
          <w:rFonts w:ascii="Times New Roman" w:hAnsi="Times New Roman" w:cs="Times New Roman"/>
          <w:lang w:val="nl-NL"/>
        </w:rPr>
        <w:t xml:space="preserve"> dan van meer keuzevrijheid. </w:t>
      </w:r>
    </w:p>
    <w:p w:rsidR="004301E8" w:rsidP="005450C2" w:rsidRDefault="004301E8" w14:paraId="4032D65A" w14:textId="77777777">
      <w:pPr>
        <w:jc w:val="both"/>
        <w:rPr>
          <w:rFonts w:ascii="Times New Roman" w:hAnsi="Times New Roman" w:cs="Times New Roman"/>
          <w:highlight w:val="yellow"/>
          <w:lang w:val="nl-NL"/>
        </w:rPr>
      </w:pPr>
      <w:bookmarkStart w:name="_GoBack" w:id="0"/>
      <w:bookmarkEnd w:id="0"/>
    </w:p>
    <w:p w:rsidRPr="00F23FDE" w:rsidR="005450C2" w:rsidP="005450C2" w:rsidRDefault="004B5B4E" w14:paraId="20875F59" w14:textId="58080FDF">
      <w:pPr>
        <w:jc w:val="both"/>
        <w:rPr>
          <w:rFonts w:ascii="Times New Roman" w:hAnsi="Times New Roman" w:cs="Times New Roman"/>
          <w:highlight w:val="yellow"/>
          <w:lang w:val="nl-NL"/>
        </w:rPr>
      </w:pPr>
      <w:r>
        <w:rPr>
          <w:rFonts w:ascii="Times New Roman" w:hAnsi="Times New Roman" w:cs="Times New Roman"/>
          <w:lang w:val="nl-NL"/>
        </w:rPr>
        <w:t xml:space="preserve">Sterker nog, zelfs bij volledige keuzevrijheid is een goede </w:t>
      </w:r>
      <w:proofErr w:type="spellStart"/>
      <w:r>
        <w:rPr>
          <w:rFonts w:ascii="Times New Roman" w:hAnsi="Times New Roman" w:cs="Times New Roman"/>
          <w:lang w:val="nl-NL"/>
        </w:rPr>
        <w:t>governance</w:t>
      </w:r>
      <w:proofErr w:type="spellEnd"/>
      <w:r>
        <w:rPr>
          <w:rFonts w:ascii="Times New Roman" w:hAnsi="Times New Roman" w:cs="Times New Roman"/>
          <w:lang w:val="nl-NL"/>
        </w:rPr>
        <w:t xml:space="preserve"> essentieel. Immers,</w:t>
      </w:r>
      <w:r w:rsidRPr="00EF5E06" w:rsidR="005450C2">
        <w:rPr>
          <w:rFonts w:ascii="Times New Roman" w:hAnsi="Times New Roman" w:cs="Times New Roman"/>
          <w:lang w:val="nl-NL"/>
        </w:rPr>
        <w:t xml:space="preserve"> als de meerderheid van de deelnemers vertrekt bij tegenvallende prestaties van een pensioenfonds, kan een fonds leeglopen en daardoor niet de mogelijkheid krijgen om de prestaties te</w:t>
      </w:r>
      <w:r w:rsidR="00B77ED3">
        <w:rPr>
          <w:rFonts w:ascii="Times New Roman" w:hAnsi="Times New Roman" w:cs="Times New Roman"/>
          <w:lang w:val="nl-NL"/>
        </w:rPr>
        <w:t xml:space="preserve"> verbeteren (De Beer et al. 2015</w:t>
      </w:r>
      <w:r w:rsidRPr="00EF5E06" w:rsidR="005450C2">
        <w:rPr>
          <w:rFonts w:ascii="Times New Roman" w:hAnsi="Times New Roman" w:cs="Times New Roman"/>
          <w:lang w:val="nl-NL"/>
        </w:rPr>
        <w:t>). Dit argument stoelt op een ouder inzicht dat organisaties ook de kans moeten krijgen om hun prestaties te verbeteren</w:t>
      </w:r>
      <w:r>
        <w:rPr>
          <w:rFonts w:ascii="Times New Roman" w:hAnsi="Times New Roman" w:cs="Times New Roman"/>
          <w:lang w:val="nl-NL"/>
        </w:rPr>
        <w:t xml:space="preserve"> (Hirschman 1970)</w:t>
      </w:r>
      <w:r w:rsidR="00B77ED3">
        <w:rPr>
          <w:rFonts w:ascii="Times New Roman" w:hAnsi="Times New Roman" w:cs="Times New Roman"/>
          <w:lang w:val="nl-NL"/>
        </w:rPr>
        <w:t xml:space="preserve">. Een goede inspraakprocedure </w:t>
      </w:r>
      <w:r w:rsidRPr="00EF5E06" w:rsidR="005450C2">
        <w:rPr>
          <w:rFonts w:ascii="Times New Roman" w:hAnsi="Times New Roman" w:cs="Times New Roman"/>
          <w:lang w:val="nl-NL"/>
        </w:rPr>
        <w:t xml:space="preserve">kan leegloop voorkomen, </w:t>
      </w:r>
      <w:r w:rsidR="005450C2">
        <w:rPr>
          <w:rFonts w:ascii="Times New Roman" w:hAnsi="Times New Roman" w:cs="Times New Roman"/>
          <w:lang w:val="nl-NL"/>
        </w:rPr>
        <w:t>omdat</w:t>
      </w:r>
      <w:r w:rsidRPr="00EF5E06" w:rsidR="005450C2">
        <w:rPr>
          <w:rFonts w:ascii="Times New Roman" w:hAnsi="Times New Roman" w:cs="Times New Roman"/>
          <w:lang w:val="nl-NL"/>
        </w:rPr>
        <w:t xml:space="preserve"> </w:t>
      </w:r>
      <w:r w:rsidR="005450C2">
        <w:rPr>
          <w:rFonts w:ascii="Times New Roman" w:hAnsi="Times New Roman" w:cs="Times New Roman"/>
          <w:lang w:val="nl-NL"/>
        </w:rPr>
        <w:t>de</w:t>
      </w:r>
      <w:r w:rsidRPr="00EF5E06" w:rsidR="005450C2">
        <w:rPr>
          <w:rFonts w:ascii="Times New Roman" w:hAnsi="Times New Roman" w:cs="Times New Roman"/>
          <w:lang w:val="nl-NL"/>
        </w:rPr>
        <w:t xml:space="preserve"> pensioenuitvoerder ontevredenheid bij consumenten eerder kan signaleren en kan ondervangen. Medezeggens</w:t>
      </w:r>
      <w:r w:rsidR="00A40178">
        <w:rPr>
          <w:rFonts w:ascii="Times New Roman" w:hAnsi="Times New Roman" w:cs="Times New Roman"/>
          <w:lang w:val="nl-NL"/>
        </w:rPr>
        <w:t xml:space="preserve">chap is ook van belang voor de </w:t>
      </w:r>
      <w:r w:rsidRPr="00EF5E06" w:rsidR="005450C2">
        <w:rPr>
          <w:rFonts w:ascii="Times New Roman" w:hAnsi="Times New Roman" w:cs="Times New Roman"/>
          <w:lang w:val="nl-NL"/>
        </w:rPr>
        <w:t xml:space="preserve">groepen deelnemers die niet kunnen of willen vertrekken. Het is daarom onwaarschijnlijk dat keuzevrijheid </w:t>
      </w:r>
      <w:r w:rsidRPr="00EF5E06" w:rsidR="005450C2">
        <w:rPr>
          <w:rFonts w:ascii="Times New Roman" w:hAnsi="Times New Roman" w:cs="Times New Roman"/>
          <w:i/>
          <w:lang w:val="nl-NL"/>
        </w:rPr>
        <w:t>alleen</w:t>
      </w:r>
      <w:r w:rsidRPr="00EF5E06" w:rsidR="005450C2">
        <w:rPr>
          <w:rFonts w:ascii="Times New Roman" w:hAnsi="Times New Roman" w:cs="Times New Roman"/>
          <w:lang w:val="nl-NL"/>
        </w:rPr>
        <w:t xml:space="preserve"> een voldoende feedbackmechanisme is om de prestaties van pensioenuitvoerders te verbeteren. Alleen een combinatie met transparantie en inspraak kan een oplossing bieden aan de bovengenoemde problemen van leegloop en van niet-kiezen. </w:t>
      </w:r>
    </w:p>
    <w:p w:rsidRPr="00F23FDE" w:rsidR="00D63FE3" w:rsidP="00F23FDE" w:rsidRDefault="00D63FE3" w14:paraId="7BE0D3C3" w14:textId="77777777">
      <w:pPr>
        <w:rPr>
          <w:rFonts w:ascii="Times New Roman" w:hAnsi="Times New Roman" w:cs="Times New Roman"/>
          <w:i/>
          <w:lang w:val="nl-NL"/>
        </w:rPr>
      </w:pPr>
    </w:p>
    <w:p w:rsidR="00F23FDE" w:rsidP="005C1A73" w:rsidRDefault="00FE3558" w14:paraId="488E029C" w14:textId="262321A2">
      <w:pPr>
        <w:jc w:val="both"/>
        <w:rPr>
          <w:rFonts w:ascii="Times New Roman" w:hAnsi="Times New Roman" w:cs="Times New Roman"/>
          <w:lang w:val="nl-NL"/>
        </w:rPr>
      </w:pPr>
      <w:r>
        <w:rPr>
          <w:rFonts w:ascii="Times New Roman" w:hAnsi="Times New Roman" w:cs="Times New Roman"/>
          <w:lang w:val="nl-NL"/>
        </w:rPr>
        <w:t xml:space="preserve">Een denkbaar alternatief voor keuzevrijheid is het vergroten van de zeggenschap binnen de eigen pensioenuitvoerder. De gedachte is dat inspraak in het beleid van de uitvoerder de behoefte aan stemmen met de voeten doet verminderen. Diverse pensioenuitvoerders hebben in de nasleep van de </w:t>
      </w:r>
      <w:r w:rsidR="000077FF">
        <w:rPr>
          <w:rFonts w:ascii="Times New Roman" w:hAnsi="Times New Roman" w:cs="Times New Roman"/>
          <w:lang w:val="nl-NL"/>
        </w:rPr>
        <w:t xml:space="preserve">financiële </w:t>
      </w:r>
      <w:r>
        <w:rPr>
          <w:rFonts w:ascii="Times New Roman" w:hAnsi="Times New Roman" w:cs="Times New Roman"/>
          <w:lang w:val="nl-NL"/>
        </w:rPr>
        <w:t>crisis al nieuwe init</w:t>
      </w:r>
      <w:r w:rsidR="000077FF">
        <w:rPr>
          <w:rFonts w:ascii="Times New Roman" w:hAnsi="Times New Roman" w:cs="Times New Roman"/>
          <w:lang w:val="nl-NL"/>
        </w:rPr>
        <w:t>i</w:t>
      </w:r>
      <w:r>
        <w:rPr>
          <w:rFonts w:ascii="Times New Roman" w:hAnsi="Times New Roman" w:cs="Times New Roman"/>
          <w:lang w:val="nl-NL"/>
        </w:rPr>
        <w:t xml:space="preserve">atieven ondernomen om hun deelnemers te consulteren. Zo organiseerden diverse pensioenfondsen, waaronder Zorg en Welzijn (PFZW), de afgelopen jaren risicobereidheidsmetingen onder hun deelnemers, om daarmee hun voorkeuren voor het nieuwe pensioencontract te onderzoeken. Daarnaast maakten de directe verkiezingen van het verantwoordingsorgaan hun entree in 2014, onder andere bij het Algemeen Burgerlijk Pensioenfonds (ABP). </w:t>
      </w:r>
    </w:p>
    <w:p w:rsidR="005C1A73" w:rsidP="005C1A73" w:rsidRDefault="005C1A73" w14:paraId="5EA8C548" w14:textId="77777777">
      <w:pPr>
        <w:jc w:val="both"/>
        <w:rPr>
          <w:rFonts w:ascii="Times New Roman" w:hAnsi="Times New Roman" w:cs="Times New Roman"/>
          <w:lang w:val="nl-NL"/>
        </w:rPr>
      </w:pPr>
    </w:p>
    <w:p w:rsidR="005C1A73" w:rsidP="005C1A73" w:rsidRDefault="005C1A73" w14:paraId="0BA54BC7" w14:textId="799B0960">
      <w:pPr>
        <w:jc w:val="both"/>
        <w:rPr>
          <w:rFonts w:ascii="Times New Roman" w:hAnsi="Times New Roman" w:cs="Times New Roman"/>
          <w:lang w:val="nl-NL"/>
        </w:rPr>
      </w:pPr>
      <w:r>
        <w:rPr>
          <w:rFonts w:ascii="Times New Roman" w:hAnsi="Times New Roman" w:cs="Times New Roman"/>
          <w:lang w:val="nl-NL"/>
        </w:rPr>
        <w:t xml:space="preserve">Belangrijk is wie aan het participatieproces deelneemt en in welke vorm deze deelname wordt gegoten. Net als bij keuzevrijheid zijn de positieve effecten van zeggenschap afhankelijk van het aantal deelnemers aan het besluitvormingsproces: met een groter aantal deelnemers zal het proces inclusiever worden en daarmee de kans groter dat de uitkomsten representatief zijn voor het gehele deelnemersbestand. Toch blijken deelnemers nog niet in grote aantallen deel te nemen aan het consultatieproces. De deelnemersraadpleging van PFZW (‘dit vind ik’) had een zeer laagdrempelige opzet, </w:t>
      </w:r>
      <w:r>
        <w:rPr>
          <w:rFonts w:ascii="Times New Roman" w:hAnsi="Times New Roman" w:cs="Times New Roman"/>
          <w:lang w:val="nl-NL"/>
        </w:rPr>
        <w:lastRenderedPageBreak/>
        <w:t>doordat deze online plaatsvond, maar toch deden ‘slechts’ 125.000 deelnemers mee, wat overeenkomt met ongeveer 5% van</w:t>
      </w:r>
      <w:r w:rsidR="000077FF">
        <w:rPr>
          <w:rFonts w:ascii="Times New Roman" w:hAnsi="Times New Roman" w:cs="Times New Roman"/>
          <w:lang w:val="nl-NL"/>
        </w:rPr>
        <w:t xml:space="preserve"> het totale deelnemersbestand. Ook aan de ABP-verkiezing van het verantwoordingsorgaan deed slechts 4,5% van de deelnemers mee. </w:t>
      </w:r>
      <w:r>
        <w:rPr>
          <w:rFonts w:ascii="Times New Roman" w:hAnsi="Times New Roman" w:cs="Times New Roman"/>
          <w:lang w:val="nl-NL"/>
        </w:rPr>
        <w:t xml:space="preserve"> </w:t>
      </w:r>
    </w:p>
    <w:p w:rsidR="00057B76" w:rsidP="005C1A73" w:rsidRDefault="00057B76" w14:paraId="3AB0BD9F" w14:textId="77777777">
      <w:pPr>
        <w:jc w:val="both"/>
        <w:rPr>
          <w:rFonts w:ascii="Times New Roman" w:hAnsi="Times New Roman" w:cs="Times New Roman"/>
          <w:lang w:val="nl-NL"/>
        </w:rPr>
      </w:pPr>
    </w:p>
    <w:p w:rsidR="005C1A73" w:rsidP="005C1A73" w:rsidRDefault="005C1A73" w14:paraId="55E3BACA" w14:textId="6432549A">
      <w:pPr>
        <w:jc w:val="both"/>
        <w:rPr>
          <w:rFonts w:ascii="Times New Roman" w:hAnsi="Times New Roman" w:cs="Times New Roman"/>
          <w:lang w:val="nl-NL"/>
        </w:rPr>
      </w:pPr>
      <w:r>
        <w:rPr>
          <w:rFonts w:ascii="Times New Roman" w:hAnsi="Times New Roman" w:cs="Times New Roman"/>
          <w:lang w:val="nl-NL"/>
        </w:rPr>
        <w:t xml:space="preserve">Een lage opkomst hoeft in principe niet problematisch te zijn, mits de actieve minderheid besluiten neemt die ook ten goede komen aan de inactieve meerderheid. Als de actieve minderheid een duidelijk deelbelang heeft dat verschilt van dat van de meerderheid, kan een lage opkomst leiden tot misrepresentatie van de meerderheid. Bij pensioen kan dit bijvoorbeeld het geval zijn als hoogopgeleiden vaker deelnemen aan de consultatie dan laagopgeleiden, aangezien met name deze groep profiteert  van de solidariteit binnen het huidige stelsel. Tot slot gaat bij individuele inspraak, net als bij individuele keuzevrijheid, het eigenbelang boven het belang van het collectief of het algemeen belang binnen het pensioenstelsel (hoe ook gedefinieerd). In het huidige stelsel wordt dit voorkomen door </w:t>
      </w:r>
      <w:r w:rsidR="009F18F9">
        <w:rPr>
          <w:rFonts w:ascii="Times New Roman" w:hAnsi="Times New Roman" w:cs="Times New Roman"/>
          <w:lang w:val="nl-NL"/>
        </w:rPr>
        <w:t>de</w:t>
      </w:r>
      <w:r>
        <w:rPr>
          <w:rFonts w:ascii="Times New Roman" w:hAnsi="Times New Roman" w:cs="Times New Roman"/>
          <w:lang w:val="nl-NL"/>
        </w:rPr>
        <w:t xml:space="preserve"> wettelijke </w:t>
      </w:r>
      <w:r w:rsidR="009F18F9">
        <w:rPr>
          <w:rFonts w:ascii="Times New Roman" w:hAnsi="Times New Roman" w:cs="Times New Roman"/>
          <w:lang w:val="nl-NL"/>
        </w:rPr>
        <w:t>eis</w:t>
      </w:r>
      <w:r>
        <w:rPr>
          <w:rFonts w:ascii="Times New Roman" w:hAnsi="Times New Roman" w:cs="Times New Roman"/>
          <w:lang w:val="nl-NL"/>
        </w:rPr>
        <w:t xml:space="preserve"> aan pensioenfondsbestuurders om op evenwichtige wijze de verschillende belangen binnen het deelnemersbestand tegen elkaar af te wegen (artikel 105, lid 2 PW). </w:t>
      </w:r>
    </w:p>
    <w:p w:rsidR="004B430B" w:rsidP="005C1A73" w:rsidRDefault="004B430B" w14:paraId="3C88ADB8" w14:textId="77777777">
      <w:pPr>
        <w:jc w:val="both"/>
        <w:rPr>
          <w:rFonts w:ascii="Times New Roman" w:hAnsi="Times New Roman" w:cs="Times New Roman"/>
          <w:lang w:val="nl-NL"/>
        </w:rPr>
      </w:pPr>
    </w:p>
    <w:p w:rsidR="004B430B" w:rsidP="005C1A73" w:rsidRDefault="000077FF" w14:paraId="627D453B" w14:textId="15300E13">
      <w:pPr>
        <w:jc w:val="both"/>
        <w:rPr>
          <w:rFonts w:ascii="Times New Roman" w:hAnsi="Times New Roman" w:cs="Times New Roman"/>
          <w:lang w:val="nl-NL"/>
        </w:rPr>
      </w:pPr>
      <w:r>
        <w:rPr>
          <w:rFonts w:ascii="Times New Roman" w:hAnsi="Times New Roman" w:cs="Times New Roman"/>
          <w:lang w:val="nl-NL"/>
        </w:rPr>
        <w:t>Een alternatief model is zeggenschap rondom een collectiviteit van deelnemers</w:t>
      </w:r>
      <w:r w:rsidR="00F31E8A">
        <w:rPr>
          <w:rFonts w:ascii="Times New Roman" w:hAnsi="Times New Roman" w:cs="Times New Roman"/>
          <w:lang w:val="nl-NL"/>
        </w:rPr>
        <w:t>, direct of middels vertegenwoordiging</w:t>
      </w:r>
      <w:r>
        <w:rPr>
          <w:rFonts w:ascii="Times New Roman" w:hAnsi="Times New Roman" w:cs="Times New Roman"/>
          <w:lang w:val="nl-NL"/>
        </w:rPr>
        <w:t xml:space="preserve">. </w:t>
      </w:r>
      <w:r w:rsidR="00F31E8A">
        <w:rPr>
          <w:rFonts w:ascii="Times New Roman" w:hAnsi="Times New Roman" w:cs="Times New Roman"/>
          <w:lang w:val="nl-NL"/>
        </w:rPr>
        <w:t xml:space="preserve">Uit de politicologie is bekend dat deelname aan collectieve besluitvormingsprocessen positieve effecten kan genereren. Zo kan participatie kennis en vaardigheden van de deelnemers verhogen. Ook kan zij eraan bijdragen dat deelnemers, zodra zij worden geconfronteerd met tegengestelde standpunten, zich meer gaan richten op het algemeen belang in plaats van op de eigen deelbelangen. Daarmee lost collectieve zeggenschap, althans in theorie, twee problemen op: het gebrek aan expertise van de individuele deelnemer en de mogelijke overheersing van bepaalde deelbelangen. Tot nu toe is in Nederland de directe consultatie van deelnemers vooral via geijkte paden verlopen: middels </w:t>
      </w:r>
      <w:proofErr w:type="spellStart"/>
      <w:r w:rsidR="00F31E8A">
        <w:rPr>
          <w:rFonts w:ascii="Times New Roman" w:hAnsi="Times New Roman" w:cs="Times New Roman"/>
          <w:lang w:val="nl-NL"/>
        </w:rPr>
        <w:t>surveys</w:t>
      </w:r>
      <w:proofErr w:type="spellEnd"/>
      <w:r w:rsidR="00F31E8A">
        <w:rPr>
          <w:rFonts w:ascii="Times New Roman" w:hAnsi="Times New Roman" w:cs="Times New Roman"/>
          <w:lang w:val="nl-NL"/>
        </w:rPr>
        <w:t xml:space="preserve">, verkiezingen of inspraakmomenten. Nieuwe initiatieven, bijvoorbeeld op het gebied van </w:t>
      </w:r>
      <w:proofErr w:type="spellStart"/>
      <w:r w:rsidRPr="00F31E8A" w:rsidR="00F31E8A">
        <w:rPr>
          <w:rFonts w:ascii="Times New Roman" w:hAnsi="Times New Roman" w:cs="Times New Roman"/>
          <w:i/>
          <w:lang w:val="nl-NL"/>
        </w:rPr>
        <w:t>participatory</w:t>
      </w:r>
      <w:proofErr w:type="spellEnd"/>
      <w:r w:rsidRPr="00F31E8A" w:rsidR="00F31E8A">
        <w:rPr>
          <w:rFonts w:ascii="Times New Roman" w:hAnsi="Times New Roman" w:cs="Times New Roman"/>
          <w:i/>
          <w:lang w:val="nl-NL"/>
        </w:rPr>
        <w:t xml:space="preserve"> </w:t>
      </w:r>
      <w:proofErr w:type="spellStart"/>
      <w:r w:rsidRPr="00F31E8A" w:rsidR="00F31E8A">
        <w:rPr>
          <w:rFonts w:ascii="Times New Roman" w:hAnsi="Times New Roman" w:cs="Times New Roman"/>
          <w:i/>
          <w:lang w:val="nl-NL"/>
        </w:rPr>
        <w:t>budgeting</w:t>
      </w:r>
      <w:proofErr w:type="spellEnd"/>
      <w:r w:rsidR="00F31E8A">
        <w:rPr>
          <w:rFonts w:ascii="Times New Roman" w:hAnsi="Times New Roman" w:cs="Times New Roman"/>
          <w:lang w:val="nl-NL"/>
        </w:rPr>
        <w:t>, bewijzen echter dat  alternatieve vormen van participatie (bijvoorbeeld door de inzet van spelelementen) niet alleen succesvol kunnen zijn bij het mobiliseren van traditioneel inactieve groepen burgers, maar ook kunnen bijdragen aan het vergroten van financiële kennis (</w:t>
      </w:r>
      <w:proofErr w:type="spellStart"/>
      <w:r w:rsidR="00F31E8A">
        <w:rPr>
          <w:rFonts w:ascii="Times New Roman" w:hAnsi="Times New Roman" w:cs="Times New Roman"/>
          <w:lang w:val="nl-NL"/>
        </w:rPr>
        <w:t>Lerner</w:t>
      </w:r>
      <w:proofErr w:type="spellEnd"/>
      <w:r w:rsidR="00F31E8A">
        <w:rPr>
          <w:rFonts w:ascii="Times New Roman" w:hAnsi="Times New Roman" w:cs="Times New Roman"/>
          <w:lang w:val="nl-NL"/>
        </w:rPr>
        <w:t xml:space="preserve"> 2014). </w:t>
      </w:r>
    </w:p>
    <w:p w:rsidR="00C36543" w:rsidP="00F23FDE" w:rsidRDefault="00C36543" w14:paraId="76BDE1F7" w14:textId="77777777">
      <w:pPr>
        <w:rPr>
          <w:rFonts w:ascii="Times New Roman" w:hAnsi="Times New Roman" w:cs="Times New Roman"/>
          <w:lang w:val="nl-NL"/>
        </w:rPr>
      </w:pPr>
    </w:p>
    <w:p w:rsidR="00C36543" w:rsidP="00F23FDE" w:rsidRDefault="00C36543" w14:paraId="6D92BD7C" w14:textId="032B5481">
      <w:pPr>
        <w:rPr>
          <w:rFonts w:ascii="Times New Roman" w:hAnsi="Times New Roman" w:cs="Times New Roman"/>
          <w:u w:val="single"/>
          <w:lang w:val="nl-NL"/>
        </w:rPr>
      </w:pPr>
      <w:r>
        <w:rPr>
          <w:rFonts w:ascii="Times New Roman" w:hAnsi="Times New Roman" w:cs="Times New Roman"/>
          <w:u w:val="single"/>
          <w:lang w:val="nl-NL"/>
        </w:rPr>
        <w:t>Conclusie</w:t>
      </w:r>
    </w:p>
    <w:p w:rsidRPr="000077FF" w:rsidR="00833D40" w:rsidP="00833D40" w:rsidRDefault="000077FF" w14:paraId="7F0253A7" w14:textId="477A0251">
      <w:pPr>
        <w:jc w:val="both"/>
        <w:rPr>
          <w:rFonts w:ascii="Times New Roman" w:hAnsi="Times New Roman" w:cs="Times New Roman"/>
          <w:lang w:val="nl-NL"/>
        </w:rPr>
      </w:pPr>
      <w:r w:rsidRPr="000077FF">
        <w:rPr>
          <w:rFonts w:ascii="Times New Roman" w:hAnsi="Times New Roman" w:cs="Times New Roman"/>
          <w:lang w:val="nl-NL"/>
        </w:rPr>
        <w:t xml:space="preserve">Hoewel keuzevrijheid ten aanzien van pensioen veel steun vindt onder beleidsmakers, wetenschappers en het publiek, tonen wetenschappelijk onderzoek en ervaringen uit het buitenland tonen overweldigend de nadelen aan van keuzevrijheid met betrekking tot pensioen. Positieve ervaringen met keuzevrijheid zijn zeldzaam. </w:t>
      </w:r>
      <w:r>
        <w:rPr>
          <w:rFonts w:ascii="Times New Roman" w:hAnsi="Times New Roman" w:cs="Times New Roman"/>
          <w:lang w:val="nl-NL"/>
        </w:rPr>
        <w:t xml:space="preserve">Niet alleen is het waarschijnlijk dat keuzevrijheid een nadelig effect zal hebben op de hoogte en zekerheid van het pensioen, maar </w:t>
      </w:r>
      <w:r w:rsidRPr="000077FF">
        <w:rPr>
          <w:rFonts w:ascii="Times New Roman" w:hAnsi="Times New Roman" w:cs="Times New Roman"/>
          <w:lang w:val="nl-NL"/>
        </w:rPr>
        <w:t xml:space="preserve">het is ook onwaarschijnlijk dat zij vertrouwen in het stelsel en betrokkenheid van de deelnemer bij het pensioen zal verhogen. Immers, een </w:t>
      </w:r>
      <w:r w:rsidRPr="000077FF" w:rsidR="00833D40">
        <w:rPr>
          <w:rFonts w:ascii="Times New Roman" w:hAnsi="Times New Roman" w:cs="Times New Roman"/>
          <w:lang w:val="nl-NL"/>
        </w:rPr>
        <w:t xml:space="preserve">grotere keuzevrijheid kan alleen meer vertrouwen </w:t>
      </w:r>
      <w:r w:rsidRPr="000077FF">
        <w:rPr>
          <w:rFonts w:ascii="Times New Roman" w:hAnsi="Times New Roman" w:cs="Times New Roman"/>
          <w:lang w:val="nl-NL"/>
        </w:rPr>
        <w:t xml:space="preserve">of betrokkenheid </w:t>
      </w:r>
      <w:r w:rsidRPr="000077FF" w:rsidR="00833D40">
        <w:rPr>
          <w:rFonts w:ascii="Times New Roman" w:hAnsi="Times New Roman" w:cs="Times New Roman"/>
          <w:lang w:val="nl-NL"/>
        </w:rPr>
        <w:t xml:space="preserve">realiseren, indien het positieve resultaten genereert! </w:t>
      </w:r>
      <w:r w:rsidRPr="000077FF">
        <w:rPr>
          <w:rFonts w:ascii="Times New Roman" w:hAnsi="Times New Roman" w:cs="Times New Roman"/>
          <w:lang w:val="nl-NL"/>
        </w:rPr>
        <w:t xml:space="preserve">Op het moment wordt veel aandacht besteed aan institutionele oplossingen voor de nadelen van keuzevrijheid, zoals het opzetten van een duidelijke keuzearchitectuur of het inrichten van adequate </w:t>
      </w:r>
      <w:r w:rsidRPr="000077FF">
        <w:rPr>
          <w:rFonts w:ascii="Times New Roman" w:hAnsi="Times New Roman" w:cs="Times New Roman"/>
          <w:i/>
          <w:lang w:val="nl-NL"/>
        </w:rPr>
        <w:t>default</w:t>
      </w:r>
      <w:r w:rsidRPr="000077FF">
        <w:rPr>
          <w:rFonts w:ascii="Times New Roman" w:hAnsi="Times New Roman" w:cs="Times New Roman"/>
          <w:lang w:val="nl-NL"/>
        </w:rPr>
        <w:t>-opties. Daarmee wordt voorbij gegaan aan een veel fundamen</w:t>
      </w:r>
      <w:r>
        <w:rPr>
          <w:rFonts w:ascii="Times New Roman" w:hAnsi="Times New Roman" w:cs="Times New Roman"/>
          <w:lang w:val="nl-NL"/>
        </w:rPr>
        <w:t xml:space="preserve">telere vraag: is keuzevrijheid </w:t>
      </w:r>
      <w:r w:rsidR="00F479F3">
        <w:rPr>
          <w:rFonts w:ascii="Times New Roman" w:hAnsi="Times New Roman" w:cs="Times New Roman"/>
          <w:lang w:val="nl-NL"/>
        </w:rPr>
        <w:t>ü</w:t>
      </w:r>
      <w:r w:rsidRPr="000077FF">
        <w:rPr>
          <w:rFonts w:ascii="Times New Roman" w:hAnsi="Times New Roman" w:cs="Times New Roman"/>
          <w:lang w:val="nl-NL"/>
        </w:rPr>
        <w:t xml:space="preserve">berhaupt wel zo wenselijk als wordt aangenomen? </w:t>
      </w:r>
      <w:r w:rsidR="00F479F3">
        <w:rPr>
          <w:rFonts w:ascii="Times New Roman" w:hAnsi="Times New Roman" w:cs="Times New Roman"/>
          <w:lang w:val="nl-NL"/>
        </w:rPr>
        <w:t xml:space="preserve">In deze notitie is betoogd dat het verbeteren van de </w:t>
      </w:r>
      <w:proofErr w:type="spellStart"/>
      <w:r w:rsidR="00F479F3">
        <w:rPr>
          <w:rFonts w:ascii="Times New Roman" w:hAnsi="Times New Roman" w:cs="Times New Roman"/>
          <w:lang w:val="nl-NL"/>
        </w:rPr>
        <w:lastRenderedPageBreak/>
        <w:t>governance</w:t>
      </w:r>
      <w:proofErr w:type="spellEnd"/>
      <w:r w:rsidR="00F479F3">
        <w:rPr>
          <w:rFonts w:ascii="Times New Roman" w:hAnsi="Times New Roman" w:cs="Times New Roman"/>
          <w:lang w:val="nl-NL"/>
        </w:rPr>
        <w:t xml:space="preserve"> een veelbelovender traject biedt om de huidige problemen binnen het pensioenstelsel op te lossen dan keuzevrijheid. </w:t>
      </w:r>
    </w:p>
    <w:p w:rsidRPr="004301E8" w:rsidR="00A44A5A" w:rsidP="004301E8" w:rsidRDefault="00A44A5A" w14:paraId="1E549837" w14:textId="77777777">
      <w:pPr>
        <w:jc w:val="both"/>
        <w:rPr>
          <w:rFonts w:ascii="Times New Roman" w:hAnsi="Times New Roman" w:cs="Times New Roman"/>
          <w:u w:val="single"/>
          <w:lang w:val="nl-NL"/>
        </w:rPr>
      </w:pPr>
    </w:p>
    <w:p w:rsidRPr="007C13B0" w:rsidR="007C13B0" w:rsidP="0022094E" w:rsidRDefault="007C13B0" w14:paraId="7607FEAC" w14:textId="6FA77820">
      <w:pPr>
        <w:rPr>
          <w:rFonts w:ascii="Times New Roman" w:hAnsi="Times New Roman" w:cs="Times New Roman"/>
          <w:u w:val="single"/>
          <w:lang w:val="en-GB"/>
        </w:rPr>
      </w:pPr>
      <w:proofErr w:type="spellStart"/>
      <w:r w:rsidRPr="007C13B0">
        <w:rPr>
          <w:rFonts w:ascii="Times New Roman" w:hAnsi="Times New Roman" w:cs="Times New Roman"/>
          <w:u w:val="single"/>
          <w:lang w:val="en-GB"/>
        </w:rPr>
        <w:t>Literatuur</w:t>
      </w:r>
      <w:proofErr w:type="spellEnd"/>
      <w:r w:rsidRPr="007C13B0">
        <w:rPr>
          <w:rFonts w:ascii="Times New Roman" w:hAnsi="Times New Roman" w:cs="Times New Roman"/>
          <w:u w:val="single"/>
          <w:lang w:val="en-GB"/>
        </w:rPr>
        <w:t xml:space="preserve"> </w:t>
      </w:r>
    </w:p>
    <w:p w:rsidRPr="007C13B0" w:rsidR="007C13B0" w:rsidP="0022094E" w:rsidRDefault="007C13B0" w14:paraId="2BC20A37" w14:textId="77777777">
      <w:pPr>
        <w:rPr>
          <w:rFonts w:ascii="Times New Roman" w:hAnsi="Times New Roman" w:cs="Times New Roman"/>
          <w:lang w:val="en-GB"/>
        </w:rPr>
      </w:pPr>
    </w:p>
    <w:p w:rsidR="005F3A10" w:rsidP="00FD775D" w:rsidRDefault="005F3A10" w14:paraId="431959E3" w14:textId="18750A74">
      <w:pPr>
        <w:jc w:val="both"/>
        <w:rPr>
          <w:rFonts w:ascii="Times New Roman" w:hAnsi="Times New Roman" w:cs="Times New Roman"/>
          <w:lang w:val="nl-NL"/>
        </w:rPr>
      </w:pPr>
      <w:r>
        <w:rPr>
          <w:rFonts w:ascii="Times New Roman" w:hAnsi="Times New Roman" w:cs="Times New Roman"/>
          <w:lang w:val="nl-NL"/>
        </w:rPr>
        <w:t>Beer, P. de, W. Salverda, J. De Deken, D. H</w:t>
      </w:r>
      <w:r w:rsidR="00557865">
        <w:rPr>
          <w:rFonts w:ascii="Times New Roman" w:hAnsi="Times New Roman" w:cs="Times New Roman"/>
          <w:lang w:val="nl-NL"/>
        </w:rPr>
        <w:t>ollanders, S. Kuiper</w:t>
      </w:r>
      <w:r>
        <w:rPr>
          <w:rFonts w:ascii="Times New Roman" w:hAnsi="Times New Roman" w:cs="Times New Roman"/>
          <w:lang w:val="nl-NL"/>
        </w:rPr>
        <w:t xml:space="preserve">, en N. van der Zwan (2015).  </w:t>
      </w:r>
      <w:r w:rsidRPr="005F3A10">
        <w:rPr>
          <w:rFonts w:ascii="Times New Roman" w:hAnsi="Times New Roman" w:cs="Times New Roman"/>
          <w:i/>
          <w:lang w:val="nl-NL"/>
        </w:rPr>
        <w:t>Keuzevrijheid in pensioenen. Voor werknemer of werkgever, individueel of collectief?</w:t>
      </w:r>
      <w:r>
        <w:rPr>
          <w:rFonts w:ascii="Times New Roman" w:hAnsi="Times New Roman" w:cs="Times New Roman"/>
          <w:lang w:val="nl-NL"/>
        </w:rPr>
        <w:t xml:space="preserve"> Amsterdam: Amsterdam </w:t>
      </w:r>
      <w:proofErr w:type="spellStart"/>
      <w:r>
        <w:rPr>
          <w:rFonts w:ascii="Times New Roman" w:hAnsi="Times New Roman" w:cs="Times New Roman"/>
          <w:lang w:val="nl-NL"/>
        </w:rPr>
        <w:t>Institute</w:t>
      </w:r>
      <w:proofErr w:type="spellEnd"/>
      <w:r>
        <w:rPr>
          <w:rFonts w:ascii="Times New Roman" w:hAnsi="Times New Roman" w:cs="Times New Roman"/>
          <w:lang w:val="nl-NL"/>
        </w:rPr>
        <w:t xml:space="preserve"> for Advanced </w:t>
      </w:r>
      <w:proofErr w:type="spellStart"/>
      <w:r>
        <w:rPr>
          <w:rFonts w:ascii="Times New Roman" w:hAnsi="Times New Roman" w:cs="Times New Roman"/>
          <w:lang w:val="nl-NL"/>
        </w:rPr>
        <w:t>labour</w:t>
      </w:r>
      <w:proofErr w:type="spellEnd"/>
      <w:r>
        <w:rPr>
          <w:rFonts w:ascii="Times New Roman" w:hAnsi="Times New Roman" w:cs="Times New Roman"/>
          <w:lang w:val="nl-NL"/>
        </w:rPr>
        <w:t xml:space="preserve"> Studies.</w:t>
      </w:r>
    </w:p>
    <w:p w:rsidR="004D1585" w:rsidP="00FD775D" w:rsidRDefault="004D1585" w14:paraId="0B92A021" w14:textId="77777777">
      <w:pPr>
        <w:jc w:val="both"/>
        <w:rPr>
          <w:rFonts w:ascii="Times New Roman" w:hAnsi="Times New Roman" w:cs="Times New Roman"/>
          <w:lang w:val="nl-NL"/>
        </w:rPr>
      </w:pPr>
    </w:p>
    <w:p w:rsidR="004D1585" w:rsidP="004D1585" w:rsidRDefault="004D1585" w14:paraId="1181A5A1" w14:textId="52988920">
      <w:pPr>
        <w:rPr>
          <w:rFonts w:ascii="Times" w:hAnsi="Times" w:eastAsia="Times New Roman" w:cs="Times New Roman"/>
        </w:rPr>
      </w:pPr>
      <w:proofErr w:type="spellStart"/>
      <w:r w:rsidRPr="004D1585">
        <w:rPr>
          <w:rFonts w:ascii="Times" w:hAnsi="Times" w:eastAsia="Times New Roman" w:cs="Times New Roman"/>
        </w:rPr>
        <w:t>Berden</w:t>
      </w:r>
      <w:proofErr w:type="spellEnd"/>
      <w:r w:rsidRPr="004D1585">
        <w:rPr>
          <w:rFonts w:ascii="Times" w:hAnsi="Times" w:eastAsia="Times New Roman" w:cs="Times New Roman"/>
        </w:rPr>
        <w:t xml:space="preserve">, C. </w:t>
      </w:r>
      <w:proofErr w:type="spellStart"/>
      <w:r w:rsidRPr="004D1585">
        <w:rPr>
          <w:rFonts w:ascii="Times" w:hAnsi="Times" w:eastAsia="Times New Roman" w:cs="Times New Roman"/>
        </w:rPr>
        <w:t>en</w:t>
      </w:r>
      <w:proofErr w:type="spellEnd"/>
      <w:r w:rsidRPr="004D1585">
        <w:rPr>
          <w:rFonts w:ascii="Times" w:hAnsi="Times" w:eastAsia="Times New Roman" w:cs="Times New Roman"/>
        </w:rPr>
        <w:t xml:space="preserve"> L. </w:t>
      </w:r>
      <w:proofErr w:type="spellStart"/>
      <w:r w:rsidRPr="004D1585">
        <w:rPr>
          <w:rFonts w:ascii="Times" w:hAnsi="Times" w:eastAsia="Times New Roman" w:cs="Times New Roman"/>
        </w:rPr>
        <w:t>Kok</w:t>
      </w:r>
      <w:proofErr w:type="spellEnd"/>
      <w:r w:rsidRPr="004D1585">
        <w:rPr>
          <w:rFonts w:ascii="Times" w:hAnsi="Times" w:eastAsia="Times New Roman" w:cs="Times New Roman"/>
        </w:rPr>
        <w:t xml:space="preserve"> (2010). </w:t>
      </w:r>
      <w:r w:rsidRPr="004D1585">
        <w:rPr>
          <w:rFonts w:ascii="Times" w:hAnsi="Times" w:eastAsia="Times New Roman" w:cs="Times New Roman"/>
          <w:i/>
        </w:rPr>
        <w:t xml:space="preserve">De </w:t>
      </w:r>
      <w:proofErr w:type="spellStart"/>
      <w:r w:rsidRPr="004D1585">
        <w:rPr>
          <w:rFonts w:ascii="Times" w:hAnsi="Times" w:eastAsia="Times New Roman" w:cs="Times New Roman"/>
          <w:i/>
        </w:rPr>
        <w:t>praktijk</w:t>
      </w:r>
      <w:proofErr w:type="spellEnd"/>
      <w:r w:rsidRPr="004D1585">
        <w:rPr>
          <w:rFonts w:ascii="Times" w:hAnsi="Times" w:eastAsia="Times New Roman" w:cs="Times New Roman"/>
          <w:i/>
        </w:rPr>
        <w:t xml:space="preserve"> van </w:t>
      </w:r>
      <w:proofErr w:type="spellStart"/>
      <w:r w:rsidRPr="004D1585">
        <w:rPr>
          <w:rFonts w:ascii="Times" w:hAnsi="Times" w:eastAsia="Times New Roman" w:cs="Times New Roman"/>
          <w:i/>
        </w:rPr>
        <w:t>waardeoverdracht</w:t>
      </w:r>
      <w:proofErr w:type="spellEnd"/>
      <w:r w:rsidRPr="004D1585">
        <w:rPr>
          <w:rFonts w:ascii="Times" w:hAnsi="Times" w:eastAsia="Times New Roman" w:cs="Times New Roman"/>
        </w:rPr>
        <w:t>. Rapport 2010</w:t>
      </w:r>
      <w:r w:rsidRPr="004D1585">
        <w:rPr>
          <w:rFonts w:ascii="Palatino Linotype" w:hAnsi="Palatino Linotype" w:eastAsia="Times New Roman" w:cs="Palatino Linotype"/>
        </w:rPr>
        <w:t>‐</w:t>
      </w:r>
      <w:r w:rsidRPr="004D1585">
        <w:rPr>
          <w:rFonts w:ascii="Times" w:hAnsi="Times" w:eastAsia="Times New Roman" w:cs="Times New Roman"/>
        </w:rPr>
        <w:t xml:space="preserve">52. Amsterdam: SEO </w:t>
      </w:r>
      <w:proofErr w:type="spellStart"/>
      <w:r w:rsidRPr="004D1585">
        <w:rPr>
          <w:rFonts w:ascii="Times" w:hAnsi="Times" w:eastAsia="Times New Roman" w:cs="Times New Roman"/>
        </w:rPr>
        <w:t>Economisch</w:t>
      </w:r>
      <w:proofErr w:type="spellEnd"/>
      <w:r w:rsidRPr="004D1585">
        <w:rPr>
          <w:rFonts w:ascii="Times" w:hAnsi="Times" w:eastAsia="Times New Roman" w:cs="Times New Roman"/>
        </w:rPr>
        <w:t xml:space="preserve"> </w:t>
      </w:r>
      <w:proofErr w:type="spellStart"/>
      <w:r w:rsidRPr="004D1585">
        <w:rPr>
          <w:rFonts w:ascii="Times" w:hAnsi="Times" w:eastAsia="Times New Roman" w:cs="Times New Roman"/>
        </w:rPr>
        <w:t>Onderzoek</w:t>
      </w:r>
      <w:proofErr w:type="spellEnd"/>
      <w:r w:rsidRPr="004D1585">
        <w:rPr>
          <w:rFonts w:ascii="Times" w:hAnsi="Times" w:eastAsia="Times New Roman" w:cs="Times New Roman"/>
        </w:rPr>
        <w:t>.</w:t>
      </w:r>
    </w:p>
    <w:p w:rsidR="004D1585" w:rsidP="004D1585" w:rsidRDefault="004D1585" w14:paraId="18233138" w14:textId="77777777">
      <w:pPr>
        <w:rPr>
          <w:rFonts w:ascii="Times" w:hAnsi="Times" w:eastAsia="Times New Roman" w:cs="Times New Roman"/>
        </w:rPr>
      </w:pPr>
    </w:p>
    <w:p w:rsidR="004D1585" w:rsidP="004D1585" w:rsidRDefault="004D1585" w14:paraId="108FA3A8" w14:textId="6955E6E4">
      <w:pPr>
        <w:rPr>
          <w:rFonts w:ascii="Times New Roman" w:hAnsi="Times New Roman" w:cs="Times New Roman"/>
        </w:rPr>
      </w:pPr>
      <w:proofErr w:type="spellStart"/>
      <w:r>
        <w:rPr>
          <w:rFonts w:ascii="Times New Roman" w:hAnsi="Times New Roman" w:cs="Times New Roman"/>
        </w:rPr>
        <w:t>Bodie</w:t>
      </w:r>
      <w:proofErr w:type="spellEnd"/>
      <w:r>
        <w:rPr>
          <w:rFonts w:ascii="Times New Roman" w:hAnsi="Times New Roman" w:cs="Times New Roman"/>
        </w:rPr>
        <w:t>, Z.</w:t>
      </w:r>
      <w:r w:rsidRPr="001A01DB">
        <w:rPr>
          <w:rFonts w:ascii="Times New Roman" w:hAnsi="Times New Roman" w:cs="Times New Roman"/>
        </w:rPr>
        <w:t xml:space="preserve"> </w:t>
      </w:r>
      <w:proofErr w:type="spellStart"/>
      <w:r>
        <w:rPr>
          <w:rFonts w:ascii="Times New Roman" w:hAnsi="Times New Roman" w:cs="Times New Roman"/>
        </w:rPr>
        <w:t>en</w:t>
      </w:r>
      <w:proofErr w:type="spellEnd"/>
      <w:r w:rsidRPr="001A01DB">
        <w:rPr>
          <w:rFonts w:ascii="Times New Roman" w:hAnsi="Times New Roman" w:cs="Times New Roman"/>
        </w:rPr>
        <w:t xml:space="preserve"> </w:t>
      </w:r>
      <w:r>
        <w:rPr>
          <w:rFonts w:ascii="Times New Roman" w:hAnsi="Times New Roman" w:cs="Times New Roman"/>
        </w:rPr>
        <w:t>H.</w:t>
      </w:r>
      <w:r w:rsidRPr="001A01DB">
        <w:rPr>
          <w:rFonts w:ascii="Times New Roman" w:hAnsi="Times New Roman" w:cs="Times New Roman"/>
        </w:rPr>
        <w:t xml:space="preserve"> </w:t>
      </w:r>
      <w:proofErr w:type="spellStart"/>
      <w:r w:rsidRPr="001A01DB">
        <w:rPr>
          <w:rFonts w:ascii="Times New Roman" w:hAnsi="Times New Roman" w:cs="Times New Roman"/>
        </w:rPr>
        <w:t>Prast</w:t>
      </w:r>
      <w:proofErr w:type="spellEnd"/>
      <w:r w:rsidRPr="001A01DB">
        <w:rPr>
          <w:rFonts w:ascii="Times New Roman" w:hAnsi="Times New Roman" w:cs="Times New Roman"/>
        </w:rPr>
        <w:t xml:space="preserve"> </w:t>
      </w:r>
      <w:r>
        <w:rPr>
          <w:rFonts w:ascii="Times New Roman" w:hAnsi="Times New Roman" w:cs="Times New Roman"/>
        </w:rPr>
        <w:t>(2011).</w:t>
      </w:r>
      <w:r w:rsidRPr="001A01DB">
        <w:rPr>
          <w:rFonts w:ascii="Times New Roman" w:hAnsi="Times New Roman" w:cs="Times New Roman"/>
        </w:rPr>
        <w:t xml:space="preserve">  </w:t>
      </w:r>
      <w:r w:rsidRPr="001A01DB">
        <w:rPr>
          <w:rFonts w:ascii="Times New Roman" w:hAnsi="Times New Roman" w:cs="Times New Roman"/>
          <w:i/>
        </w:rPr>
        <w:t>Rational Pensions for Irrational People: Behavioral Science Lessons for the Netherlands</w:t>
      </w:r>
      <w:r>
        <w:rPr>
          <w:rFonts w:ascii="Times New Roman" w:hAnsi="Times New Roman" w:cs="Times New Roman"/>
        </w:rPr>
        <w:t xml:space="preserve">. Tilburg: </w:t>
      </w:r>
      <w:proofErr w:type="spellStart"/>
      <w:r>
        <w:rPr>
          <w:rFonts w:ascii="Times New Roman" w:hAnsi="Times New Roman" w:cs="Times New Roman"/>
        </w:rPr>
        <w:t>Netspar</w:t>
      </w:r>
      <w:proofErr w:type="spellEnd"/>
      <w:r w:rsidRPr="001A01DB">
        <w:rPr>
          <w:rFonts w:ascii="Times New Roman" w:hAnsi="Times New Roman" w:cs="Times New Roman"/>
        </w:rPr>
        <w:t xml:space="preserve">. </w:t>
      </w:r>
    </w:p>
    <w:p w:rsidR="005F3A10" w:rsidP="00FD775D" w:rsidRDefault="005F3A10" w14:paraId="3E9A2AB0" w14:textId="77777777">
      <w:pPr>
        <w:jc w:val="both"/>
        <w:rPr>
          <w:rFonts w:ascii="Times New Roman" w:hAnsi="Times New Roman" w:cs="Times New Roman"/>
          <w:lang w:val="nl-NL"/>
        </w:rPr>
      </w:pPr>
    </w:p>
    <w:p w:rsidRPr="00F06DFF" w:rsidR="00FD775D" w:rsidP="00FD775D" w:rsidRDefault="00FD775D" w14:paraId="707FF585" w14:textId="77777777">
      <w:pPr>
        <w:jc w:val="both"/>
        <w:rPr>
          <w:rFonts w:ascii="Times New Roman" w:hAnsi="Times New Roman" w:cs="Times New Roman"/>
          <w:lang w:val="nl-NL"/>
        </w:rPr>
      </w:pPr>
      <w:r w:rsidRPr="00F06DFF">
        <w:rPr>
          <w:rFonts w:ascii="Times New Roman" w:hAnsi="Times New Roman" w:cs="Times New Roman"/>
          <w:lang w:val="nl-NL"/>
        </w:rPr>
        <w:t xml:space="preserve">De Nederlandsche Bank (2014). Vertrouwen in financiële instellingen licht toegenomen. </w:t>
      </w:r>
      <w:r w:rsidRPr="00F06DFF">
        <w:rPr>
          <w:rFonts w:ascii="Times New Roman" w:hAnsi="Times New Roman" w:cs="Times New Roman"/>
          <w:i/>
          <w:lang w:val="nl-NL"/>
        </w:rPr>
        <w:t>DNB Bulletin</w:t>
      </w:r>
      <w:r w:rsidRPr="00F06DFF">
        <w:rPr>
          <w:rFonts w:ascii="Times New Roman" w:hAnsi="Times New Roman" w:cs="Times New Roman"/>
          <w:lang w:val="nl-NL"/>
        </w:rPr>
        <w:t xml:space="preserve">, 14 augustus 2014. Geraadpleegd op 12 oktober 2015 via </w:t>
      </w:r>
      <w:hyperlink w:history="1" r:id="rId8">
        <w:r w:rsidRPr="00F06DFF">
          <w:rPr>
            <w:rStyle w:val="Hyperlink"/>
            <w:rFonts w:ascii="Times New Roman" w:hAnsi="Times New Roman" w:cs="Times New Roman"/>
            <w:lang w:val="nl-NL"/>
          </w:rPr>
          <w:t>http://www.dnb.nl/nieuws/nieuwsoverzicht-en-archief/dnbulletin-2014/dnb310579.jsp</w:t>
        </w:r>
      </w:hyperlink>
      <w:r>
        <w:rPr>
          <w:rFonts w:ascii="Times New Roman" w:hAnsi="Times New Roman" w:cs="Times New Roman"/>
          <w:lang w:val="nl-NL"/>
        </w:rPr>
        <w:t>.</w:t>
      </w:r>
      <w:r w:rsidRPr="00F06DFF">
        <w:rPr>
          <w:rFonts w:ascii="Times New Roman" w:hAnsi="Times New Roman" w:cs="Times New Roman"/>
          <w:lang w:val="nl-NL"/>
        </w:rPr>
        <w:t xml:space="preserve"> </w:t>
      </w:r>
    </w:p>
    <w:p w:rsidRPr="00F06DFF" w:rsidR="00FD775D" w:rsidP="00FD775D" w:rsidRDefault="00FD775D" w14:paraId="77FADF08" w14:textId="77777777">
      <w:pPr>
        <w:jc w:val="both"/>
        <w:rPr>
          <w:rFonts w:ascii="Times New Roman" w:hAnsi="Times New Roman" w:cs="Times New Roman"/>
          <w:lang w:val="nl-NL"/>
        </w:rPr>
      </w:pPr>
    </w:p>
    <w:p w:rsidR="00FD775D" w:rsidP="00FD775D" w:rsidRDefault="00FD775D" w14:paraId="6E4B2F83" w14:textId="77777777">
      <w:pPr>
        <w:jc w:val="both"/>
        <w:rPr>
          <w:rFonts w:ascii="Times New Roman" w:hAnsi="Times New Roman" w:cs="Times New Roman"/>
          <w:lang w:val="nl-NL"/>
        </w:rPr>
      </w:pPr>
      <w:r w:rsidRPr="00F06DFF">
        <w:rPr>
          <w:rFonts w:ascii="Times New Roman" w:hAnsi="Times New Roman" w:cs="Times New Roman"/>
          <w:lang w:val="nl-NL"/>
        </w:rPr>
        <w:t xml:space="preserve">Den </w:t>
      </w:r>
      <w:proofErr w:type="spellStart"/>
      <w:r w:rsidRPr="00F06DFF">
        <w:rPr>
          <w:rFonts w:ascii="Times New Roman" w:hAnsi="Times New Roman" w:cs="Times New Roman"/>
          <w:lang w:val="nl-NL"/>
        </w:rPr>
        <w:t>Noije</w:t>
      </w:r>
      <w:proofErr w:type="spellEnd"/>
      <w:r w:rsidRPr="00F06DFF">
        <w:rPr>
          <w:rFonts w:ascii="Times New Roman" w:hAnsi="Times New Roman" w:cs="Times New Roman"/>
          <w:lang w:val="nl-NL"/>
        </w:rPr>
        <w:t xml:space="preserve">, L., J. den Ridder, H. Posthumus (2014). </w:t>
      </w:r>
      <w:r w:rsidRPr="00F06DFF">
        <w:rPr>
          <w:rFonts w:ascii="Times New Roman" w:hAnsi="Times New Roman" w:cs="Times New Roman"/>
          <w:i/>
          <w:lang w:val="nl-NL"/>
        </w:rPr>
        <w:t>Burgerperspectieven 2014/2</w:t>
      </w:r>
      <w:r w:rsidRPr="00F06DFF">
        <w:rPr>
          <w:rFonts w:ascii="Times New Roman" w:hAnsi="Times New Roman" w:cs="Times New Roman"/>
          <w:lang w:val="nl-NL"/>
        </w:rPr>
        <w:t>. Den Haag: Sociaal Cultureel Planbureau.</w:t>
      </w:r>
    </w:p>
    <w:p w:rsidR="00E41F80" w:rsidP="00FD775D" w:rsidRDefault="00E41F80" w14:paraId="1E3D5140" w14:textId="77777777">
      <w:pPr>
        <w:jc w:val="both"/>
        <w:rPr>
          <w:rFonts w:ascii="Times New Roman" w:hAnsi="Times New Roman" w:cs="Times New Roman"/>
          <w:lang w:val="nl-NL"/>
        </w:rPr>
      </w:pPr>
    </w:p>
    <w:p w:rsidR="00E41F80" w:rsidP="00E41F80" w:rsidRDefault="00E41F80" w14:paraId="355CD327" w14:textId="73FB5922">
      <w:pPr>
        <w:jc w:val="both"/>
        <w:rPr>
          <w:rFonts w:ascii="Times New Roman" w:hAnsi="Times New Roman" w:cs="Times New Roman"/>
        </w:rPr>
      </w:pPr>
      <w:r w:rsidRPr="00E41F80">
        <w:rPr>
          <w:rFonts w:ascii="Times New Roman" w:hAnsi="Times New Roman" w:cs="Times New Roman"/>
          <w:i/>
        </w:rPr>
        <w:t xml:space="preserve">De </w:t>
      </w:r>
      <w:proofErr w:type="spellStart"/>
      <w:r w:rsidRPr="00E41F80">
        <w:rPr>
          <w:rFonts w:ascii="Times New Roman" w:hAnsi="Times New Roman" w:cs="Times New Roman"/>
          <w:i/>
        </w:rPr>
        <w:t>Telegraaf</w:t>
      </w:r>
      <w:proofErr w:type="spellEnd"/>
      <w:r>
        <w:rPr>
          <w:rFonts w:ascii="Times New Roman" w:hAnsi="Times New Roman" w:cs="Times New Roman"/>
        </w:rPr>
        <w:t xml:space="preserve"> (2014). Dijsselbloem: Exit </w:t>
      </w:r>
      <w:proofErr w:type="spellStart"/>
      <w:r>
        <w:rPr>
          <w:rFonts w:ascii="Times New Roman" w:hAnsi="Times New Roman" w:cs="Times New Roman"/>
        </w:rPr>
        <w:t>pensioenfonds</w:t>
      </w:r>
      <w:proofErr w:type="spellEnd"/>
      <w:r>
        <w:rPr>
          <w:rFonts w:ascii="Times New Roman" w:hAnsi="Times New Roman" w:cs="Times New Roman"/>
        </w:rPr>
        <w:t xml:space="preserve"> mag. 17 </w:t>
      </w:r>
      <w:proofErr w:type="spellStart"/>
      <w:r>
        <w:rPr>
          <w:rFonts w:ascii="Times New Roman" w:hAnsi="Times New Roman" w:cs="Times New Roman"/>
        </w:rPr>
        <w:t>juni</w:t>
      </w:r>
      <w:proofErr w:type="spellEnd"/>
      <w:r>
        <w:rPr>
          <w:rFonts w:ascii="Times New Roman" w:hAnsi="Times New Roman" w:cs="Times New Roman"/>
        </w:rPr>
        <w:t xml:space="preserve"> 2014. </w:t>
      </w:r>
    </w:p>
    <w:p w:rsidR="00C46B7E" w:rsidP="00FD775D" w:rsidRDefault="00C46B7E" w14:paraId="79E4AD3F" w14:textId="77777777">
      <w:pPr>
        <w:jc w:val="both"/>
        <w:rPr>
          <w:rFonts w:ascii="Times New Roman" w:hAnsi="Times New Roman" w:cs="Times New Roman"/>
          <w:lang w:val="nl-NL"/>
        </w:rPr>
      </w:pPr>
    </w:p>
    <w:p w:rsidR="00C46B7E" w:rsidP="00FD775D" w:rsidRDefault="00C46B7E" w14:paraId="54D74957" w14:textId="33C44B93">
      <w:pPr>
        <w:jc w:val="both"/>
        <w:rPr>
          <w:rFonts w:ascii="Times New Roman" w:hAnsi="Times New Roman" w:cs="Times New Roman"/>
          <w:lang w:val="nl-NL"/>
        </w:rPr>
      </w:pPr>
      <w:proofErr w:type="spellStart"/>
      <w:r>
        <w:rPr>
          <w:rFonts w:ascii="Times New Roman" w:hAnsi="Times New Roman" w:cs="Times New Roman"/>
          <w:lang w:val="nl-NL"/>
        </w:rPr>
        <w:t>Ebbinghaus</w:t>
      </w:r>
      <w:proofErr w:type="spellEnd"/>
      <w:r>
        <w:rPr>
          <w:rFonts w:ascii="Times New Roman" w:hAnsi="Times New Roman" w:cs="Times New Roman"/>
          <w:lang w:val="nl-NL"/>
        </w:rPr>
        <w:t xml:space="preserve">, B. en N. Whiteside (2012). </w:t>
      </w:r>
      <w:proofErr w:type="spellStart"/>
      <w:r>
        <w:rPr>
          <w:rFonts w:ascii="Times New Roman" w:hAnsi="Times New Roman" w:cs="Times New Roman"/>
          <w:lang w:val="nl-NL"/>
        </w:rPr>
        <w:t>Shifting</w:t>
      </w:r>
      <w:proofErr w:type="spellEnd"/>
      <w:r>
        <w:rPr>
          <w:rFonts w:ascii="Times New Roman" w:hAnsi="Times New Roman" w:cs="Times New Roman"/>
          <w:lang w:val="nl-NL"/>
        </w:rPr>
        <w:t xml:space="preserve"> </w:t>
      </w:r>
      <w:proofErr w:type="spellStart"/>
      <w:r>
        <w:rPr>
          <w:rFonts w:ascii="Times New Roman" w:hAnsi="Times New Roman" w:cs="Times New Roman"/>
          <w:lang w:val="nl-NL"/>
        </w:rPr>
        <w:t>Responsibilities</w:t>
      </w:r>
      <w:proofErr w:type="spellEnd"/>
      <w:r>
        <w:rPr>
          <w:rFonts w:ascii="Times New Roman" w:hAnsi="Times New Roman" w:cs="Times New Roman"/>
          <w:lang w:val="nl-NL"/>
        </w:rPr>
        <w:t xml:space="preserve"> in Western European pension systems: </w:t>
      </w:r>
      <w:proofErr w:type="spellStart"/>
      <w:r>
        <w:rPr>
          <w:rFonts w:ascii="Times New Roman" w:hAnsi="Times New Roman" w:cs="Times New Roman"/>
          <w:lang w:val="nl-NL"/>
        </w:rPr>
        <w:t>What</w:t>
      </w:r>
      <w:proofErr w:type="spellEnd"/>
      <w:r>
        <w:rPr>
          <w:rFonts w:ascii="Times New Roman" w:hAnsi="Times New Roman" w:cs="Times New Roman"/>
          <w:lang w:val="nl-NL"/>
        </w:rPr>
        <w:t xml:space="preserve"> </w:t>
      </w:r>
      <w:proofErr w:type="spellStart"/>
      <w:r>
        <w:rPr>
          <w:rFonts w:ascii="Times New Roman" w:hAnsi="Times New Roman" w:cs="Times New Roman"/>
          <w:lang w:val="nl-NL"/>
        </w:rPr>
        <w:t>future</w:t>
      </w:r>
      <w:proofErr w:type="spellEnd"/>
      <w:r>
        <w:rPr>
          <w:rFonts w:ascii="Times New Roman" w:hAnsi="Times New Roman" w:cs="Times New Roman"/>
          <w:lang w:val="nl-NL"/>
        </w:rPr>
        <w:t xml:space="preserve"> for </w:t>
      </w:r>
      <w:proofErr w:type="spellStart"/>
      <w:r>
        <w:rPr>
          <w:rFonts w:ascii="Times New Roman" w:hAnsi="Times New Roman" w:cs="Times New Roman"/>
          <w:lang w:val="nl-NL"/>
        </w:rPr>
        <w:t>social</w:t>
      </w:r>
      <w:proofErr w:type="spellEnd"/>
      <w:r>
        <w:rPr>
          <w:rFonts w:ascii="Times New Roman" w:hAnsi="Times New Roman" w:cs="Times New Roman"/>
          <w:lang w:val="nl-NL"/>
        </w:rPr>
        <w:t xml:space="preserve"> </w:t>
      </w:r>
      <w:proofErr w:type="spellStart"/>
      <w:r>
        <w:rPr>
          <w:rFonts w:ascii="Times New Roman" w:hAnsi="Times New Roman" w:cs="Times New Roman"/>
          <w:lang w:val="nl-NL"/>
        </w:rPr>
        <w:t>models</w:t>
      </w:r>
      <w:proofErr w:type="spellEnd"/>
      <w:r>
        <w:rPr>
          <w:rFonts w:ascii="Times New Roman" w:hAnsi="Times New Roman" w:cs="Times New Roman"/>
          <w:lang w:val="nl-NL"/>
        </w:rPr>
        <w:t xml:space="preserve">? </w:t>
      </w:r>
      <w:r w:rsidRPr="00C46B7E">
        <w:rPr>
          <w:rFonts w:ascii="Times New Roman" w:hAnsi="Times New Roman" w:cs="Times New Roman"/>
          <w:i/>
          <w:lang w:val="nl-NL"/>
        </w:rPr>
        <w:t xml:space="preserve">Global </w:t>
      </w:r>
      <w:proofErr w:type="spellStart"/>
      <w:r w:rsidRPr="00C46B7E">
        <w:rPr>
          <w:rFonts w:ascii="Times New Roman" w:hAnsi="Times New Roman" w:cs="Times New Roman"/>
          <w:i/>
          <w:lang w:val="nl-NL"/>
        </w:rPr>
        <w:t>Social</w:t>
      </w:r>
      <w:proofErr w:type="spellEnd"/>
      <w:r w:rsidRPr="00C46B7E">
        <w:rPr>
          <w:rFonts w:ascii="Times New Roman" w:hAnsi="Times New Roman" w:cs="Times New Roman"/>
          <w:i/>
          <w:lang w:val="nl-NL"/>
        </w:rPr>
        <w:t xml:space="preserve"> Policy</w:t>
      </w:r>
      <w:r>
        <w:rPr>
          <w:rFonts w:ascii="Times New Roman" w:hAnsi="Times New Roman" w:cs="Times New Roman"/>
          <w:lang w:val="nl-NL"/>
        </w:rPr>
        <w:t xml:space="preserve">, 12(3): 266-282. </w:t>
      </w:r>
    </w:p>
    <w:p w:rsidR="004B5B4E" w:rsidP="00FD775D" w:rsidRDefault="004B5B4E" w14:paraId="67DDCEC4" w14:textId="77777777">
      <w:pPr>
        <w:jc w:val="both"/>
        <w:rPr>
          <w:rFonts w:ascii="Times New Roman" w:hAnsi="Times New Roman" w:cs="Times New Roman"/>
          <w:lang w:val="nl-NL"/>
        </w:rPr>
      </w:pPr>
    </w:p>
    <w:p w:rsidR="004B5B4E" w:rsidP="00FD775D" w:rsidRDefault="004B5B4E" w14:paraId="43522B11" w14:textId="424AFA4D">
      <w:pPr>
        <w:jc w:val="both"/>
        <w:rPr>
          <w:rFonts w:ascii="Times New Roman" w:hAnsi="Times New Roman" w:cs="Times New Roman"/>
          <w:lang w:val="nl-NL"/>
        </w:rPr>
      </w:pPr>
      <w:r>
        <w:rPr>
          <w:rFonts w:ascii="Times New Roman" w:hAnsi="Times New Roman" w:cs="Times New Roman"/>
          <w:lang w:val="nl-NL"/>
        </w:rPr>
        <w:t xml:space="preserve">Hirschman, A. (1970). </w:t>
      </w:r>
      <w:r w:rsidRPr="004B5B4E">
        <w:rPr>
          <w:rFonts w:ascii="Times New Roman" w:hAnsi="Times New Roman" w:cs="Times New Roman"/>
          <w:i/>
          <w:lang w:val="nl-NL"/>
        </w:rPr>
        <w:t xml:space="preserve">Exit, </w:t>
      </w:r>
      <w:proofErr w:type="spellStart"/>
      <w:r w:rsidRPr="004B5B4E">
        <w:rPr>
          <w:rFonts w:ascii="Times New Roman" w:hAnsi="Times New Roman" w:cs="Times New Roman"/>
          <w:i/>
          <w:lang w:val="nl-NL"/>
        </w:rPr>
        <w:t>voice</w:t>
      </w:r>
      <w:proofErr w:type="spellEnd"/>
      <w:r w:rsidRPr="004B5B4E">
        <w:rPr>
          <w:rFonts w:ascii="Times New Roman" w:hAnsi="Times New Roman" w:cs="Times New Roman"/>
          <w:i/>
          <w:lang w:val="nl-NL"/>
        </w:rPr>
        <w:t xml:space="preserve"> </w:t>
      </w:r>
      <w:proofErr w:type="spellStart"/>
      <w:r w:rsidRPr="004B5B4E">
        <w:rPr>
          <w:rFonts w:ascii="Times New Roman" w:hAnsi="Times New Roman" w:cs="Times New Roman"/>
          <w:i/>
          <w:lang w:val="nl-NL"/>
        </w:rPr>
        <w:t>and</w:t>
      </w:r>
      <w:proofErr w:type="spellEnd"/>
      <w:r w:rsidRPr="004B5B4E">
        <w:rPr>
          <w:rFonts w:ascii="Times New Roman" w:hAnsi="Times New Roman" w:cs="Times New Roman"/>
          <w:i/>
          <w:lang w:val="nl-NL"/>
        </w:rPr>
        <w:t xml:space="preserve"> </w:t>
      </w:r>
      <w:proofErr w:type="spellStart"/>
      <w:r w:rsidRPr="004B5B4E">
        <w:rPr>
          <w:rFonts w:ascii="Times New Roman" w:hAnsi="Times New Roman" w:cs="Times New Roman"/>
          <w:i/>
          <w:lang w:val="nl-NL"/>
        </w:rPr>
        <w:t>loyalty</w:t>
      </w:r>
      <w:proofErr w:type="spellEnd"/>
      <w:r>
        <w:rPr>
          <w:rFonts w:ascii="Times New Roman" w:hAnsi="Times New Roman" w:cs="Times New Roman"/>
          <w:lang w:val="nl-NL"/>
        </w:rPr>
        <w:t xml:space="preserve">. Cambridge (MA): Harvard University Press. </w:t>
      </w:r>
    </w:p>
    <w:p w:rsidR="00FB32D0" w:rsidP="00FD775D" w:rsidRDefault="00FB32D0" w14:paraId="22BE3D90" w14:textId="77777777">
      <w:pPr>
        <w:jc w:val="both"/>
        <w:rPr>
          <w:rFonts w:ascii="Times New Roman" w:hAnsi="Times New Roman" w:cs="Times New Roman"/>
          <w:lang w:val="nl-NL"/>
        </w:rPr>
      </w:pPr>
    </w:p>
    <w:p w:rsidR="00FB32D0" w:rsidP="00FD775D" w:rsidRDefault="00FB32D0" w14:paraId="774C75BB" w14:textId="2358D526">
      <w:pPr>
        <w:jc w:val="both"/>
        <w:rPr>
          <w:rFonts w:ascii="Times New Roman" w:hAnsi="Times New Roman" w:cs="Times New Roman"/>
          <w:lang w:val="nl-NL"/>
        </w:rPr>
      </w:pPr>
      <w:r>
        <w:rPr>
          <w:rFonts w:ascii="Times New Roman" w:hAnsi="Times New Roman" w:cs="Times New Roman"/>
          <w:lang w:val="nl-NL"/>
        </w:rPr>
        <w:t xml:space="preserve">Hoff, S. (2015). </w:t>
      </w:r>
      <w:r w:rsidRPr="00FB32D0">
        <w:rPr>
          <w:rFonts w:ascii="Times New Roman" w:hAnsi="Times New Roman" w:cs="Times New Roman"/>
          <w:i/>
          <w:lang w:val="nl-NL"/>
        </w:rPr>
        <w:t>Pensioenen: Solidariteit en keuzevrijheid. Opvattingen van werkenden over aanvullende pensioenen</w:t>
      </w:r>
      <w:r>
        <w:rPr>
          <w:rFonts w:ascii="Times New Roman" w:hAnsi="Times New Roman" w:cs="Times New Roman"/>
          <w:lang w:val="nl-NL"/>
        </w:rPr>
        <w:t xml:space="preserve">. Den Haag: Sociaal Cultureel Planbureau. </w:t>
      </w:r>
    </w:p>
    <w:p w:rsidR="00FD775D" w:rsidP="0022094E" w:rsidRDefault="00FD775D" w14:paraId="78AF19DC" w14:textId="77777777">
      <w:pPr>
        <w:rPr>
          <w:rFonts w:ascii="Times New Roman" w:hAnsi="Times New Roman" w:cs="Times New Roman"/>
        </w:rPr>
      </w:pPr>
    </w:p>
    <w:p w:rsidR="0022094E" w:rsidP="0022094E" w:rsidRDefault="00FD775D" w14:paraId="0141237E" w14:textId="295B2020">
      <w:pPr>
        <w:rPr>
          <w:rFonts w:ascii="Times New Roman" w:hAnsi="Times New Roman" w:cs="Times New Roman"/>
        </w:rPr>
      </w:pPr>
      <w:r>
        <w:rPr>
          <w:rFonts w:ascii="Times New Roman" w:hAnsi="Times New Roman" w:cs="Times New Roman"/>
        </w:rPr>
        <w:t xml:space="preserve">Hyde, M. </w:t>
      </w:r>
      <w:proofErr w:type="spellStart"/>
      <w:r w:rsidR="00C46B7E">
        <w:rPr>
          <w:rFonts w:ascii="Times New Roman" w:hAnsi="Times New Roman" w:cs="Times New Roman"/>
        </w:rPr>
        <w:t>en</w:t>
      </w:r>
      <w:proofErr w:type="spellEnd"/>
      <w:r>
        <w:rPr>
          <w:rFonts w:ascii="Times New Roman" w:hAnsi="Times New Roman" w:cs="Times New Roman"/>
        </w:rPr>
        <w:t xml:space="preserve"> Dixon, J. (2010).</w:t>
      </w:r>
      <w:r w:rsidRPr="007C13B0" w:rsidR="0022094E">
        <w:rPr>
          <w:rFonts w:ascii="Times New Roman" w:hAnsi="Times New Roman" w:cs="Times New Roman"/>
        </w:rPr>
        <w:t xml:space="preserve"> Can private pensions be trusted? A cross-national review. </w:t>
      </w:r>
      <w:r w:rsidRPr="007C13B0" w:rsidR="0022094E">
        <w:rPr>
          <w:rFonts w:ascii="Times New Roman" w:hAnsi="Times New Roman" w:cs="Times New Roman"/>
          <w:i/>
        </w:rPr>
        <w:t>International Journal of Social Economics</w:t>
      </w:r>
      <w:r>
        <w:rPr>
          <w:rFonts w:ascii="Times New Roman" w:hAnsi="Times New Roman" w:cs="Times New Roman"/>
        </w:rPr>
        <w:t>,</w:t>
      </w:r>
      <w:r w:rsidR="00C46B7E">
        <w:rPr>
          <w:rFonts w:ascii="Times New Roman" w:hAnsi="Times New Roman" w:cs="Times New Roman"/>
        </w:rPr>
        <w:t xml:space="preserve"> 37(</w:t>
      </w:r>
      <w:r w:rsidRPr="007C13B0" w:rsidR="0022094E">
        <w:rPr>
          <w:rFonts w:ascii="Times New Roman" w:hAnsi="Times New Roman" w:cs="Times New Roman"/>
        </w:rPr>
        <w:t>4</w:t>
      </w:r>
      <w:r w:rsidR="00C46B7E">
        <w:rPr>
          <w:rFonts w:ascii="Times New Roman" w:hAnsi="Times New Roman" w:cs="Times New Roman"/>
        </w:rPr>
        <w:t>)</w:t>
      </w:r>
      <w:r w:rsidRPr="007C13B0" w:rsidR="0022094E">
        <w:rPr>
          <w:rFonts w:ascii="Times New Roman" w:hAnsi="Times New Roman" w:cs="Times New Roman"/>
        </w:rPr>
        <w:t>: 276–292.</w:t>
      </w:r>
    </w:p>
    <w:p w:rsidR="00C46B7E" w:rsidP="0022094E" w:rsidRDefault="00C46B7E" w14:paraId="7C780669" w14:textId="77777777">
      <w:pPr>
        <w:rPr>
          <w:rFonts w:ascii="Times New Roman" w:hAnsi="Times New Roman" w:cs="Times New Roman"/>
        </w:rPr>
      </w:pPr>
    </w:p>
    <w:p w:rsidR="00C46B7E" w:rsidP="0022094E" w:rsidRDefault="00C46B7E" w14:paraId="239AED59" w14:textId="099024E9">
      <w:pPr>
        <w:rPr>
          <w:rFonts w:ascii="Times New Roman" w:hAnsi="Times New Roman" w:cs="Times New Roman"/>
        </w:rPr>
      </w:pPr>
      <w:proofErr w:type="spellStart"/>
      <w:r>
        <w:rPr>
          <w:rFonts w:ascii="Times New Roman" w:hAnsi="Times New Roman" w:cs="Times New Roman"/>
        </w:rPr>
        <w:t>Koenen</w:t>
      </w:r>
      <w:proofErr w:type="spellEnd"/>
      <w:r>
        <w:rPr>
          <w:rFonts w:ascii="Times New Roman" w:hAnsi="Times New Roman" w:cs="Times New Roman"/>
        </w:rPr>
        <w:t xml:space="preserve">, B. (2014). </w:t>
      </w:r>
      <w:proofErr w:type="spellStart"/>
      <w:r w:rsidRPr="00C46B7E">
        <w:rPr>
          <w:rFonts w:ascii="Times New Roman" w:hAnsi="Times New Roman" w:cs="Times New Roman"/>
          <w:i/>
        </w:rPr>
        <w:t>Issuemonitor</w:t>
      </w:r>
      <w:proofErr w:type="spellEnd"/>
      <w:r w:rsidRPr="00C46B7E">
        <w:rPr>
          <w:rFonts w:ascii="Times New Roman" w:hAnsi="Times New Roman" w:cs="Times New Roman"/>
          <w:i/>
        </w:rPr>
        <w:t xml:space="preserve"> 2014 </w:t>
      </w:r>
      <w:proofErr w:type="spellStart"/>
      <w:r w:rsidRPr="00C46B7E">
        <w:rPr>
          <w:rFonts w:ascii="Times New Roman" w:hAnsi="Times New Roman" w:cs="Times New Roman"/>
          <w:i/>
        </w:rPr>
        <w:t>pensioenen</w:t>
      </w:r>
      <w:proofErr w:type="spellEnd"/>
      <w:r>
        <w:rPr>
          <w:rFonts w:ascii="Times New Roman" w:hAnsi="Times New Roman" w:cs="Times New Roman"/>
        </w:rPr>
        <w:t xml:space="preserve">. Amsterdam: </w:t>
      </w:r>
      <w:proofErr w:type="spellStart"/>
      <w:r>
        <w:rPr>
          <w:rFonts w:ascii="Times New Roman" w:hAnsi="Times New Roman" w:cs="Times New Roman"/>
        </w:rPr>
        <w:t>Veldkamp</w:t>
      </w:r>
      <w:proofErr w:type="spellEnd"/>
      <w:r>
        <w:rPr>
          <w:rFonts w:ascii="Times New Roman" w:hAnsi="Times New Roman" w:cs="Times New Roman"/>
        </w:rPr>
        <w:t xml:space="preserve">. </w:t>
      </w:r>
    </w:p>
    <w:p w:rsidR="004B5B4E" w:rsidP="0022094E" w:rsidRDefault="004B5B4E" w14:paraId="51712E9E" w14:textId="77777777">
      <w:pPr>
        <w:rPr>
          <w:rFonts w:ascii="Times New Roman" w:hAnsi="Times New Roman" w:cs="Times New Roman"/>
        </w:rPr>
      </w:pPr>
    </w:p>
    <w:p w:rsidR="004B5B4E" w:rsidP="0022094E" w:rsidRDefault="004B5B4E" w14:paraId="7E164AA5" w14:textId="2C2E8AEF">
      <w:pPr>
        <w:rPr>
          <w:rFonts w:ascii="Times New Roman" w:hAnsi="Times New Roman" w:cs="Times New Roman"/>
        </w:rPr>
      </w:pPr>
      <w:proofErr w:type="spellStart"/>
      <w:r>
        <w:rPr>
          <w:rFonts w:ascii="Times New Roman" w:hAnsi="Times New Roman" w:cs="Times New Roman"/>
        </w:rPr>
        <w:t>Kortleve</w:t>
      </w:r>
      <w:proofErr w:type="spellEnd"/>
      <w:r>
        <w:rPr>
          <w:rFonts w:ascii="Times New Roman" w:hAnsi="Times New Roman" w:cs="Times New Roman"/>
        </w:rPr>
        <w:t xml:space="preserve">, N. </w:t>
      </w:r>
      <w:proofErr w:type="spellStart"/>
      <w:r>
        <w:rPr>
          <w:rFonts w:ascii="Times New Roman" w:hAnsi="Times New Roman" w:cs="Times New Roman"/>
        </w:rPr>
        <w:t>en</w:t>
      </w:r>
      <w:proofErr w:type="spellEnd"/>
      <w:r>
        <w:rPr>
          <w:rFonts w:ascii="Times New Roman" w:hAnsi="Times New Roman" w:cs="Times New Roman"/>
        </w:rPr>
        <w:t xml:space="preserve"> A. </w:t>
      </w:r>
      <w:proofErr w:type="spellStart"/>
      <w:r>
        <w:rPr>
          <w:rFonts w:ascii="Times New Roman" w:hAnsi="Times New Roman" w:cs="Times New Roman"/>
        </w:rPr>
        <w:t>Slager</w:t>
      </w:r>
      <w:proofErr w:type="spellEnd"/>
      <w:r>
        <w:rPr>
          <w:rFonts w:ascii="Times New Roman" w:hAnsi="Times New Roman" w:cs="Times New Roman"/>
        </w:rPr>
        <w:t xml:space="preserve"> (2010). </w:t>
      </w:r>
      <w:proofErr w:type="spellStart"/>
      <w:r w:rsidRPr="004B5B4E">
        <w:rPr>
          <w:rFonts w:ascii="Times New Roman" w:hAnsi="Times New Roman" w:cs="Times New Roman"/>
          <w:i/>
        </w:rPr>
        <w:t>Consumenten</w:t>
      </w:r>
      <w:proofErr w:type="spellEnd"/>
      <w:r w:rsidRPr="004B5B4E">
        <w:rPr>
          <w:rFonts w:ascii="Times New Roman" w:hAnsi="Times New Roman" w:cs="Times New Roman"/>
          <w:i/>
        </w:rPr>
        <w:t xml:space="preserve"> </w:t>
      </w:r>
      <w:proofErr w:type="spellStart"/>
      <w:r w:rsidRPr="004B5B4E">
        <w:rPr>
          <w:rFonts w:ascii="Times New Roman" w:hAnsi="Times New Roman" w:cs="Times New Roman"/>
          <w:i/>
        </w:rPr>
        <w:t>aan</w:t>
      </w:r>
      <w:proofErr w:type="spellEnd"/>
      <w:r w:rsidRPr="004B5B4E">
        <w:rPr>
          <w:rFonts w:ascii="Times New Roman" w:hAnsi="Times New Roman" w:cs="Times New Roman"/>
          <w:i/>
        </w:rPr>
        <w:t xml:space="preserve"> het </w:t>
      </w:r>
      <w:proofErr w:type="spellStart"/>
      <w:r w:rsidRPr="004B5B4E">
        <w:rPr>
          <w:rFonts w:ascii="Times New Roman" w:hAnsi="Times New Roman" w:cs="Times New Roman"/>
          <w:i/>
        </w:rPr>
        <w:t>roer</w:t>
      </w:r>
      <w:proofErr w:type="spellEnd"/>
      <w:r w:rsidRPr="004B5B4E">
        <w:rPr>
          <w:rFonts w:ascii="Times New Roman" w:hAnsi="Times New Roman" w:cs="Times New Roman"/>
          <w:i/>
        </w:rPr>
        <w:t xml:space="preserve">. </w:t>
      </w:r>
      <w:proofErr w:type="spellStart"/>
      <w:r w:rsidRPr="004B5B4E">
        <w:rPr>
          <w:rFonts w:ascii="Times New Roman" w:hAnsi="Times New Roman" w:cs="Times New Roman"/>
          <w:i/>
        </w:rPr>
        <w:t>Strategische</w:t>
      </w:r>
      <w:proofErr w:type="spellEnd"/>
      <w:r w:rsidRPr="004B5B4E">
        <w:rPr>
          <w:rFonts w:ascii="Times New Roman" w:hAnsi="Times New Roman" w:cs="Times New Roman"/>
          <w:i/>
        </w:rPr>
        <w:t xml:space="preserve"> </w:t>
      </w:r>
      <w:proofErr w:type="spellStart"/>
      <w:r w:rsidRPr="004B5B4E">
        <w:rPr>
          <w:rFonts w:ascii="Times New Roman" w:hAnsi="Times New Roman" w:cs="Times New Roman"/>
          <w:i/>
        </w:rPr>
        <w:t>toekomstvisies</w:t>
      </w:r>
      <w:proofErr w:type="spellEnd"/>
      <w:r w:rsidRPr="004B5B4E">
        <w:rPr>
          <w:rFonts w:ascii="Times New Roman" w:hAnsi="Times New Roman" w:cs="Times New Roman"/>
          <w:i/>
        </w:rPr>
        <w:t xml:space="preserve"> </w:t>
      </w:r>
      <w:proofErr w:type="spellStart"/>
      <w:r w:rsidRPr="004B5B4E">
        <w:rPr>
          <w:rFonts w:ascii="Times New Roman" w:hAnsi="Times New Roman" w:cs="Times New Roman"/>
          <w:i/>
        </w:rPr>
        <w:t>voor</w:t>
      </w:r>
      <w:proofErr w:type="spellEnd"/>
      <w:r w:rsidRPr="004B5B4E">
        <w:rPr>
          <w:rFonts w:ascii="Times New Roman" w:hAnsi="Times New Roman" w:cs="Times New Roman"/>
          <w:i/>
        </w:rPr>
        <w:t xml:space="preserve"> de </w:t>
      </w:r>
      <w:proofErr w:type="spellStart"/>
      <w:r w:rsidRPr="004B5B4E">
        <w:rPr>
          <w:rFonts w:ascii="Times New Roman" w:hAnsi="Times New Roman" w:cs="Times New Roman"/>
          <w:i/>
        </w:rPr>
        <w:t>Nederlandse</w:t>
      </w:r>
      <w:proofErr w:type="spellEnd"/>
      <w:r w:rsidRPr="004B5B4E">
        <w:rPr>
          <w:rFonts w:ascii="Times New Roman" w:hAnsi="Times New Roman" w:cs="Times New Roman"/>
          <w:i/>
        </w:rPr>
        <w:t xml:space="preserve"> </w:t>
      </w:r>
      <w:proofErr w:type="spellStart"/>
      <w:r w:rsidRPr="004B5B4E">
        <w:rPr>
          <w:rFonts w:ascii="Times New Roman" w:hAnsi="Times New Roman" w:cs="Times New Roman"/>
          <w:i/>
        </w:rPr>
        <w:t>pensioensector</w:t>
      </w:r>
      <w:proofErr w:type="spellEnd"/>
      <w:r>
        <w:rPr>
          <w:rFonts w:ascii="Times New Roman" w:hAnsi="Times New Roman" w:cs="Times New Roman"/>
        </w:rPr>
        <w:t xml:space="preserve">. NEA Paper 27. Tilburg: </w:t>
      </w:r>
      <w:proofErr w:type="spellStart"/>
      <w:r>
        <w:rPr>
          <w:rFonts w:ascii="Times New Roman" w:hAnsi="Times New Roman" w:cs="Times New Roman"/>
        </w:rPr>
        <w:t>Netspar</w:t>
      </w:r>
      <w:proofErr w:type="spellEnd"/>
      <w:r>
        <w:rPr>
          <w:rFonts w:ascii="Times New Roman" w:hAnsi="Times New Roman" w:cs="Times New Roman"/>
        </w:rPr>
        <w:t xml:space="preserve">. </w:t>
      </w:r>
    </w:p>
    <w:p w:rsidR="00557865" w:rsidP="0022094E" w:rsidRDefault="00557865" w14:paraId="4E74BE80" w14:textId="77777777">
      <w:pPr>
        <w:rPr>
          <w:rFonts w:ascii="Times New Roman" w:hAnsi="Times New Roman" w:cs="Times New Roman"/>
        </w:rPr>
      </w:pPr>
    </w:p>
    <w:p w:rsidR="00557865" w:rsidP="0022094E" w:rsidRDefault="00557865" w14:paraId="6FBD1408" w14:textId="01009CD9">
      <w:pPr>
        <w:rPr>
          <w:rFonts w:ascii="Times New Roman" w:hAnsi="Times New Roman" w:cs="Times New Roman"/>
        </w:rPr>
      </w:pPr>
      <w:r>
        <w:rPr>
          <w:rFonts w:ascii="Times New Roman" w:hAnsi="Times New Roman" w:cs="Times New Roman"/>
        </w:rPr>
        <w:t xml:space="preserve">Kuiper, S. </w:t>
      </w:r>
      <w:proofErr w:type="spellStart"/>
      <w:r>
        <w:rPr>
          <w:rFonts w:ascii="Times New Roman" w:hAnsi="Times New Roman" w:cs="Times New Roman"/>
        </w:rPr>
        <w:t>en</w:t>
      </w:r>
      <w:proofErr w:type="spellEnd"/>
      <w:r>
        <w:rPr>
          <w:rFonts w:ascii="Times New Roman" w:hAnsi="Times New Roman" w:cs="Times New Roman"/>
        </w:rPr>
        <w:t xml:space="preserve"> N. van der Zwan (2015). </w:t>
      </w:r>
      <w:proofErr w:type="spellStart"/>
      <w:r>
        <w:rPr>
          <w:rFonts w:ascii="Times New Roman" w:hAnsi="Times New Roman" w:cs="Times New Roman"/>
        </w:rPr>
        <w:t>Liever</w:t>
      </w:r>
      <w:proofErr w:type="spellEnd"/>
      <w:r>
        <w:rPr>
          <w:rFonts w:ascii="Times New Roman" w:hAnsi="Times New Roman" w:cs="Times New Roman"/>
        </w:rPr>
        <w:t xml:space="preserve"> meer </w:t>
      </w:r>
      <w:proofErr w:type="spellStart"/>
      <w:r>
        <w:rPr>
          <w:rFonts w:ascii="Times New Roman" w:hAnsi="Times New Roman" w:cs="Times New Roman"/>
        </w:rPr>
        <w:t>zeggenschap</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meer </w:t>
      </w:r>
      <w:proofErr w:type="spellStart"/>
      <w:r>
        <w:rPr>
          <w:rFonts w:ascii="Times New Roman" w:hAnsi="Times New Roman" w:cs="Times New Roman"/>
        </w:rPr>
        <w:t>keuzemogelijkheden</w:t>
      </w:r>
      <w:proofErr w:type="spellEnd"/>
      <w:r>
        <w:rPr>
          <w:rFonts w:ascii="Times New Roman" w:hAnsi="Times New Roman" w:cs="Times New Roman"/>
        </w:rPr>
        <w:t xml:space="preserve">. </w:t>
      </w:r>
      <w:proofErr w:type="spellStart"/>
      <w:r w:rsidRPr="00557865">
        <w:rPr>
          <w:rFonts w:ascii="Times New Roman" w:hAnsi="Times New Roman" w:cs="Times New Roman"/>
          <w:i/>
        </w:rPr>
        <w:t>PensioenMagazine</w:t>
      </w:r>
      <w:proofErr w:type="spellEnd"/>
      <w:r w:rsidRPr="00557865">
        <w:rPr>
          <w:rFonts w:ascii="Times New Roman" w:hAnsi="Times New Roman" w:cs="Times New Roman"/>
          <w:i/>
        </w:rPr>
        <w:t>,</w:t>
      </w:r>
      <w:r>
        <w:rPr>
          <w:rFonts w:ascii="Times New Roman" w:hAnsi="Times New Roman" w:cs="Times New Roman"/>
        </w:rPr>
        <w:t xml:space="preserve"> 9 </w:t>
      </w:r>
      <w:proofErr w:type="spellStart"/>
      <w:r>
        <w:rPr>
          <w:rFonts w:ascii="Times New Roman" w:hAnsi="Times New Roman" w:cs="Times New Roman"/>
        </w:rPr>
        <w:t>februari</w:t>
      </w:r>
      <w:proofErr w:type="spellEnd"/>
      <w:r>
        <w:rPr>
          <w:rFonts w:ascii="Times New Roman" w:hAnsi="Times New Roman" w:cs="Times New Roman"/>
        </w:rPr>
        <w:t xml:space="preserve"> 2015. </w:t>
      </w:r>
    </w:p>
    <w:p w:rsidR="00F31E8A" w:rsidP="0022094E" w:rsidRDefault="00F31E8A" w14:paraId="29E5B89F" w14:textId="7B504AE1">
      <w:pPr>
        <w:rPr>
          <w:rFonts w:ascii="Times New Roman" w:hAnsi="Times New Roman" w:cs="Times New Roman"/>
        </w:rPr>
      </w:pPr>
      <w:r>
        <w:rPr>
          <w:rFonts w:ascii="Times New Roman" w:hAnsi="Times New Roman" w:cs="Times New Roman"/>
        </w:rPr>
        <w:t xml:space="preserve">Lerner, J. (2014). </w:t>
      </w:r>
      <w:r w:rsidRPr="00F31E8A">
        <w:rPr>
          <w:rFonts w:ascii="Times New Roman" w:hAnsi="Times New Roman" w:cs="Times New Roman"/>
          <w:i/>
        </w:rPr>
        <w:t>Making democracy fun. How game design can empower citizens and transform politics.</w:t>
      </w:r>
      <w:r>
        <w:rPr>
          <w:rFonts w:ascii="Times New Roman" w:hAnsi="Times New Roman" w:cs="Times New Roman"/>
        </w:rPr>
        <w:t xml:space="preserve"> Cambridge (MA): MIT Press. </w:t>
      </w:r>
    </w:p>
    <w:p w:rsidR="00E41F80" w:rsidP="0022094E" w:rsidRDefault="00E41F80" w14:paraId="26129C33" w14:textId="77777777">
      <w:pPr>
        <w:rPr>
          <w:rFonts w:ascii="Times New Roman" w:hAnsi="Times New Roman" w:cs="Times New Roman"/>
        </w:rPr>
      </w:pPr>
    </w:p>
    <w:p w:rsidR="00E41F80" w:rsidP="0022094E" w:rsidRDefault="00E41F80" w14:paraId="0781790A" w14:textId="669CB0BE">
      <w:pPr>
        <w:rPr>
          <w:rFonts w:ascii="Times New Roman" w:hAnsi="Times New Roman" w:cs="Times New Roman"/>
        </w:rPr>
      </w:pPr>
      <w:proofErr w:type="spellStart"/>
      <w:r>
        <w:rPr>
          <w:rFonts w:ascii="Times New Roman" w:hAnsi="Times New Roman" w:cs="Times New Roman"/>
        </w:rPr>
        <w:lastRenderedPageBreak/>
        <w:t>Stellinga</w:t>
      </w:r>
      <w:proofErr w:type="spellEnd"/>
      <w:r>
        <w:rPr>
          <w:rFonts w:ascii="Times New Roman" w:hAnsi="Times New Roman" w:cs="Times New Roman"/>
        </w:rPr>
        <w:t xml:space="preserve">, M. (2011). </w:t>
      </w:r>
      <w:proofErr w:type="spellStart"/>
      <w:r>
        <w:rPr>
          <w:rFonts w:ascii="Times New Roman" w:hAnsi="Times New Roman" w:cs="Times New Roman"/>
        </w:rPr>
        <w:t>Laat</w:t>
      </w:r>
      <w:proofErr w:type="spellEnd"/>
      <w:r>
        <w:rPr>
          <w:rFonts w:ascii="Times New Roman" w:hAnsi="Times New Roman" w:cs="Times New Roman"/>
        </w:rPr>
        <w:t xml:space="preserve"> </w:t>
      </w:r>
      <w:proofErr w:type="spellStart"/>
      <w:r>
        <w:rPr>
          <w:rFonts w:ascii="Times New Roman" w:hAnsi="Times New Roman" w:cs="Times New Roman"/>
        </w:rPr>
        <w:t>mij</w:t>
      </w:r>
      <w:proofErr w:type="spellEnd"/>
      <w:r>
        <w:rPr>
          <w:rFonts w:ascii="Times New Roman" w:hAnsi="Times New Roman" w:cs="Times New Roman"/>
        </w:rPr>
        <w:t xml:space="preserve"> </w:t>
      </w:r>
      <w:proofErr w:type="spellStart"/>
      <w:r>
        <w:rPr>
          <w:rFonts w:ascii="Times New Roman" w:hAnsi="Times New Roman" w:cs="Times New Roman"/>
        </w:rPr>
        <w:t>toch</w:t>
      </w:r>
      <w:proofErr w:type="spellEnd"/>
      <w:r>
        <w:rPr>
          <w:rFonts w:ascii="Times New Roman" w:hAnsi="Times New Roman" w:cs="Times New Roman"/>
        </w:rPr>
        <w:t xml:space="preserve"> </w:t>
      </w:r>
      <w:proofErr w:type="spellStart"/>
      <w:r>
        <w:rPr>
          <w:rFonts w:ascii="Times New Roman" w:hAnsi="Times New Roman" w:cs="Times New Roman"/>
        </w:rPr>
        <w:t>lekker</w:t>
      </w:r>
      <w:proofErr w:type="spellEnd"/>
      <w:r>
        <w:rPr>
          <w:rFonts w:ascii="Times New Roman" w:hAnsi="Times New Roman" w:cs="Times New Roman"/>
        </w:rPr>
        <w:t xml:space="preserve"> </w:t>
      </w:r>
      <w:proofErr w:type="spellStart"/>
      <w:r>
        <w:rPr>
          <w:rFonts w:ascii="Times New Roman" w:hAnsi="Times New Roman" w:cs="Times New Roman"/>
        </w:rPr>
        <w:t>mijn</w:t>
      </w:r>
      <w:proofErr w:type="spellEnd"/>
      <w:r>
        <w:rPr>
          <w:rFonts w:ascii="Times New Roman" w:hAnsi="Times New Roman" w:cs="Times New Roman"/>
        </w:rPr>
        <w:t xml:space="preserve"> </w:t>
      </w:r>
      <w:proofErr w:type="spellStart"/>
      <w:r>
        <w:rPr>
          <w:rFonts w:ascii="Times New Roman" w:hAnsi="Times New Roman" w:cs="Times New Roman"/>
        </w:rPr>
        <w:t>eigen</w:t>
      </w:r>
      <w:proofErr w:type="spellEnd"/>
      <w:r>
        <w:rPr>
          <w:rFonts w:ascii="Times New Roman" w:hAnsi="Times New Roman" w:cs="Times New Roman"/>
        </w:rPr>
        <w:t xml:space="preserve"> </w:t>
      </w:r>
      <w:proofErr w:type="spellStart"/>
      <w:r>
        <w:rPr>
          <w:rFonts w:ascii="Times New Roman" w:hAnsi="Times New Roman" w:cs="Times New Roman"/>
        </w:rPr>
        <w:t>pensioenfonds</w:t>
      </w:r>
      <w:proofErr w:type="spellEnd"/>
      <w:r>
        <w:rPr>
          <w:rFonts w:ascii="Times New Roman" w:hAnsi="Times New Roman" w:cs="Times New Roman"/>
        </w:rPr>
        <w:t xml:space="preserve"> </w:t>
      </w:r>
      <w:proofErr w:type="spellStart"/>
      <w:r>
        <w:rPr>
          <w:rFonts w:ascii="Times New Roman" w:hAnsi="Times New Roman" w:cs="Times New Roman"/>
        </w:rPr>
        <w:t>kiezen</w:t>
      </w:r>
      <w:proofErr w:type="spellEnd"/>
      <w:r>
        <w:rPr>
          <w:rFonts w:ascii="Times New Roman" w:hAnsi="Times New Roman" w:cs="Times New Roman"/>
        </w:rPr>
        <w:t xml:space="preserve">! </w:t>
      </w:r>
      <w:r w:rsidRPr="00E41F80">
        <w:rPr>
          <w:rFonts w:ascii="Times New Roman" w:hAnsi="Times New Roman" w:cs="Times New Roman"/>
          <w:i/>
        </w:rPr>
        <w:t xml:space="preserve">NRC </w:t>
      </w:r>
      <w:proofErr w:type="spellStart"/>
      <w:r w:rsidRPr="00E41F80">
        <w:rPr>
          <w:rFonts w:ascii="Times New Roman" w:hAnsi="Times New Roman" w:cs="Times New Roman"/>
          <w:i/>
        </w:rPr>
        <w:t>Handelsblad</w:t>
      </w:r>
      <w:proofErr w:type="spellEnd"/>
      <w:r>
        <w:rPr>
          <w:rFonts w:ascii="Times New Roman" w:hAnsi="Times New Roman" w:cs="Times New Roman"/>
        </w:rPr>
        <w:t xml:space="preserve">. 24 </w:t>
      </w:r>
      <w:proofErr w:type="spellStart"/>
      <w:r>
        <w:rPr>
          <w:rFonts w:ascii="Times New Roman" w:hAnsi="Times New Roman" w:cs="Times New Roman"/>
        </w:rPr>
        <w:t>september</w:t>
      </w:r>
      <w:proofErr w:type="spellEnd"/>
      <w:r>
        <w:rPr>
          <w:rFonts w:ascii="Times New Roman" w:hAnsi="Times New Roman" w:cs="Times New Roman"/>
        </w:rPr>
        <w:t xml:space="preserve"> 2011. </w:t>
      </w:r>
    </w:p>
    <w:p w:rsidR="00945D84" w:rsidP="0022094E" w:rsidRDefault="00945D84" w14:paraId="6ABD0B53" w14:textId="77777777">
      <w:pPr>
        <w:rPr>
          <w:rFonts w:ascii="Times New Roman" w:hAnsi="Times New Roman" w:cs="Times New Roman"/>
        </w:rPr>
      </w:pPr>
    </w:p>
    <w:p w:rsidR="00945D84" w:rsidP="00945D84" w:rsidRDefault="00945D84" w14:paraId="4968E293" w14:textId="588A4046">
      <w:pPr>
        <w:jc w:val="both"/>
        <w:rPr>
          <w:rFonts w:ascii="Times New Roman" w:hAnsi="Times New Roman" w:cs="Times New Roman"/>
        </w:rPr>
      </w:pPr>
      <w:proofErr w:type="spellStart"/>
      <w:r>
        <w:rPr>
          <w:rFonts w:ascii="Times New Roman" w:hAnsi="Times New Roman" w:cs="Times New Roman"/>
        </w:rPr>
        <w:t>Telders</w:t>
      </w:r>
      <w:r w:rsidR="003B0DD2">
        <w:rPr>
          <w:rFonts w:ascii="Times New Roman" w:hAnsi="Times New Roman" w:cs="Times New Roman"/>
        </w:rPr>
        <w:t>s</w:t>
      </w:r>
      <w:r>
        <w:rPr>
          <w:rFonts w:ascii="Times New Roman" w:hAnsi="Times New Roman" w:cs="Times New Roman"/>
        </w:rPr>
        <w:t>tichting</w:t>
      </w:r>
      <w:proofErr w:type="spellEnd"/>
      <w:r>
        <w:rPr>
          <w:rFonts w:ascii="Times New Roman" w:hAnsi="Times New Roman" w:cs="Times New Roman"/>
        </w:rPr>
        <w:t xml:space="preserve"> (2012). </w:t>
      </w:r>
      <w:r w:rsidRPr="004C6390">
        <w:rPr>
          <w:rFonts w:ascii="Times New Roman" w:hAnsi="Times New Roman" w:cs="Times New Roman"/>
          <w:i/>
        </w:rPr>
        <w:t xml:space="preserve">Eigen </w:t>
      </w:r>
      <w:proofErr w:type="spellStart"/>
      <w:r w:rsidRPr="004C6390">
        <w:rPr>
          <w:rFonts w:ascii="Times New Roman" w:hAnsi="Times New Roman" w:cs="Times New Roman"/>
          <w:i/>
        </w:rPr>
        <w:t>keuze</w:t>
      </w:r>
      <w:proofErr w:type="spellEnd"/>
      <w:r w:rsidRPr="004C6390">
        <w:rPr>
          <w:rFonts w:ascii="Times New Roman" w:hAnsi="Times New Roman" w:cs="Times New Roman"/>
          <w:i/>
        </w:rPr>
        <w:t xml:space="preserve">, </w:t>
      </w:r>
      <w:proofErr w:type="spellStart"/>
      <w:r w:rsidRPr="004C6390">
        <w:rPr>
          <w:rFonts w:ascii="Times New Roman" w:hAnsi="Times New Roman" w:cs="Times New Roman"/>
          <w:i/>
        </w:rPr>
        <w:t>samen</w:t>
      </w:r>
      <w:proofErr w:type="spellEnd"/>
      <w:r w:rsidRPr="004C6390">
        <w:rPr>
          <w:rFonts w:ascii="Times New Roman" w:hAnsi="Times New Roman" w:cs="Times New Roman"/>
          <w:i/>
        </w:rPr>
        <w:t xml:space="preserve"> </w:t>
      </w:r>
      <w:proofErr w:type="spellStart"/>
      <w:r w:rsidRPr="004C6390">
        <w:rPr>
          <w:rFonts w:ascii="Times New Roman" w:hAnsi="Times New Roman" w:cs="Times New Roman"/>
          <w:i/>
        </w:rPr>
        <w:t>sterk</w:t>
      </w:r>
      <w:proofErr w:type="spellEnd"/>
      <w:r>
        <w:rPr>
          <w:rFonts w:ascii="Times New Roman" w:hAnsi="Times New Roman" w:cs="Times New Roman"/>
        </w:rPr>
        <w:t xml:space="preserve">. </w:t>
      </w:r>
      <w:proofErr w:type="spellStart"/>
      <w:r>
        <w:rPr>
          <w:rFonts w:ascii="Times New Roman" w:hAnsi="Times New Roman" w:cs="Times New Roman"/>
          <w:i/>
        </w:rPr>
        <w:t>Duidelijkheid</w:t>
      </w:r>
      <w:proofErr w:type="spellEnd"/>
      <w:r>
        <w:rPr>
          <w:rFonts w:ascii="Times New Roman" w:hAnsi="Times New Roman" w:cs="Times New Roman"/>
          <w:i/>
        </w:rPr>
        <w:t xml:space="preserve"> </w:t>
      </w:r>
      <w:proofErr w:type="spellStart"/>
      <w:r>
        <w:rPr>
          <w:rFonts w:ascii="Times New Roman" w:hAnsi="Times New Roman" w:cs="Times New Roman"/>
          <w:i/>
        </w:rPr>
        <w:t>geeft</w:t>
      </w:r>
      <w:proofErr w:type="spellEnd"/>
      <w:r>
        <w:rPr>
          <w:rFonts w:ascii="Times New Roman" w:hAnsi="Times New Roman" w:cs="Times New Roman"/>
          <w:i/>
        </w:rPr>
        <w:t xml:space="preserve"> </w:t>
      </w:r>
      <w:proofErr w:type="spellStart"/>
      <w:r>
        <w:rPr>
          <w:rFonts w:ascii="Times New Roman" w:hAnsi="Times New Roman" w:cs="Times New Roman"/>
          <w:i/>
        </w:rPr>
        <w:t>zekerheid</w:t>
      </w:r>
      <w:proofErr w:type="spellEnd"/>
      <w:r>
        <w:rPr>
          <w:rFonts w:ascii="Times New Roman" w:hAnsi="Times New Roman" w:cs="Times New Roman"/>
          <w:i/>
        </w:rPr>
        <w:t xml:space="preserve"> over </w:t>
      </w:r>
      <w:proofErr w:type="spellStart"/>
      <w:r>
        <w:rPr>
          <w:rFonts w:ascii="Times New Roman" w:hAnsi="Times New Roman" w:cs="Times New Roman"/>
          <w:i/>
        </w:rPr>
        <w:t>arbeidsmarkt</w:t>
      </w:r>
      <w:proofErr w:type="spellEnd"/>
      <w:r>
        <w:rPr>
          <w:rFonts w:ascii="Times New Roman" w:hAnsi="Times New Roman" w:cs="Times New Roman"/>
          <w:i/>
        </w:rPr>
        <w:t xml:space="preserve"> </w:t>
      </w:r>
      <w:proofErr w:type="spellStart"/>
      <w:r>
        <w:rPr>
          <w:rFonts w:ascii="Times New Roman" w:hAnsi="Times New Roman" w:cs="Times New Roman"/>
          <w:i/>
        </w:rPr>
        <w:t>en</w:t>
      </w:r>
      <w:proofErr w:type="spellEnd"/>
      <w:r>
        <w:rPr>
          <w:rFonts w:ascii="Times New Roman" w:hAnsi="Times New Roman" w:cs="Times New Roman"/>
          <w:i/>
        </w:rPr>
        <w:t xml:space="preserve"> </w:t>
      </w:r>
      <w:proofErr w:type="spellStart"/>
      <w:r>
        <w:rPr>
          <w:rFonts w:ascii="Times New Roman" w:hAnsi="Times New Roman" w:cs="Times New Roman"/>
          <w:i/>
        </w:rPr>
        <w:t>pensioenen</w:t>
      </w:r>
      <w:proofErr w:type="spellEnd"/>
      <w:r>
        <w:rPr>
          <w:rFonts w:ascii="Times New Roman" w:hAnsi="Times New Roman" w:cs="Times New Roman"/>
        </w:rPr>
        <w:t xml:space="preserve">. Den Haag: </w:t>
      </w:r>
      <w:proofErr w:type="spellStart"/>
      <w:r>
        <w:rPr>
          <w:rFonts w:ascii="Times New Roman" w:hAnsi="Times New Roman" w:cs="Times New Roman"/>
        </w:rPr>
        <w:t>Telderstichting</w:t>
      </w:r>
      <w:proofErr w:type="spellEnd"/>
      <w:r>
        <w:rPr>
          <w:rFonts w:ascii="Times New Roman" w:hAnsi="Times New Roman" w:cs="Times New Roman"/>
        </w:rPr>
        <w:t xml:space="preserve">. </w:t>
      </w:r>
    </w:p>
    <w:p w:rsidR="003D1400" w:rsidP="0022094E" w:rsidRDefault="003D1400" w14:paraId="6528D02D" w14:textId="77777777">
      <w:pPr>
        <w:rPr>
          <w:rFonts w:ascii="Times New Roman" w:hAnsi="Times New Roman" w:cs="Times New Roman"/>
        </w:rPr>
      </w:pPr>
    </w:p>
    <w:p w:rsidRPr="007C13B0" w:rsidR="003D1400" w:rsidP="0022094E" w:rsidRDefault="003D1400" w14:paraId="69C73A8B" w14:textId="1B1DCB6D">
      <w:pPr>
        <w:rPr>
          <w:rFonts w:ascii="Times New Roman" w:hAnsi="Times New Roman" w:cs="Times New Roman"/>
        </w:rPr>
      </w:pPr>
      <w:proofErr w:type="spellStart"/>
      <w:r>
        <w:rPr>
          <w:rFonts w:ascii="Times New Roman" w:hAnsi="Times New Roman" w:cs="Times New Roman"/>
        </w:rPr>
        <w:t>Verbond</w:t>
      </w:r>
      <w:proofErr w:type="spellEnd"/>
      <w:r>
        <w:rPr>
          <w:rFonts w:ascii="Times New Roman" w:hAnsi="Times New Roman" w:cs="Times New Roman"/>
        </w:rPr>
        <w:t xml:space="preserve"> van </w:t>
      </w:r>
      <w:proofErr w:type="spellStart"/>
      <w:r>
        <w:rPr>
          <w:rFonts w:ascii="Times New Roman" w:hAnsi="Times New Roman" w:cs="Times New Roman"/>
        </w:rPr>
        <w:t>Verzekeraars</w:t>
      </w:r>
      <w:proofErr w:type="spellEnd"/>
      <w:r>
        <w:rPr>
          <w:rFonts w:ascii="Times New Roman" w:hAnsi="Times New Roman" w:cs="Times New Roman"/>
        </w:rPr>
        <w:t xml:space="preserve"> (2014). </w:t>
      </w:r>
      <w:proofErr w:type="spellStart"/>
      <w:r w:rsidRPr="003D1400">
        <w:rPr>
          <w:rFonts w:ascii="Times New Roman" w:hAnsi="Times New Roman" w:cs="Times New Roman"/>
          <w:i/>
        </w:rPr>
        <w:t>Mee</w:t>
      </w:r>
      <w:proofErr w:type="spellEnd"/>
      <w:r w:rsidRPr="003D1400">
        <w:rPr>
          <w:rFonts w:ascii="Times New Roman" w:hAnsi="Times New Roman" w:cs="Times New Roman"/>
          <w:i/>
        </w:rPr>
        <w:t xml:space="preserve"> met de </w:t>
      </w:r>
      <w:proofErr w:type="spellStart"/>
      <w:r w:rsidRPr="003D1400">
        <w:rPr>
          <w:rFonts w:ascii="Times New Roman" w:hAnsi="Times New Roman" w:cs="Times New Roman"/>
          <w:i/>
        </w:rPr>
        <w:t>tijd</w:t>
      </w:r>
      <w:proofErr w:type="spellEnd"/>
      <w:r w:rsidRPr="003D1400">
        <w:rPr>
          <w:rFonts w:ascii="Times New Roman" w:hAnsi="Times New Roman" w:cs="Times New Roman"/>
          <w:i/>
        </w:rPr>
        <w:t xml:space="preserve">. </w:t>
      </w:r>
      <w:proofErr w:type="spellStart"/>
      <w:r w:rsidRPr="003D1400">
        <w:rPr>
          <w:rFonts w:ascii="Times New Roman" w:hAnsi="Times New Roman" w:cs="Times New Roman"/>
          <w:i/>
        </w:rPr>
        <w:t>Naar</w:t>
      </w:r>
      <w:proofErr w:type="spellEnd"/>
      <w:r w:rsidRPr="003D1400">
        <w:rPr>
          <w:rFonts w:ascii="Times New Roman" w:hAnsi="Times New Roman" w:cs="Times New Roman"/>
          <w:i/>
        </w:rPr>
        <w:t xml:space="preserve"> </w:t>
      </w:r>
      <w:proofErr w:type="spellStart"/>
      <w:r w:rsidRPr="003D1400">
        <w:rPr>
          <w:rFonts w:ascii="Times New Roman" w:hAnsi="Times New Roman" w:cs="Times New Roman"/>
          <w:i/>
        </w:rPr>
        <w:t>een</w:t>
      </w:r>
      <w:proofErr w:type="spellEnd"/>
      <w:r w:rsidRPr="003D1400">
        <w:rPr>
          <w:rFonts w:ascii="Times New Roman" w:hAnsi="Times New Roman" w:cs="Times New Roman"/>
          <w:i/>
        </w:rPr>
        <w:t xml:space="preserve"> </w:t>
      </w:r>
      <w:proofErr w:type="spellStart"/>
      <w:r w:rsidRPr="003D1400">
        <w:rPr>
          <w:rFonts w:ascii="Times New Roman" w:hAnsi="Times New Roman" w:cs="Times New Roman"/>
          <w:i/>
        </w:rPr>
        <w:t>toekomstbestendig</w:t>
      </w:r>
      <w:proofErr w:type="spellEnd"/>
      <w:r w:rsidRPr="003D1400">
        <w:rPr>
          <w:rFonts w:ascii="Times New Roman" w:hAnsi="Times New Roman" w:cs="Times New Roman"/>
          <w:i/>
        </w:rPr>
        <w:t xml:space="preserve"> </w:t>
      </w:r>
      <w:proofErr w:type="spellStart"/>
      <w:r w:rsidRPr="003D1400">
        <w:rPr>
          <w:rFonts w:ascii="Times New Roman" w:hAnsi="Times New Roman" w:cs="Times New Roman"/>
          <w:i/>
        </w:rPr>
        <w:t>pensioenstelsel</w:t>
      </w:r>
      <w:proofErr w:type="spellEnd"/>
      <w:r>
        <w:rPr>
          <w:rFonts w:ascii="Times New Roman" w:hAnsi="Times New Roman" w:cs="Times New Roman"/>
        </w:rPr>
        <w:t xml:space="preserve">. Den Haag: </w:t>
      </w:r>
      <w:proofErr w:type="spellStart"/>
      <w:r>
        <w:rPr>
          <w:rFonts w:ascii="Times New Roman" w:hAnsi="Times New Roman" w:cs="Times New Roman"/>
        </w:rPr>
        <w:t>Verbond</w:t>
      </w:r>
      <w:proofErr w:type="spellEnd"/>
      <w:r>
        <w:rPr>
          <w:rFonts w:ascii="Times New Roman" w:hAnsi="Times New Roman" w:cs="Times New Roman"/>
        </w:rPr>
        <w:t xml:space="preserve"> van </w:t>
      </w:r>
      <w:proofErr w:type="spellStart"/>
      <w:r>
        <w:rPr>
          <w:rFonts w:ascii="Times New Roman" w:hAnsi="Times New Roman" w:cs="Times New Roman"/>
        </w:rPr>
        <w:t>Verzekeraars</w:t>
      </w:r>
      <w:proofErr w:type="spellEnd"/>
      <w:r>
        <w:rPr>
          <w:rFonts w:ascii="Times New Roman" w:hAnsi="Times New Roman" w:cs="Times New Roman"/>
        </w:rPr>
        <w:t xml:space="preserve">. </w:t>
      </w:r>
    </w:p>
    <w:p w:rsidRPr="00B5587A" w:rsidR="0022094E" w:rsidP="00B97F96" w:rsidRDefault="0022094E" w14:paraId="2381353D" w14:textId="77777777">
      <w:pPr>
        <w:rPr>
          <w:rFonts w:ascii="Times New Roman" w:hAnsi="Times New Roman" w:cs="Times New Roman"/>
          <w:lang w:val="nl-NL"/>
        </w:rPr>
      </w:pPr>
    </w:p>
    <w:sectPr w:rsidRPr="00B5587A" w:rsidR="0022094E" w:rsidSect="00AC3003">
      <w:footerReference w:type="even" r:id="rId9"/>
      <w:footerReference w:type="default" r:id="rId10"/>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E8D81" w14:textId="77777777" w:rsidR="00B77ED3" w:rsidRDefault="00B77ED3" w:rsidP="008A1F21">
      <w:r>
        <w:separator/>
      </w:r>
    </w:p>
  </w:endnote>
  <w:endnote w:type="continuationSeparator" w:id="0">
    <w:p w14:paraId="78E1EB57" w14:textId="77777777" w:rsidR="00B77ED3" w:rsidRDefault="00B77ED3" w:rsidP="008A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5FF7" w14:textId="77777777" w:rsidR="00B77ED3" w:rsidRDefault="00B77ED3" w:rsidP="003921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0B3A4" w14:textId="77777777" w:rsidR="00B77ED3" w:rsidRDefault="00B77ED3" w:rsidP="003921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9255" w14:textId="77777777" w:rsidR="00B77ED3" w:rsidRDefault="00B77ED3" w:rsidP="003921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BDE">
      <w:rPr>
        <w:rStyle w:val="PageNumber"/>
        <w:noProof/>
      </w:rPr>
      <w:t>8</w:t>
    </w:r>
    <w:r>
      <w:rPr>
        <w:rStyle w:val="PageNumber"/>
      </w:rPr>
      <w:fldChar w:fldCharType="end"/>
    </w:r>
  </w:p>
  <w:p w14:paraId="2C6907BC" w14:textId="77777777" w:rsidR="00B77ED3" w:rsidRDefault="00B77ED3" w:rsidP="003921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C3AEF" w14:textId="77777777" w:rsidR="00B77ED3" w:rsidRDefault="00B77ED3" w:rsidP="008A1F21">
      <w:r>
        <w:separator/>
      </w:r>
    </w:p>
  </w:footnote>
  <w:footnote w:type="continuationSeparator" w:id="0">
    <w:p w14:paraId="0CB7B467" w14:textId="77777777" w:rsidR="00B77ED3" w:rsidRDefault="00B77ED3" w:rsidP="008A1F21">
      <w:r>
        <w:continuationSeparator/>
      </w:r>
    </w:p>
  </w:footnote>
  <w:footnote w:id="1">
    <w:p w14:paraId="0FABD771" w14:textId="77777777" w:rsidR="00B77ED3" w:rsidRPr="00557865" w:rsidRDefault="00B77ED3" w:rsidP="00557865">
      <w:pPr>
        <w:rPr>
          <w:rFonts w:ascii="Times New Roman" w:hAnsi="Times New Roman" w:cs="Times New Roman"/>
          <w:sz w:val="20"/>
          <w:szCs w:val="20"/>
          <w:lang w:val="nl-NL"/>
        </w:rPr>
      </w:pPr>
      <w:r w:rsidRPr="00557865">
        <w:rPr>
          <w:rStyle w:val="FootnoteReference"/>
          <w:rFonts w:ascii="Times New Roman" w:hAnsi="Times New Roman" w:cs="Times New Roman"/>
          <w:sz w:val="20"/>
          <w:szCs w:val="20"/>
        </w:rPr>
        <w:footnoteRef/>
      </w:r>
      <w:r w:rsidRPr="00557865">
        <w:rPr>
          <w:rFonts w:ascii="Times New Roman" w:hAnsi="Times New Roman" w:cs="Times New Roman"/>
          <w:sz w:val="20"/>
          <w:szCs w:val="20"/>
        </w:rPr>
        <w:t xml:space="preserve"> </w:t>
      </w:r>
      <w:r w:rsidRPr="00557865">
        <w:rPr>
          <w:rFonts w:ascii="Times New Roman" w:hAnsi="Times New Roman" w:cs="Times New Roman"/>
          <w:sz w:val="20"/>
          <w:szCs w:val="20"/>
          <w:lang w:val="nl-NL"/>
        </w:rPr>
        <w:t xml:space="preserve">Delen van deze notitie zijn eerder verschenen in De Beer et al. (2015) en Kuiper en Van der Zwan (2015). </w:t>
      </w:r>
    </w:p>
    <w:p w14:paraId="53007420" w14:textId="1D8B9A51" w:rsidR="00B77ED3" w:rsidRDefault="00B77ED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49"/>
    <w:multiLevelType w:val="hybridMultilevel"/>
    <w:tmpl w:val="B1E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C562A"/>
    <w:multiLevelType w:val="hybridMultilevel"/>
    <w:tmpl w:val="84FE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C59B0"/>
    <w:multiLevelType w:val="hybridMultilevel"/>
    <w:tmpl w:val="D874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BF2531"/>
    <w:multiLevelType w:val="hybridMultilevel"/>
    <w:tmpl w:val="99CA8764"/>
    <w:lvl w:ilvl="0" w:tplc="06E003CA">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28"/>
    <w:rsid w:val="000077FF"/>
    <w:rsid w:val="00020223"/>
    <w:rsid w:val="00035AA8"/>
    <w:rsid w:val="00045BDE"/>
    <w:rsid w:val="00047FED"/>
    <w:rsid w:val="00057B76"/>
    <w:rsid w:val="00067907"/>
    <w:rsid w:val="0007026C"/>
    <w:rsid w:val="00087E75"/>
    <w:rsid w:val="000902C0"/>
    <w:rsid w:val="000C2607"/>
    <w:rsid w:val="001170A0"/>
    <w:rsid w:val="001170A6"/>
    <w:rsid w:val="001462EC"/>
    <w:rsid w:val="001558FF"/>
    <w:rsid w:val="0019395C"/>
    <w:rsid w:val="001B4CB0"/>
    <w:rsid w:val="001C57CC"/>
    <w:rsid w:val="001E14C0"/>
    <w:rsid w:val="0022094E"/>
    <w:rsid w:val="002904D3"/>
    <w:rsid w:val="002C0876"/>
    <w:rsid w:val="00313E12"/>
    <w:rsid w:val="003475CB"/>
    <w:rsid w:val="003921B4"/>
    <w:rsid w:val="00394B8A"/>
    <w:rsid w:val="003A1135"/>
    <w:rsid w:val="003A303F"/>
    <w:rsid w:val="003B067D"/>
    <w:rsid w:val="003B0DD2"/>
    <w:rsid w:val="003D1400"/>
    <w:rsid w:val="003D4B65"/>
    <w:rsid w:val="003E37CB"/>
    <w:rsid w:val="003E37D3"/>
    <w:rsid w:val="003F5A7B"/>
    <w:rsid w:val="003F7639"/>
    <w:rsid w:val="004301E8"/>
    <w:rsid w:val="00430839"/>
    <w:rsid w:val="00450740"/>
    <w:rsid w:val="004568F5"/>
    <w:rsid w:val="00456DAA"/>
    <w:rsid w:val="004609E6"/>
    <w:rsid w:val="00460C3C"/>
    <w:rsid w:val="00466DCC"/>
    <w:rsid w:val="00466E19"/>
    <w:rsid w:val="004821F3"/>
    <w:rsid w:val="004A6631"/>
    <w:rsid w:val="004B430B"/>
    <w:rsid w:val="004B5B4E"/>
    <w:rsid w:val="004D1585"/>
    <w:rsid w:val="004E5BA9"/>
    <w:rsid w:val="004E60A6"/>
    <w:rsid w:val="004E62E0"/>
    <w:rsid w:val="004E639D"/>
    <w:rsid w:val="00523AFA"/>
    <w:rsid w:val="00526EF9"/>
    <w:rsid w:val="00544A1F"/>
    <w:rsid w:val="005450C2"/>
    <w:rsid w:val="00557865"/>
    <w:rsid w:val="00575CED"/>
    <w:rsid w:val="005C1A73"/>
    <w:rsid w:val="005C1CAF"/>
    <w:rsid w:val="005D3C19"/>
    <w:rsid w:val="005E2F72"/>
    <w:rsid w:val="005F3A10"/>
    <w:rsid w:val="0066396F"/>
    <w:rsid w:val="00666F8F"/>
    <w:rsid w:val="00676326"/>
    <w:rsid w:val="006829E7"/>
    <w:rsid w:val="00685060"/>
    <w:rsid w:val="00695108"/>
    <w:rsid w:val="006B3A6E"/>
    <w:rsid w:val="006D4E2A"/>
    <w:rsid w:val="006E1786"/>
    <w:rsid w:val="006E6717"/>
    <w:rsid w:val="006F0F5D"/>
    <w:rsid w:val="0071067F"/>
    <w:rsid w:val="00725E1A"/>
    <w:rsid w:val="00746D87"/>
    <w:rsid w:val="00751F5D"/>
    <w:rsid w:val="00767FB7"/>
    <w:rsid w:val="007B1ADB"/>
    <w:rsid w:val="007C13B0"/>
    <w:rsid w:val="007E7819"/>
    <w:rsid w:val="007F2C3C"/>
    <w:rsid w:val="00807EA3"/>
    <w:rsid w:val="008102D0"/>
    <w:rsid w:val="00814E8B"/>
    <w:rsid w:val="00833D40"/>
    <w:rsid w:val="00862FE0"/>
    <w:rsid w:val="00867B2E"/>
    <w:rsid w:val="008A1F21"/>
    <w:rsid w:val="008A3793"/>
    <w:rsid w:val="008D46F3"/>
    <w:rsid w:val="009135DF"/>
    <w:rsid w:val="00945D84"/>
    <w:rsid w:val="009D3228"/>
    <w:rsid w:val="009D6E7E"/>
    <w:rsid w:val="009E3DBB"/>
    <w:rsid w:val="009F18F9"/>
    <w:rsid w:val="00A10642"/>
    <w:rsid w:val="00A10B75"/>
    <w:rsid w:val="00A213B3"/>
    <w:rsid w:val="00A40178"/>
    <w:rsid w:val="00A406E3"/>
    <w:rsid w:val="00A423E9"/>
    <w:rsid w:val="00A44A5A"/>
    <w:rsid w:val="00AC3003"/>
    <w:rsid w:val="00AE7028"/>
    <w:rsid w:val="00B06E89"/>
    <w:rsid w:val="00B14111"/>
    <w:rsid w:val="00B45870"/>
    <w:rsid w:val="00B5587A"/>
    <w:rsid w:val="00B63DA0"/>
    <w:rsid w:val="00B77B52"/>
    <w:rsid w:val="00B77ED3"/>
    <w:rsid w:val="00B97F96"/>
    <w:rsid w:val="00BC4ACE"/>
    <w:rsid w:val="00C01BA4"/>
    <w:rsid w:val="00C06F91"/>
    <w:rsid w:val="00C36543"/>
    <w:rsid w:val="00C46B7E"/>
    <w:rsid w:val="00C64A93"/>
    <w:rsid w:val="00CC3958"/>
    <w:rsid w:val="00CD14F0"/>
    <w:rsid w:val="00CE1593"/>
    <w:rsid w:val="00CE310D"/>
    <w:rsid w:val="00CE6F67"/>
    <w:rsid w:val="00D63FE3"/>
    <w:rsid w:val="00D80CEC"/>
    <w:rsid w:val="00D91F76"/>
    <w:rsid w:val="00D97239"/>
    <w:rsid w:val="00DB48E4"/>
    <w:rsid w:val="00DD0B3A"/>
    <w:rsid w:val="00DD18D8"/>
    <w:rsid w:val="00DD1ABF"/>
    <w:rsid w:val="00DE65F7"/>
    <w:rsid w:val="00DF0622"/>
    <w:rsid w:val="00DF3266"/>
    <w:rsid w:val="00E263DE"/>
    <w:rsid w:val="00E33753"/>
    <w:rsid w:val="00E41F80"/>
    <w:rsid w:val="00E45314"/>
    <w:rsid w:val="00E5097C"/>
    <w:rsid w:val="00E600D4"/>
    <w:rsid w:val="00E66D79"/>
    <w:rsid w:val="00E75770"/>
    <w:rsid w:val="00E96F24"/>
    <w:rsid w:val="00EA2BF9"/>
    <w:rsid w:val="00EC7A1F"/>
    <w:rsid w:val="00EF5E06"/>
    <w:rsid w:val="00F07574"/>
    <w:rsid w:val="00F2136B"/>
    <w:rsid w:val="00F23FDE"/>
    <w:rsid w:val="00F24051"/>
    <w:rsid w:val="00F31E8A"/>
    <w:rsid w:val="00F355B3"/>
    <w:rsid w:val="00F479F3"/>
    <w:rsid w:val="00F553F7"/>
    <w:rsid w:val="00F56D25"/>
    <w:rsid w:val="00F71D77"/>
    <w:rsid w:val="00F75AB3"/>
    <w:rsid w:val="00F813B8"/>
    <w:rsid w:val="00FB32D0"/>
    <w:rsid w:val="00FD775D"/>
    <w:rsid w:val="00FE3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2C6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A1F21"/>
  </w:style>
  <w:style w:type="character" w:customStyle="1" w:styleId="EndnoteTextChar">
    <w:name w:val="Endnote Text Char"/>
    <w:basedOn w:val="DefaultParagraphFont"/>
    <w:link w:val="EndnoteText"/>
    <w:uiPriority w:val="99"/>
    <w:rsid w:val="008A1F21"/>
  </w:style>
  <w:style w:type="character" w:styleId="EndnoteReference">
    <w:name w:val="endnote reference"/>
    <w:basedOn w:val="DefaultParagraphFont"/>
    <w:uiPriority w:val="99"/>
    <w:unhideWhenUsed/>
    <w:rsid w:val="008A1F21"/>
    <w:rPr>
      <w:vertAlign w:val="superscript"/>
    </w:rPr>
  </w:style>
  <w:style w:type="paragraph" w:styleId="ListParagraph">
    <w:name w:val="List Paragraph"/>
    <w:basedOn w:val="Normal"/>
    <w:uiPriority w:val="34"/>
    <w:qFormat/>
    <w:rsid w:val="00B97F96"/>
    <w:pPr>
      <w:ind w:left="720"/>
      <w:contextualSpacing/>
    </w:pPr>
  </w:style>
  <w:style w:type="paragraph" w:styleId="Footer">
    <w:name w:val="footer"/>
    <w:basedOn w:val="Normal"/>
    <w:link w:val="FooterChar"/>
    <w:uiPriority w:val="99"/>
    <w:unhideWhenUsed/>
    <w:rsid w:val="003921B4"/>
    <w:pPr>
      <w:tabs>
        <w:tab w:val="center" w:pos="4320"/>
        <w:tab w:val="right" w:pos="8640"/>
      </w:tabs>
    </w:pPr>
  </w:style>
  <w:style w:type="character" w:customStyle="1" w:styleId="FooterChar">
    <w:name w:val="Footer Char"/>
    <w:basedOn w:val="DefaultParagraphFont"/>
    <w:link w:val="Footer"/>
    <w:uiPriority w:val="99"/>
    <w:rsid w:val="003921B4"/>
  </w:style>
  <w:style w:type="character" w:styleId="PageNumber">
    <w:name w:val="page number"/>
    <w:basedOn w:val="DefaultParagraphFont"/>
    <w:uiPriority w:val="99"/>
    <w:semiHidden/>
    <w:unhideWhenUsed/>
    <w:rsid w:val="003921B4"/>
  </w:style>
  <w:style w:type="paragraph" w:styleId="FootnoteText">
    <w:name w:val="footnote text"/>
    <w:basedOn w:val="Normal"/>
    <w:link w:val="FootnoteTextChar"/>
    <w:uiPriority w:val="99"/>
    <w:unhideWhenUsed/>
    <w:rsid w:val="00D91F76"/>
    <w:rPr>
      <w:lang w:eastAsia="nl-NL"/>
    </w:rPr>
  </w:style>
  <w:style w:type="character" w:customStyle="1" w:styleId="FootnoteTextChar">
    <w:name w:val="Footnote Text Char"/>
    <w:basedOn w:val="DefaultParagraphFont"/>
    <w:link w:val="FootnoteText"/>
    <w:uiPriority w:val="99"/>
    <w:rsid w:val="00D91F76"/>
    <w:rPr>
      <w:lang w:eastAsia="nl-NL"/>
    </w:rPr>
  </w:style>
  <w:style w:type="character" w:styleId="FootnoteReference">
    <w:name w:val="footnote reference"/>
    <w:basedOn w:val="DefaultParagraphFont"/>
    <w:uiPriority w:val="99"/>
    <w:unhideWhenUsed/>
    <w:rsid w:val="00D91F76"/>
    <w:rPr>
      <w:vertAlign w:val="superscript"/>
    </w:rPr>
  </w:style>
  <w:style w:type="paragraph" w:styleId="Header">
    <w:name w:val="header"/>
    <w:basedOn w:val="Normal"/>
    <w:link w:val="HeaderChar"/>
    <w:uiPriority w:val="99"/>
    <w:unhideWhenUsed/>
    <w:rsid w:val="00A423E9"/>
    <w:pPr>
      <w:tabs>
        <w:tab w:val="center" w:pos="4320"/>
        <w:tab w:val="right" w:pos="8640"/>
      </w:tabs>
    </w:pPr>
  </w:style>
  <w:style w:type="character" w:customStyle="1" w:styleId="HeaderChar">
    <w:name w:val="Header Char"/>
    <w:basedOn w:val="DefaultParagraphFont"/>
    <w:link w:val="Header"/>
    <w:uiPriority w:val="99"/>
    <w:rsid w:val="00A423E9"/>
  </w:style>
  <w:style w:type="character" w:styleId="Hyperlink">
    <w:name w:val="Hyperlink"/>
    <w:basedOn w:val="DefaultParagraphFont"/>
    <w:uiPriority w:val="99"/>
    <w:unhideWhenUsed/>
    <w:rsid w:val="00FD775D"/>
    <w:rPr>
      <w:color w:val="0000FF" w:themeColor="hyperlink"/>
      <w:u w:val="single"/>
    </w:rPr>
  </w:style>
  <w:style w:type="paragraph" w:styleId="BalloonText">
    <w:name w:val="Balloon Text"/>
    <w:basedOn w:val="Normal"/>
    <w:link w:val="BalloonTextChar"/>
    <w:uiPriority w:val="99"/>
    <w:semiHidden/>
    <w:unhideWhenUsed/>
    <w:rsid w:val="00045BDE"/>
    <w:rPr>
      <w:rFonts w:ascii="Tahoma" w:hAnsi="Tahoma" w:cs="Tahoma"/>
      <w:sz w:val="16"/>
      <w:szCs w:val="16"/>
    </w:rPr>
  </w:style>
  <w:style w:type="character" w:customStyle="1" w:styleId="BalloonTextChar">
    <w:name w:val="Balloon Text Char"/>
    <w:basedOn w:val="DefaultParagraphFont"/>
    <w:link w:val="BalloonText"/>
    <w:uiPriority w:val="99"/>
    <w:semiHidden/>
    <w:rsid w:val="00045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A1F21"/>
  </w:style>
  <w:style w:type="character" w:customStyle="1" w:styleId="EndnoteTextChar">
    <w:name w:val="Endnote Text Char"/>
    <w:basedOn w:val="DefaultParagraphFont"/>
    <w:link w:val="EndnoteText"/>
    <w:uiPriority w:val="99"/>
    <w:rsid w:val="008A1F21"/>
  </w:style>
  <w:style w:type="character" w:styleId="EndnoteReference">
    <w:name w:val="endnote reference"/>
    <w:basedOn w:val="DefaultParagraphFont"/>
    <w:uiPriority w:val="99"/>
    <w:unhideWhenUsed/>
    <w:rsid w:val="008A1F21"/>
    <w:rPr>
      <w:vertAlign w:val="superscript"/>
    </w:rPr>
  </w:style>
  <w:style w:type="paragraph" w:styleId="ListParagraph">
    <w:name w:val="List Paragraph"/>
    <w:basedOn w:val="Normal"/>
    <w:uiPriority w:val="34"/>
    <w:qFormat/>
    <w:rsid w:val="00B97F96"/>
    <w:pPr>
      <w:ind w:left="720"/>
      <w:contextualSpacing/>
    </w:pPr>
  </w:style>
  <w:style w:type="paragraph" w:styleId="Footer">
    <w:name w:val="footer"/>
    <w:basedOn w:val="Normal"/>
    <w:link w:val="FooterChar"/>
    <w:uiPriority w:val="99"/>
    <w:unhideWhenUsed/>
    <w:rsid w:val="003921B4"/>
    <w:pPr>
      <w:tabs>
        <w:tab w:val="center" w:pos="4320"/>
        <w:tab w:val="right" w:pos="8640"/>
      </w:tabs>
    </w:pPr>
  </w:style>
  <w:style w:type="character" w:customStyle="1" w:styleId="FooterChar">
    <w:name w:val="Footer Char"/>
    <w:basedOn w:val="DefaultParagraphFont"/>
    <w:link w:val="Footer"/>
    <w:uiPriority w:val="99"/>
    <w:rsid w:val="003921B4"/>
  </w:style>
  <w:style w:type="character" w:styleId="PageNumber">
    <w:name w:val="page number"/>
    <w:basedOn w:val="DefaultParagraphFont"/>
    <w:uiPriority w:val="99"/>
    <w:semiHidden/>
    <w:unhideWhenUsed/>
    <w:rsid w:val="003921B4"/>
  </w:style>
  <w:style w:type="paragraph" w:styleId="FootnoteText">
    <w:name w:val="footnote text"/>
    <w:basedOn w:val="Normal"/>
    <w:link w:val="FootnoteTextChar"/>
    <w:uiPriority w:val="99"/>
    <w:unhideWhenUsed/>
    <w:rsid w:val="00D91F76"/>
    <w:rPr>
      <w:lang w:eastAsia="nl-NL"/>
    </w:rPr>
  </w:style>
  <w:style w:type="character" w:customStyle="1" w:styleId="FootnoteTextChar">
    <w:name w:val="Footnote Text Char"/>
    <w:basedOn w:val="DefaultParagraphFont"/>
    <w:link w:val="FootnoteText"/>
    <w:uiPriority w:val="99"/>
    <w:rsid w:val="00D91F76"/>
    <w:rPr>
      <w:lang w:eastAsia="nl-NL"/>
    </w:rPr>
  </w:style>
  <w:style w:type="character" w:styleId="FootnoteReference">
    <w:name w:val="footnote reference"/>
    <w:basedOn w:val="DefaultParagraphFont"/>
    <w:uiPriority w:val="99"/>
    <w:unhideWhenUsed/>
    <w:rsid w:val="00D91F76"/>
    <w:rPr>
      <w:vertAlign w:val="superscript"/>
    </w:rPr>
  </w:style>
  <w:style w:type="paragraph" w:styleId="Header">
    <w:name w:val="header"/>
    <w:basedOn w:val="Normal"/>
    <w:link w:val="HeaderChar"/>
    <w:uiPriority w:val="99"/>
    <w:unhideWhenUsed/>
    <w:rsid w:val="00A423E9"/>
    <w:pPr>
      <w:tabs>
        <w:tab w:val="center" w:pos="4320"/>
        <w:tab w:val="right" w:pos="8640"/>
      </w:tabs>
    </w:pPr>
  </w:style>
  <w:style w:type="character" w:customStyle="1" w:styleId="HeaderChar">
    <w:name w:val="Header Char"/>
    <w:basedOn w:val="DefaultParagraphFont"/>
    <w:link w:val="Header"/>
    <w:uiPriority w:val="99"/>
    <w:rsid w:val="00A423E9"/>
  </w:style>
  <w:style w:type="character" w:styleId="Hyperlink">
    <w:name w:val="Hyperlink"/>
    <w:basedOn w:val="DefaultParagraphFont"/>
    <w:uiPriority w:val="99"/>
    <w:unhideWhenUsed/>
    <w:rsid w:val="00FD775D"/>
    <w:rPr>
      <w:color w:val="0000FF" w:themeColor="hyperlink"/>
      <w:u w:val="single"/>
    </w:rPr>
  </w:style>
  <w:style w:type="paragraph" w:styleId="BalloonText">
    <w:name w:val="Balloon Text"/>
    <w:basedOn w:val="Normal"/>
    <w:link w:val="BalloonTextChar"/>
    <w:uiPriority w:val="99"/>
    <w:semiHidden/>
    <w:unhideWhenUsed/>
    <w:rsid w:val="00045BDE"/>
    <w:rPr>
      <w:rFonts w:ascii="Tahoma" w:hAnsi="Tahoma" w:cs="Tahoma"/>
      <w:sz w:val="16"/>
      <w:szCs w:val="16"/>
    </w:rPr>
  </w:style>
  <w:style w:type="character" w:customStyle="1" w:styleId="BalloonTextChar">
    <w:name w:val="Balloon Text Char"/>
    <w:basedOn w:val="DefaultParagraphFont"/>
    <w:link w:val="BalloonText"/>
    <w:uiPriority w:val="99"/>
    <w:semiHidden/>
    <w:rsid w:val="00045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25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dnb.nl/nieuws/nieuwsoverzicht-en-archief/dnbulletin-2014/dnb310579.jsp"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3565</ap:Words>
  <ap:Characters>19608</ap:Characters>
  <ap:DocSecurity>4</ap:DocSecurity>
  <ap:Lines>163</ap:Lines>
  <ap:Paragraphs>46</ap:Paragraphs>
  <ap:ScaleCrop>false</ap:ScaleCrop>
  <ap:LinksUpToDate>false</ap:LinksUpToDate>
  <ap:CharactersWithSpaces>23127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2015-11-19T14:15:00.0000000Z</lastPrinted>
  <dcterms:created xsi:type="dcterms:W3CDTF">2015-11-19T14:16:00.0000000Z</dcterms:created>
  <dcterms:modified xsi:type="dcterms:W3CDTF">2015-11-19T14:16:00.0000000Z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0x010100E2888B20A7DCE94BA62C5CFAD7FA557E</vt:lpwstr>
  </property>
</Properties>
</file>