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09CC" w:rsidR="00CB3578" w:rsidTr="00F13442">
        <w:trPr>
          <w:cantSplit/>
        </w:trPr>
        <w:tc>
          <w:tcPr>
            <w:tcW w:w="9142" w:type="dxa"/>
            <w:gridSpan w:val="2"/>
            <w:tcBorders>
              <w:top w:val="nil"/>
              <w:left w:val="nil"/>
              <w:bottom w:val="nil"/>
              <w:right w:val="nil"/>
            </w:tcBorders>
          </w:tcPr>
          <w:p w:rsidRPr="00A57E74" w:rsidR="00CB3578" w:rsidP="00A57E74" w:rsidRDefault="00A57E74">
            <w:pPr>
              <w:pStyle w:val="Amendement"/>
              <w:rPr>
                <w:rFonts w:ascii="Times New Roman" w:hAnsi="Times New Roman" w:cs="Times New Roman"/>
                <w:b w:val="0"/>
              </w:rPr>
            </w:pPr>
            <w:r w:rsidRPr="00A57E74">
              <w:rPr>
                <w:rFonts w:ascii="Times New Roman" w:hAnsi="Times New Roman" w:cs="Times New Roman"/>
                <w:b w:val="0"/>
              </w:rPr>
              <w:t>Bijgewerkt t/m nr. 6 (</w:t>
            </w:r>
            <w:proofErr w:type="spellStart"/>
            <w:r>
              <w:rPr>
                <w:rFonts w:ascii="Times New Roman" w:hAnsi="Times New Roman" w:cs="Times New Roman"/>
                <w:b w:val="0"/>
              </w:rPr>
              <w:t>NvW</w:t>
            </w:r>
            <w:bookmarkStart w:name="_GoBack" w:id="0"/>
            <w:bookmarkEnd w:id="0"/>
            <w:proofErr w:type="spellEnd"/>
            <w:r w:rsidRPr="00A57E74">
              <w:rPr>
                <w:rFonts w:ascii="Times New Roman" w:hAnsi="Times New Roman" w:cs="Times New Roman"/>
                <w:b w:val="0"/>
              </w:rPr>
              <w:t xml:space="preserve"> d.d. 19 oktober 2015)</w:t>
            </w: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P="002509CC" w:rsidRDefault="00CB3578">
            <w:pPr>
              <w:rPr>
                <w:rFonts w:ascii="Times New Roman" w:hAnsi="Times New Roman"/>
                <w:b/>
                <w:bCs/>
                <w:sz w:val="24"/>
              </w:rPr>
            </w:pPr>
          </w:p>
        </w:tc>
      </w:tr>
      <w:tr w:rsidRPr="002509C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2A727C" w:rsidP="00F13442" w:rsidRDefault="002509CC">
            <w:pPr>
              <w:rPr>
                <w:rFonts w:ascii="Times New Roman" w:hAnsi="Times New Roman"/>
                <w:b/>
                <w:sz w:val="24"/>
              </w:rPr>
            </w:pPr>
            <w:r w:rsidRPr="002509CC">
              <w:rPr>
                <w:rFonts w:ascii="Times New Roman" w:hAnsi="Times New Roman"/>
                <w:b/>
                <w:sz w:val="24"/>
              </w:rPr>
              <w:t>34 262</w:t>
            </w:r>
          </w:p>
        </w:tc>
        <w:tc>
          <w:tcPr>
            <w:tcW w:w="6590" w:type="dxa"/>
            <w:tcBorders>
              <w:top w:val="nil"/>
              <w:left w:val="nil"/>
              <w:bottom w:val="nil"/>
              <w:right w:val="nil"/>
            </w:tcBorders>
          </w:tcPr>
          <w:p w:rsidRPr="002509CC" w:rsidR="002A727C" w:rsidP="00E6497D" w:rsidRDefault="002509CC">
            <w:pPr>
              <w:rPr>
                <w:rFonts w:ascii="Times New Roman" w:hAnsi="Times New Roman"/>
                <w:b/>
                <w:sz w:val="24"/>
              </w:rPr>
            </w:pPr>
            <w:r w:rsidRPr="002509CC">
              <w:rPr>
                <w:rFonts w:ascii="Times New Roman" w:hAnsi="Times New Roman"/>
                <w:b/>
                <w:sz w:val="24"/>
              </w:rPr>
              <w:t>Wijziging van de Handelsregisterwet 2007</w:t>
            </w:r>
            <w:r w:rsidRPr="002509CC">
              <w:rPr>
                <w:rFonts w:ascii="Times New Roman" w:hAnsi="Times New Roman"/>
                <w:b/>
                <w:bCs/>
                <w:sz w:val="24"/>
              </w:rPr>
              <w:t xml:space="preserve">, het Burgerlijk Wetboek en de Wet op de formeel buitenlandse vennootschappen </w:t>
            </w:r>
            <w:r w:rsidRPr="002509CC">
              <w:rPr>
                <w:rFonts w:ascii="Times New Roman" w:hAnsi="Times New Roman"/>
                <w:b/>
                <w:sz w:val="24"/>
              </w:rPr>
              <w:t>in verband met deponering van bescheiden in het handelsregister langs elektronische weg</w:t>
            </w: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r w:rsidRPr="002509CC">
              <w:rPr>
                <w:rFonts w:ascii="Times New Roman" w:hAnsi="Times New Roman" w:cs="Times New Roman"/>
              </w:rPr>
              <w:t>Nr. 2</w:t>
            </w: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r w:rsidRPr="002509CC">
              <w:rPr>
                <w:rFonts w:ascii="Times New Roman" w:hAnsi="Times New Roman" w:cs="Times New Roman"/>
              </w:rPr>
              <w:t>VOORSTEL VAN WET</w:t>
            </w: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bl>
    <w:p w:rsidRPr="002509CC" w:rsidR="002509CC" w:rsidP="002509CC" w:rsidRDefault="002509CC">
      <w:pPr>
        <w:ind w:firstLine="284"/>
        <w:rPr>
          <w:rFonts w:ascii="Times New Roman" w:hAnsi="Times New Roman"/>
          <w:sz w:val="24"/>
        </w:rPr>
      </w:pPr>
      <w:r w:rsidRPr="002509CC">
        <w:rPr>
          <w:rFonts w:ascii="Times New Roman" w:hAnsi="Times New Roman"/>
          <w:sz w:val="24"/>
        </w:rPr>
        <w:t>Wij Willem-Alexander, bij de gratie Gods, Koning der Nederlanden, Prins van Oranje-Nassau, enz. enz. enz.</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 xml:space="preserve">Allen, die deze zullen zien of horen lezen, saluut! </w:t>
      </w:r>
      <w:proofErr w:type="gramStart"/>
      <w:r w:rsidRPr="002509CC">
        <w:rPr>
          <w:rFonts w:ascii="Times New Roman" w:hAnsi="Times New Roman"/>
          <w:sz w:val="24"/>
        </w:rPr>
        <w:t>doen</w:t>
      </w:r>
      <w:proofErr w:type="gramEnd"/>
      <w:r w:rsidRPr="002509CC">
        <w:rPr>
          <w:rFonts w:ascii="Times New Roman" w:hAnsi="Times New Roman"/>
          <w:sz w:val="24"/>
        </w:rPr>
        <w:t xml:space="preserve"> te weten:</w:t>
      </w:r>
    </w:p>
    <w:p w:rsidRPr="002509CC" w:rsidR="002509CC" w:rsidP="002509CC" w:rsidRDefault="002509CC">
      <w:pPr>
        <w:rPr>
          <w:rFonts w:ascii="Times New Roman" w:hAnsi="Times New Roman"/>
          <w:sz w:val="24"/>
        </w:rPr>
      </w:pPr>
      <w:r w:rsidRPr="002509CC">
        <w:rPr>
          <w:rFonts w:ascii="Times New Roman" w:hAnsi="Times New Roman"/>
          <w:sz w:val="24"/>
        </w:rPr>
        <w:tab/>
      </w:r>
      <w:proofErr w:type="gramStart"/>
      <w:r w:rsidRPr="002509CC">
        <w:rPr>
          <w:rFonts w:ascii="Times New Roman" w:hAnsi="Times New Roman"/>
          <w:sz w:val="24"/>
        </w:rPr>
        <w:t>Alzo</w:t>
      </w:r>
      <w:proofErr w:type="gramEnd"/>
      <w:r w:rsidRPr="002509CC">
        <w:rPr>
          <w:rFonts w:ascii="Times New Roman" w:hAnsi="Times New Roman"/>
          <w:sz w:val="24"/>
        </w:rPr>
        <w:t xml:space="preserve"> Wij in overweging genomen hebben, dat het wenselijk is regels vast te stellen waardoor de verplichting bij of krachtens de wet tot deponering van bescheiden zoals de jaarrekening in het handelsregister uitsluitend langs elektronische weg op bepaalde wijze kan worden vervuld;</w:t>
      </w:r>
    </w:p>
    <w:p w:rsidRPr="002509CC" w:rsidR="002509CC" w:rsidP="002509CC" w:rsidRDefault="002509CC">
      <w:pPr>
        <w:rPr>
          <w:rFonts w:ascii="Times New Roman" w:hAnsi="Times New Roman"/>
          <w:sz w:val="24"/>
        </w:rPr>
      </w:pPr>
      <w:r w:rsidRPr="002509CC">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2509CC">
        <w:rPr>
          <w:rFonts w:ascii="Times New Roman" w:hAnsi="Times New Roman"/>
          <w:sz w:val="24"/>
        </w:rPr>
        <w:t>gelijk</w:t>
      </w:r>
      <w:proofErr w:type="gramEnd"/>
      <w:r w:rsidRPr="002509CC">
        <w:rPr>
          <w:rFonts w:ascii="Times New Roman" w:hAnsi="Times New Roman"/>
          <w:sz w:val="24"/>
        </w:rPr>
        <w:t xml:space="preserve"> Wij goedvinden en verstaan bij deze:</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de Handelsregisterwet 2007 wordt na artikel 19 een artikel ingevoegd, luidende: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 xml:space="preserve">Artikel 19a </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1. Bij algemene maatregel van bestuur </w:t>
      </w:r>
      <w:r w:rsidRPr="000B67BE" w:rsidR="000B67BE">
        <w:rPr>
          <w:rFonts w:ascii="Times New Roman" w:hAnsi="Times New Roman"/>
          <w:sz w:val="24"/>
        </w:rPr>
        <w:t>wordt voor daarbij aangewezen rechtspersonen bepaald</w:t>
      </w:r>
      <w:r w:rsidRPr="002509CC">
        <w:rPr>
          <w:rFonts w:ascii="Times New Roman" w:hAnsi="Times New Roman"/>
          <w:sz w:val="24"/>
        </w:rPr>
        <w:t xml:space="preserve"> dat voor daarbij aangewezen </w:t>
      </w:r>
      <w:proofErr w:type="gramStart"/>
      <w:r w:rsidRPr="002509CC">
        <w:rPr>
          <w:rFonts w:ascii="Times New Roman" w:hAnsi="Times New Roman"/>
          <w:sz w:val="24"/>
        </w:rPr>
        <w:t>bescheiden</w:t>
      </w:r>
      <w:proofErr w:type="gramEnd"/>
      <w:r w:rsidRPr="002509CC">
        <w:rPr>
          <w:rFonts w:ascii="Times New Roman" w:hAnsi="Times New Roman"/>
          <w:sz w:val="24"/>
        </w:rPr>
        <w:t xml:space="preserve"> waarvan bij of krachtens de wet is voorgeschreven dat die bij het handelsregister worden gedeponeerd, deponering daarvan uitsluitend langs elektronische weg plaatsvindt en </w:t>
      </w:r>
      <w:r w:rsidRPr="000B67BE" w:rsidR="000B67BE">
        <w:rPr>
          <w:rFonts w:ascii="Times New Roman" w:hAnsi="Times New Roman"/>
          <w:sz w:val="24"/>
        </w:rPr>
        <w:t xml:space="preserve">worden regels gesteld </w:t>
      </w:r>
      <w:r w:rsidRPr="002509CC">
        <w:rPr>
          <w:rFonts w:ascii="Times New Roman" w:hAnsi="Times New Roman"/>
          <w:sz w:val="24"/>
        </w:rPr>
        <w:t>over de wijze waarop die deponering moet plaatsvinden.</w:t>
      </w: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2. Voor aangewezen </w:t>
      </w:r>
      <w:proofErr w:type="gramStart"/>
      <w:r w:rsidRPr="002509CC">
        <w:rPr>
          <w:rFonts w:ascii="Times New Roman" w:hAnsi="Times New Roman"/>
          <w:sz w:val="24"/>
        </w:rPr>
        <w:t>bescheiden</w:t>
      </w:r>
      <w:proofErr w:type="gramEnd"/>
      <w:r w:rsidRPr="002509CC">
        <w:rPr>
          <w:rFonts w:ascii="Times New Roman" w:hAnsi="Times New Roman"/>
          <w:sz w:val="24"/>
        </w:rPr>
        <w:t xml:space="preserve"> als bedoeld in het eerste lid, waarvan de inhoud betrekking heeft op enig boekjaar, wordt bij de in het eerste lid bedoelde algemene maatregel van bestuur tevens bepaald vanaf welk boekjaar de in het eerste lid bedoelde verplichting daarop van toepassing is.</w:t>
      </w: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3. De Kamer draagt zorg voor het langs elektronische weg kunnen ontvangen van aangewezen </w:t>
      </w:r>
      <w:proofErr w:type="gramStart"/>
      <w:r w:rsidRPr="002509CC">
        <w:rPr>
          <w:rFonts w:ascii="Times New Roman" w:hAnsi="Times New Roman"/>
          <w:sz w:val="24"/>
        </w:rPr>
        <w:t>bescheiden</w:t>
      </w:r>
      <w:proofErr w:type="gramEnd"/>
      <w:r w:rsidRPr="002509CC">
        <w:rPr>
          <w:rFonts w:ascii="Times New Roman" w:hAnsi="Times New Roman"/>
          <w:sz w:val="24"/>
        </w:rPr>
        <w:t xml:space="preserve"> als bedoeld in het eerste lid op de in dat lid genoemde algemene maatregel van bestuur vastgestelde wijze.</w:t>
      </w:r>
    </w:p>
    <w:p w:rsidRPr="002509CC" w:rsidR="002509CC" w:rsidP="002509CC" w:rsidRDefault="002509CC">
      <w:pPr>
        <w:ind w:firstLine="284"/>
        <w:rPr>
          <w:rFonts w:ascii="Times New Roman" w:hAnsi="Times New Roman"/>
          <w:iCs/>
          <w:sz w:val="24"/>
        </w:rPr>
      </w:pPr>
      <w:r w:rsidRPr="002509CC">
        <w:rPr>
          <w:rFonts w:ascii="Times New Roman" w:hAnsi="Times New Roman"/>
          <w:iCs/>
          <w:sz w:val="24"/>
        </w:rPr>
        <w:t xml:space="preserve">4. Bij algemene maatregel van bestuur kan worden bepaald dat de Kamer ondersteunende voorzieningen beschikbaar stelt, voor zover dit ten behoeve van het deponeren van op grond van het eerste lid aangewezen </w:t>
      </w:r>
      <w:proofErr w:type="gramStart"/>
      <w:r w:rsidRPr="002509CC">
        <w:rPr>
          <w:rFonts w:ascii="Times New Roman" w:hAnsi="Times New Roman"/>
          <w:iCs/>
          <w:sz w:val="24"/>
        </w:rPr>
        <w:t>bescheiden</w:t>
      </w:r>
      <w:proofErr w:type="gramEnd"/>
      <w:r w:rsidRPr="002509CC">
        <w:rPr>
          <w:rFonts w:ascii="Times New Roman" w:hAnsi="Times New Roman"/>
          <w:iCs/>
          <w:sz w:val="24"/>
        </w:rPr>
        <w:t xml:space="preserve"> door op grond van het eerste lid aangewezen rechtspersonen noodzakelijk is.</w:t>
      </w:r>
    </w:p>
    <w:p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lastRenderedPageBreak/>
        <w:t>Boek 2 van het Burgerlijk Wetboek wordt als volgt gewijzigd: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94a, zesde lid,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1. In onderdelen d en e wordt “neergelegd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2. In onderdeel d wordt “nederlegging” vervangen door: deponering.</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B</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artikel 102, tweede lid, wordt “neergelegd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C</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362, zesde lid,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de tweede volzin wordt de zinsnede “en legt het een mededeling </w:t>
      </w:r>
      <w:proofErr w:type="gramStart"/>
      <w:r w:rsidRPr="002509CC">
        <w:rPr>
          <w:rFonts w:ascii="Times New Roman" w:hAnsi="Times New Roman"/>
          <w:sz w:val="24"/>
        </w:rPr>
        <w:t>daaromtrent</w:t>
      </w:r>
      <w:proofErr w:type="gramEnd"/>
      <w:r w:rsidRPr="002509CC">
        <w:rPr>
          <w:rFonts w:ascii="Times New Roman" w:hAnsi="Times New Roman"/>
          <w:sz w:val="24"/>
        </w:rPr>
        <w:t xml:space="preserve"> neder ten kantore van het handelsregister’ vervangen door: en deponeert een mededeling daaromtrent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de derde volzin wordt de zinsnede “neer </w:t>
      </w:r>
      <w:proofErr w:type="gramStart"/>
      <w:r w:rsidRPr="002509CC">
        <w:rPr>
          <w:rFonts w:ascii="Times New Roman" w:hAnsi="Times New Roman"/>
          <w:sz w:val="24"/>
        </w:rPr>
        <w:t>te</w:t>
      </w:r>
      <w:proofErr w:type="gramEnd"/>
      <w:r w:rsidRPr="002509CC">
        <w:rPr>
          <w:rFonts w:ascii="Times New Roman" w:hAnsi="Times New Roman"/>
          <w:sz w:val="24"/>
        </w:rPr>
        <w:t xml:space="preserve"> leggen ten kantore van het handelsregister” vervangen door: te deponeren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artikel 379, vijfde lid, wordt de zinsnede “neerleggen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deponeren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E</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394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1. Het eerste lid komt als volgt te luiden:</w:t>
      </w: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1. De rechtspersoon is verplicht tot openbaarmaking van de jaarrekening binnen acht dagen na de vaststelling. De openbaarmaking geschiedt door deponering van de volledig in de Nederlandse taal gestelde jaarrekening of, als die niet is vervaardigd, de jaarrekening in het Frans, Duits of Engels, bij het handelsregister, indien van toepassing op de wijze als voorgeschreven bij of </w:t>
      </w:r>
      <w:proofErr w:type="gramStart"/>
      <w:r w:rsidRPr="002509CC">
        <w:rPr>
          <w:rFonts w:ascii="Times New Roman" w:hAnsi="Times New Roman"/>
          <w:sz w:val="24"/>
        </w:rPr>
        <w:t>krachtens</w:t>
      </w:r>
      <w:proofErr w:type="gramEnd"/>
      <w:r w:rsidRPr="002509CC">
        <w:rPr>
          <w:rFonts w:ascii="Times New Roman" w:hAnsi="Times New Roman"/>
          <w:sz w:val="24"/>
        </w:rPr>
        <w:t xml:space="preserve"> artikel 19a van de Handelsregisterwet 2007. De dag van vaststelling moet zijn vermeld.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het tweede lid wordt de zinsnede “neerleggen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deponeren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3. De eerste volzin van het vierde lid komt als volgt te luiden: Gelijktijdig met en op dezelfde wijze als de jaarrekening worden het jaarverslag en de overige in artikel 392 </w:t>
      </w:r>
      <w:r w:rsidRPr="002509CC">
        <w:rPr>
          <w:rFonts w:ascii="Times New Roman" w:hAnsi="Times New Roman"/>
          <w:sz w:val="24"/>
        </w:rPr>
        <w:lastRenderedPageBreak/>
        <w:t>bedoelde gegevens in het Nederlands of in een van de andere in het eerste lid genoemde talen openbaar gemaakt.</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4. In"/>
        </w:smartTagPr>
        <w:r w:rsidRPr="002509CC">
          <w:rPr>
            <w:rFonts w:ascii="Times New Roman" w:hAnsi="Times New Roman"/>
            <w:sz w:val="24"/>
          </w:rPr>
          <w:t>4. In</w:t>
        </w:r>
      </w:smartTag>
      <w:r w:rsidRPr="002509CC">
        <w:rPr>
          <w:rFonts w:ascii="Times New Roman" w:hAnsi="Times New Roman"/>
          <w:sz w:val="24"/>
        </w:rPr>
        <w:t xml:space="preserve"> het vijfde lid wordt de zinsnede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nedergelegd” vervangen door: bij het handelsregister gedeponeerd.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F</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In artikel 396, negende lid, onderdeel b, wordt de zinsnede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een verklaring van een accountant heeft neergelegd” vervangen door: bij het handelsregister een verklaring van een accountant heeft gedeponeerd.</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G</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 xml:space="preserve">In artikel 403, eerste lid, onderdeel g wordt de zinsnede “zijn neergelegd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zijn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H</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Artikel 404 wordt als volgt gewijzigd: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het eerste lid wordt de zinsnede “door nederlegging van een daartoe strekkende verklaring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door deponering van een daartoe strekkende verklaring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het derde lid, onderdeel b, wordt de zinsnede “ter inzage gelegen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ter inzage gelegen bij het handelsregister.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I</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In artikel 408, eerste lid, onderdeel e, wordt de zinsnede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de in onderdeel d genoemde stukken of vertalingen zijn neergelegd” vervangen door: bij het handelsregister de in onderdeel d genoemde stukken of vertalingen zijn gedeponeerd.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J</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449, tweede lid, wordt als volgt gewijzigd:</w:t>
      </w:r>
    </w:p>
    <w:p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de eerste volzin wordt de zinsnede “de dag der nederlegging van de jaarrekening </w:t>
      </w:r>
      <w:proofErr w:type="gramStart"/>
      <w:r w:rsidRPr="002509CC">
        <w:rPr>
          <w:rFonts w:ascii="Times New Roman" w:hAnsi="Times New Roman"/>
          <w:sz w:val="24"/>
        </w:rPr>
        <w:t>ten kantore van</w:t>
      </w:r>
      <w:proofErr w:type="gramEnd"/>
      <w:r w:rsidRPr="002509CC">
        <w:rPr>
          <w:rFonts w:ascii="Times New Roman" w:hAnsi="Times New Roman"/>
          <w:sz w:val="24"/>
        </w:rPr>
        <w:t xml:space="preserve"> het handelsregister” vervangen door: de dag van de deponering van de jaarrekening bij het handelsregister.</w:t>
      </w:r>
    </w:p>
    <w:p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de tweede volzin wordt “de dag der nederlegging” vervangen door “de dag van de deponering” en wordt “uit de neergelegde jaarrekening” vervangen door: uit de gedeponeerde jaarrekening.</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III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artikel 5, tweede lid, van de Wet op de formeel buitenlandse vennootschappen wordt de zinsnede “met dien verstande dat de openbaarmaking </w:t>
      </w:r>
      <w:proofErr w:type="gramStart"/>
      <w:r w:rsidRPr="002509CC">
        <w:rPr>
          <w:rFonts w:ascii="Times New Roman" w:hAnsi="Times New Roman"/>
          <w:sz w:val="24"/>
        </w:rPr>
        <w:t>ingevolge</w:t>
      </w:r>
      <w:proofErr w:type="gramEnd"/>
      <w:r w:rsidRPr="002509CC">
        <w:rPr>
          <w:rFonts w:ascii="Times New Roman" w:hAnsi="Times New Roman"/>
          <w:sz w:val="24"/>
        </w:rPr>
        <w:t xml:space="preserve"> </w:t>
      </w:r>
      <w:hyperlink w:history="1" r:id="rId9">
        <w:r w:rsidRPr="002509CC">
          <w:rPr>
            <w:rFonts w:ascii="Times New Roman" w:hAnsi="Times New Roman"/>
            <w:sz w:val="24"/>
          </w:rPr>
          <w:t>artikel 394 van dat boek</w:t>
        </w:r>
      </w:hyperlink>
      <w:r w:rsidRPr="002509CC">
        <w:rPr>
          <w:rFonts w:ascii="Times New Roman" w:hAnsi="Times New Roman"/>
          <w:sz w:val="24"/>
        </w:rPr>
        <w:t xml:space="preserve"> geschiedt door nederlegging ten kantore van het handelsregister, bedoeld in artikel 2, tweede lid” vervangen door: met dien verstande dat de openbaarmaking ingevolge </w:t>
      </w:r>
      <w:hyperlink w:history="1" r:id="rId10">
        <w:r w:rsidRPr="002509CC">
          <w:rPr>
            <w:rFonts w:ascii="Times New Roman" w:hAnsi="Times New Roman"/>
            <w:sz w:val="24"/>
          </w:rPr>
          <w:t>artikel 394 van dat boek</w:t>
        </w:r>
      </w:hyperlink>
      <w:r w:rsidRPr="002509CC">
        <w:rPr>
          <w:rFonts w:ascii="Times New Roman" w:hAnsi="Times New Roman"/>
          <w:sz w:val="24"/>
        </w:rPr>
        <w:t xml:space="preserve"> geschiedt door deponering bij het handelsregister.</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IV</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Indien het bij </w:t>
      </w:r>
      <w:proofErr w:type="gramStart"/>
      <w:r w:rsidRPr="002509CC">
        <w:rPr>
          <w:rFonts w:ascii="Times New Roman" w:hAnsi="Times New Roman"/>
          <w:sz w:val="24"/>
        </w:rPr>
        <w:t>koninklijke</w:t>
      </w:r>
      <w:proofErr w:type="gramEnd"/>
      <w:r w:rsidRPr="002509CC">
        <w:rPr>
          <w:rFonts w:ascii="Times New Roman" w:hAnsi="Times New Roman"/>
          <w:sz w:val="24"/>
        </w:rPr>
        <w:t xml:space="preserve"> boodschap van 11 maart 2015 ingediende voorstel van wet tot wijziging van Boek 2 van het Burgerlijk Wetboek ter uitvoering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2509CC">
        <w:rPr>
          <w:rFonts w:ascii="Times New Roman" w:hAnsi="Times New Roman"/>
          <w:sz w:val="24"/>
        </w:rPr>
        <w:t>PbEU</w:t>
      </w:r>
      <w:proofErr w:type="spellEnd"/>
      <w:r w:rsidRPr="002509CC">
        <w:rPr>
          <w:rFonts w:ascii="Times New Roman" w:hAnsi="Times New Roman"/>
          <w:sz w:val="24"/>
        </w:rPr>
        <w:t xml:space="preserve"> 2013, L 182) (Uitvoeringswet richtlijn jaarrekening) (34 176), tot wet is of wordt verheven en artikel I, onderdeel A, van die wet eerder in werking treedt dan artikel II, onderdeel E, van deze wet, wordt in deze wet in artikel II, onderdeel E, onder 3, “jaarverslag” in artikel 394, vierde lid, vervangen door: </w:t>
      </w:r>
      <w:proofErr w:type="spellStart"/>
      <w:r w:rsidRPr="002509CC">
        <w:rPr>
          <w:rFonts w:ascii="Times New Roman" w:hAnsi="Times New Roman"/>
          <w:sz w:val="24"/>
        </w:rPr>
        <w:t>bestuursverslag</w:t>
      </w:r>
      <w:proofErr w:type="spellEnd"/>
      <w:r w:rsidRPr="002509CC">
        <w:rPr>
          <w:rFonts w:ascii="Times New Roman" w:hAnsi="Times New Roman"/>
          <w:sz w:val="24"/>
        </w:rPr>
        <w:t>.</w:t>
      </w:r>
    </w:p>
    <w:p w:rsidR="002509CC" w:rsidP="002509CC" w:rsidRDefault="002509CC">
      <w:pPr>
        <w:rPr>
          <w:rFonts w:ascii="Times New Roman" w:hAnsi="Times New Roman"/>
          <w:b/>
          <w:sz w:val="24"/>
        </w:rPr>
      </w:pPr>
    </w:p>
    <w:p w:rsidR="002509CC" w:rsidP="002509CC" w:rsidRDefault="002509CC">
      <w:pPr>
        <w:rPr>
          <w:rFonts w:ascii="Times New Roman" w:hAnsi="Times New Roman"/>
          <w:b/>
          <w:sz w:val="24"/>
        </w:rPr>
      </w:pPr>
    </w:p>
    <w:p w:rsidRPr="002509CC" w:rsidR="002509CC" w:rsidP="002509CC" w:rsidRDefault="002509CC">
      <w:pPr>
        <w:rPr>
          <w:rFonts w:ascii="Times New Roman" w:hAnsi="Times New Roman"/>
          <w:sz w:val="24"/>
        </w:rPr>
      </w:pPr>
      <w:r w:rsidRPr="002509CC">
        <w:rPr>
          <w:rFonts w:ascii="Times New Roman" w:hAnsi="Times New Roman"/>
          <w:b/>
          <w:sz w:val="24"/>
        </w:rPr>
        <w:t>ARTIKEL V</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Lasten en bevelen dat deze in het Staatsblad zal worden geplaatst en dat alle ministeries, autoriteiten, colleges en ambtenaren die </w:t>
      </w:r>
      <w:proofErr w:type="gramStart"/>
      <w:r w:rsidRPr="002509CC">
        <w:rPr>
          <w:rFonts w:ascii="Times New Roman" w:hAnsi="Times New Roman"/>
          <w:sz w:val="24"/>
        </w:rPr>
        <w:t>zulks</w:t>
      </w:r>
      <w:proofErr w:type="gramEnd"/>
      <w:r w:rsidRPr="002509CC">
        <w:rPr>
          <w:rFonts w:ascii="Times New Roman" w:hAnsi="Times New Roman"/>
          <w:sz w:val="24"/>
        </w:rPr>
        <w:t xml:space="preserve"> aangaat, aan de nauwkeurige uitvoering de hand zullen houden.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 xml:space="preserve">Gegeven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De Minister van Economische Zaken,</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De Minister van Veiligheid en Justitie,</w:t>
      </w:r>
    </w:p>
    <w:sectPr w:rsidRPr="002509CC" w:rsidR="002509CC"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7D" w:rsidRDefault="00E6497D">
      <w:pPr>
        <w:spacing w:line="20" w:lineRule="exact"/>
      </w:pPr>
    </w:p>
  </w:endnote>
  <w:endnote w:type="continuationSeparator" w:id="0">
    <w:p w:rsidR="00E6497D" w:rsidRDefault="00E6497D">
      <w:pPr>
        <w:pStyle w:val="Amendement"/>
      </w:pPr>
      <w:r>
        <w:rPr>
          <w:b w:val="0"/>
          <w:bCs w:val="0"/>
        </w:rPr>
        <w:t xml:space="preserve"> </w:t>
      </w:r>
    </w:p>
  </w:endnote>
  <w:endnote w:type="continuationNotice" w:id="1">
    <w:p w:rsidR="00E6497D" w:rsidRDefault="00E649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7E7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7D" w:rsidRDefault="00E6497D">
      <w:pPr>
        <w:pStyle w:val="Amendement"/>
      </w:pPr>
      <w:r>
        <w:rPr>
          <w:b w:val="0"/>
          <w:bCs w:val="0"/>
        </w:rPr>
        <w:separator/>
      </w:r>
    </w:p>
  </w:footnote>
  <w:footnote w:type="continuationSeparator" w:id="0">
    <w:p w:rsidR="00E6497D" w:rsidRDefault="00E6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9CC"/>
    <w:rsid w:val="00012DBE"/>
    <w:rsid w:val="000A1D81"/>
    <w:rsid w:val="000B67BE"/>
    <w:rsid w:val="00111ED3"/>
    <w:rsid w:val="001C190E"/>
    <w:rsid w:val="002168F4"/>
    <w:rsid w:val="002509CC"/>
    <w:rsid w:val="002A727C"/>
    <w:rsid w:val="005D2707"/>
    <w:rsid w:val="00606255"/>
    <w:rsid w:val="006616DA"/>
    <w:rsid w:val="006B607A"/>
    <w:rsid w:val="007D451C"/>
    <w:rsid w:val="00826224"/>
    <w:rsid w:val="00930A23"/>
    <w:rsid w:val="009C7354"/>
    <w:rsid w:val="009E6D7F"/>
    <w:rsid w:val="00A11E73"/>
    <w:rsid w:val="00A13907"/>
    <w:rsid w:val="00A2521E"/>
    <w:rsid w:val="00A57E74"/>
    <w:rsid w:val="00AE436A"/>
    <w:rsid w:val="00C135B1"/>
    <w:rsid w:val="00C92DF8"/>
    <w:rsid w:val="00CB3578"/>
    <w:rsid w:val="00D20AFA"/>
    <w:rsid w:val="00D55648"/>
    <w:rsid w:val="00E16443"/>
    <w:rsid w:val="00E36EE9"/>
    <w:rsid w:val="00E6497D"/>
    <w:rsid w:val="00F13442"/>
    <w:rsid w:val="00F956D4"/>
    <w:rsid w:val="00FF3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A57E74"/>
    <w:rPr>
      <w:rFonts w:ascii="Tahoma" w:hAnsi="Tahoma" w:cs="Tahoma"/>
      <w:sz w:val="16"/>
      <w:szCs w:val="16"/>
    </w:rPr>
  </w:style>
  <w:style w:type="character" w:customStyle="1" w:styleId="BallontekstChar">
    <w:name w:val="Ballontekst Char"/>
    <w:basedOn w:val="Standaardalinea-lettertype"/>
    <w:link w:val="Ballontekst"/>
    <w:rsid w:val="00A57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etten.overheid.nl/BWBR0003045/Boek2/Titel9/Afdeling10/Artikel394/geldigheidsdatum_26-05-2014" TargetMode="External" Id="rId10" /><Relationship Type="http://schemas.openxmlformats.org/officeDocument/2006/relationships/styles" Target="styles.xml" Id="rId4" /><Relationship Type="http://schemas.openxmlformats.org/officeDocument/2006/relationships/hyperlink" Target="http://wetten.overheid.nl/BWBR0003045/Boek2/Titel9/Afdeling10/Artikel394/geldigheidsdatum_26-05-2014"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1238</ap:Words>
  <ap:Characters>6810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2015-10-22T13:41:00.0000000Z</lastPrinted>
  <dcterms:created xsi:type="dcterms:W3CDTF">2015-10-22T13:37:00.0000000Z</dcterms:created>
  <dcterms:modified xsi:type="dcterms:W3CDTF">2015-10-22T13:41:00.0000000Z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0x010100322D53482C89D744B3721DD5877F9FF4</vt:lpwstr>
  </property>
</Properties>
</file>