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id="0"/>
    <w:bookmarkEnd w:id="0"/>
    <w:p w:rsidR="00405849" w:rsidP="00993C3B" w:rsidRDefault="00405849">
      <w:pPr>
        <w:pStyle w:val="PlatteTekst"/>
        <w:spacing w:line="240" w:lineRule="auto"/>
        <w:rPr>
          <w:szCs w:val="17"/>
        </w:rPr>
      </w:pPr>
      <w:r w:rsidRPr="003705FD">
        <w:rPr>
          <w:noProof/>
          <w:lang w:eastAsia="nl-NL"/>
        </w:rPr>
        <mc:AlternateContent>
          <mc:Choice Requires="wps">
            <w:drawing>
              <wp:anchor distT="0" distB="0" distL="114300" distR="114300" simplePos="0" relativeHeight="251661312" behindDoc="0" locked="0" layoutInCell="1" allowOverlap="1" wp14:editId="4E239CD6" wp14:anchorId="76E51A01">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CAF" w:rsidRDefault="002C4CA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2C4CAF" w:rsidRDefault="002C4CAF"/>
                  </w:txbxContent>
                </v:textbox>
                <w10:wrap anchory="page"/>
              </v:shape>
            </w:pict>
          </mc:Fallback>
        </mc:AlternateContent>
      </w:r>
      <w:r w:rsidRPr="003705FD">
        <w:rPr>
          <w:noProof/>
          <w:lang w:eastAsia="nl-NL"/>
        </w:rPr>
        <mc:AlternateContent>
          <mc:Choice Requires="wps">
            <w:drawing>
              <wp:anchor distT="0" distB="0" distL="114300" distR="114300" simplePos="0" relativeHeight="251660288" behindDoc="0" locked="0" layoutInCell="1" allowOverlap="1" wp14:editId="2E46F77E" wp14:anchorId="47449CFA">
                <wp:simplePos x="0" y="0"/>
                <wp:positionH relativeFrom="page">
                  <wp:posOffset>4608830</wp:posOffset>
                </wp:positionH>
                <wp:positionV relativeFrom="page">
                  <wp:posOffset>1955165</wp:posOffset>
                </wp:positionV>
                <wp:extent cx="2080260" cy="698500"/>
                <wp:effectExtent l="0" t="0" r="15240" b="12700"/>
                <wp:wrapNone/>
                <wp:docPr id="9" name="Tekstvak 9"/>
                <wp:cNvGraphicFramePr/>
                <a:graphic xmlns:a="http://schemas.openxmlformats.org/drawingml/2006/main">
                  <a:graphicData uri="http://schemas.microsoft.com/office/word/2010/wordprocessingShape">
                    <wps:wsp>
                      <wps:cNvSpPr txBox="1"/>
                      <wps:spPr>
                        <a:xfrm>
                          <a:off x="0" y="0"/>
                          <a:ext cx="2080260" cy="698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CAF" w:rsidP="00B51425" w:rsidRDefault="002C4CAF">
                            <w:pPr>
                              <w:pStyle w:val="Huisstijl-Afzendgegevens"/>
                              <w:rPr>
                                <w:szCs w:val="13"/>
                              </w:rPr>
                            </w:pPr>
                            <w:r>
                              <w:rPr>
                                <w:szCs w:val="13"/>
                              </w:rPr>
                              <w:t xml:space="preserve"> S. </w:t>
                            </w:r>
                            <w:r>
                              <w:t xml:space="preserve">Van Veldhoven / R. Dijkstra </w:t>
                            </w:r>
                          </w:p>
                          <w:p w:rsidRPr="00FE7CDD" w:rsidR="002C4CAF" w:rsidRDefault="002C4CAF">
                            <w:pPr>
                              <w:pStyle w:val="Huisstijl-Afzendgegevens"/>
                              <w:rPr>
                                <w:szCs w:val="13"/>
                              </w:rPr>
                            </w:pPr>
                            <w:r w:rsidRPr="00FE7CDD">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2.9pt;margin-top:153.95pt;width:163.8pt;height: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">
                <v:textbox style="mso-fit-shape-to-text:t" inset="0,0,0,0">
                  <w:txbxContent>
                    <w:p w:rsidR="002C4CAF" w:rsidP="00B51425" w:rsidRDefault="002C4CAF">
                      <w:pPr>
                        <w:pStyle w:val="Huisstijl-Afzendgegevens"/>
                        <w:rPr>
                          <w:szCs w:val="13"/>
                        </w:rPr>
                      </w:pPr>
                      <w:r>
                        <w:rPr>
                          <w:szCs w:val="13"/>
                        </w:rPr>
                        <w:t xml:space="preserve"> S. </w:t>
                      </w:r>
                      <w:r>
                        <w:t xml:space="preserve">Van Veldhoven / R. Dijkstra </w:t>
                      </w:r>
                    </w:p>
                    <w:p w:rsidRPr="00FE7CDD" w:rsidR="002C4CAF" w:rsidRDefault="002C4CAF">
                      <w:pPr>
                        <w:pStyle w:val="Huisstijl-Afzendgegevens"/>
                        <w:rPr>
                          <w:szCs w:val="13"/>
                        </w:rPr>
                      </w:pPr>
                      <w:r w:rsidRPr="00FE7CDD">
                        <w:t xml:space="preserve"> </w:t>
                      </w:r>
                    </w:p>
                  </w:txbxContent>
                </v:textbox>
                <w10:wrap anchorx="page" anchory="page"/>
              </v:shape>
            </w:pict>
          </mc:Fallback>
        </mc:AlternateContent>
      </w:r>
      <w:r w:rsidRPr="003705FD">
        <w:rPr>
          <w:noProof/>
          <w:lang w:eastAsia="nl-NL"/>
        </w:rPr>
        <mc:AlternateContent>
          <mc:Choice Requires="wps">
            <w:drawing>
              <wp:anchor distT="0" distB="269875" distL="114300" distR="114300" simplePos="0" relativeHeight="251659264" behindDoc="0" locked="0" layoutInCell="1" allowOverlap="1" wp14:editId="2A36281C" wp14:anchorId="739159FD">
                <wp:simplePos x="0" y="0"/>
                <wp:positionH relativeFrom="page">
                  <wp:posOffset>485775</wp:posOffset>
                </wp:positionH>
                <wp:positionV relativeFrom="page">
                  <wp:posOffset>1933575</wp:posOffset>
                </wp:positionV>
                <wp:extent cx="4048125" cy="1236345"/>
                <wp:effectExtent l="0" t="0" r="9525" b="7620"/>
                <wp:wrapTopAndBottom/>
                <wp:docPr id="8" name="Tekstvak 8"/>
                <wp:cNvGraphicFramePr/>
                <a:graphic xmlns:a="http://schemas.openxmlformats.org/drawingml/2006/main">
                  <a:graphicData uri="http://schemas.microsoft.com/office/word/2010/wordprocessingShape">
                    <wps:wsp>
                      <wps:cNvSpPr txBox="1"/>
                      <wps:spPr>
                        <a:xfrm>
                          <a:off x="0" y="0"/>
                          <a:ext cx="4048125" cy="1236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4CAF" w:rsidRDefault="002C4CAF">
                            <w:pPr>
                              <w:pStyle w:val="Huisstijl-Agendatitel"/>
                              <w:tabs>
                                <w:tab w:val="right" w:pos="1344"/>
                              </w:tabs>
                              <w:ind w:hanging="1417"/>
                            </w:pPr>
                            <w:r>
                              <w:tab/>
                              <w:t>Memo</w:t>
                            </w:r>
                            <w:r>
                              <w:tab/>
                              <w:t>Verslag werkbezoek co-rapporteurs Energie-Unie</w:t>
                            </w:r>
                          </w:p>
                          <w:p w:rsidR="002C4CAF" w:rsidRDefault="002C4CAF">
                            <w:pPr>
                              <w:pStyle w:val="Huisstijl-Agendatitel"/>
                            </w:pPr>
                            <w:r>
                              <w:tab/>
                              <w:t>Brussel 21 september 2015</w:t>
                            </w:r>
                          </w:p>
                          <w:p w:rsidR="002C4CAF" w:rsidRDefault="002C4CAF">
                            <w:pPr>
                              <w:pStyle w:val="Huisstijl-Agendatitel"/>
                            </w:pPr>
                          </w:p>
                          <w:p w:rsidR="002C4CAF" w:rsidRDefault="002C4CAF">
                            <w:pPr>
                              <w:pStyle w:val="Huisstijl-Agendagegevens"/>
                            </w:pPr>
                            <w:r>
                              <w:tab/>
                              <w:t>aan</w:t>
                            </w:r>
                            <w:r>
                              <w:tab/>
                              <w:t>de vaste commissies voor EZ en I&amp;M</w:t>
                            </w:r>
                          </w:p>
                          <w:p w:rsidR="002C4CAF" w:rsidRDefault="002C4CAF">
                            <w:pPr>
                              <w:pStyle w:val="Huisstijl-Agendagegevens"/>
                            </w:pPr>
                            <w:r>
                              <w:tab/>
                              <w:t>van</w:t>
                            </w:r>
                            <w:r>
                              <w:tab/>
                              <w:t>de rapporteurs Energie-Unie, het Lid Van Veldhoven en het Lid Dijkstra</w:t>
                            </w:r>
                          </w:p>
                          <w:p w:rsidRPr="00C13A9E" w:rsidR="002C4CAF" w:rsidRDefault="002C4CAF">
                            <w:pPr>
                              <w:pStyle w:val="Huisstijl-Agendagegevens"/>
                            </w:pPr>
                            <w:r>
                              <w:tab/>
                              <w:t>in afschrift aan</w:t>
                            </w:r>
                            <w:r>
                              <w:tab/>
                            </w:r>
                            <w:r w:rsidRPr="00C13A9E">
                              <w:t xml:space="preserve">de commissies </w:t>
                            </w:r>
                            <w:r>
                              <w:t>EUZA</w:t>
                            </w:r>
                            <w:r w:rsidRPr="00C13A9E">
                              <w:t xml:space="preserve"> en WR</w:t>
                            </w:r>
                          </w:p>
                          <w:p w:rsidRPr="00C13A9E" w:rsidR="002C4CAF" w:rsidRDefault="002C4CAF">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5-10-08T00:00:00Z">
                                  <w:dateFormat w:val="d MMMM YYYY"/>
                                  <w:lid w:val="nl-NL"/>
                                  <w:storeMappedDataAs w:val="dateTime"/>
                                  <w:calendar w:val="gregorian"/>
                                </w:date>
                              </w:sdtPr>
                              <w:sdtEndPr/>
                              <w:sdtContent>
                                <w:r>
                                  <w:t>8 oktober 2015</w:t>
                                </w:r>
                              </w:sdtContent>
                            </w:sdt>
                          </w:p>
                          <w:p w:rsidR="002C4CAF" w:rsidRDefault="002C4CAF">
                            <w:pPr>
                              <w:pStyle w:val="Huisstijl-Agendagegevens"/>
                            </w:pPr>
                            <w:r w:rsidRPr="00C13A9E">
                              <w:tab/>
                              <w:t>te betrekken bij</w:t>
                            </w:r>
                            <w:r w:rsidRPr="00C13A9E">
                              <w:tab/>
                            </w:r>
                            <w:r w:rsidR="00B5579D">
                              <w:t xml:space="preserve">Procedurevergadering EZ </w:t>
                            </w:r>
                            <w:r>
                              <w:t>d.d. 1</w:t>
                            </w:r>
                            <w:r w:rsidR="00B5579D">
                              <w:t>3</w:t>
                            </w:r>
                            <w:r>
                              <w:t xml:space="preserve"> oktober 2015</w:t>
                            </w:r>
                          </w:p>
                          <w:p w:rsidR="002C4CAF" w:rsidRDefault="002C4CAF">
                            <w:pPr>
                              <w:pStyle w:val="Huisstijl-Agendagegevens"/>
                            </w:pPr>
                            <w:r>
                              <w:tab/>
                            </w:r>
                            <w:r>
                              <w:tab/>
                            </w:r>
                            <w:r w:rsidR="00B5579D">
                              <w:t xml:space="preserve">Procedurevergadering I&amp;M d.d. 14 oktober </w:t>
                            </w:r>
                            <w:r>
                              <w:t>2015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97.3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">
                <v:textbox style="mso-fit-shape-to-text:t" inset="0,0,0,0">
                  <w:txbxContent>
                    <w:p w:rsidR="002C4CAF" w:rsidRDefault="002C4CAF">
                      <w:pPr>
                        <w:pStyle w:val="Huisstijl-Agendatitel"/>
                        <w:tabs>
                          <w:tab w:val="right" w:pos="1344"/>
                        </w:tabs>
                        <w:ind w:hanging="1417"/>
                      </w:pPr>
                      <w:r>
                        <w:tab/>
                        <w:t>Memo</w:t>
                      </w:r>
                      <w:r>
                        <w:tab/>
                        <w:t>Verslag werkbezoek co-rapporteurs Energie-Unie</w:t>
                      </w:r>
                    </w:p>
                    <w:p w:rsidR="002C4CAF" w:rsidRDefault="002C4CAF">
                      <w:pPr>
                        <w:pStyle w:val="Huisstijl-Agendatitel"/>
                      </w:pPr>
                      <w:r>
                        <w:tab/>
                        <w:t>Brussel 21 september 2015</w:t>
                      </w:r>
                    </w:p>
                    <w:p w:rsidR="002C4CAF" w:rsidRDefault="002C4CAF">
                      <w:pPr>
                        <w:pStyle w:val="Huisstijl-Agendatitel"/>
                      </w:pPr>
                    </w:p>
                    <w:p w:rsidR="002C4CAF" w:rsidRDefault="002C4CAF">
                      <w:pPr>
                        <w:pStyle w:val="Huisstijl-Agendagegevens"/>
                      </w:pPr>
                      <w:r>
                        <w:tab/>
                        <w:t>aan</w:t>
                      </w:r>
                      <w:r>
                        <w:tab/>
                        <w:t>de vaste commissies voor EZ en I&amp;M</w:t>
                      </w:r>
                    </w:p>
                    <w:p w:rsidR="002C4CAF" w:rsidRDefault="002C4CAF">
                      <w:pPr>
                        <w:pStyle w:val="Huisstijl-Agendagegevens"/>
                      </w:pPr>
                      <w:r>
                        <w:tab/>
                        <w:t>van</w:t>
                      </w:r>
                      <w:r>
                        <w:tab/>
                        <w:t>de rapporteurs Energie-Unie, het Lid Van Veldhoven en het Lid Dijkstra</w:t>
                      </w:r>
                    </w:p>
                    <w:p w:rsidRPr="00C13A9E" w:rsidR="002C4CAF" w:rsidRDefault="002C4CAF">
                      <w:pPr>
                        <w:pStyle w:val="Huisstijl-Agendagegevens"/>
                      </w:pPr>
                      <w:r>
                        <w:tab/>
                        <w:t>in afschrift aan</w:t>
                      </w:r>
                      <w:r>
                        <w:tab/>
                      </w:r>
                      <w:r w:rsidRPr="00C13A9E">
                        <w:t xml:space="preserve">de commissies </w:t>
                      </w:r>
                      <w:r>
                        <w:t>EUZA</w:t>
                      </w:r>
                      <w:r w:rsidRPr="00C13A9E">
                        <w:t xml:space="preserve"> en WR</w:t>
                      </w:r>
                    </w:p>
                    <w:p w:rsidRPr="00C13A9E" w:rsidR="002C4CAF" w:rsidRDefault="002C4CAF">
                      <w:pPr>
                        <w:pStyle w:val="Huisstijl-AgendagegevensW1"/>
                      </w:pPr>
                      <w:r w:rsidRPr="00C13A9E">
                        <w:tab/>
                        <w:t>datum</w:t>
                      </w:r>
                      <w:r w:rsidRPr="00C13A9E">
                        <w:tab/>
                      </w:r>
                      <w:sdt>
                        <w:sdtPr>
                          <w:alias w:val="Memo Datum"/>
                          <w:tag w:val="Memo_Datum"/>
                          <w:id w:val="-178738616"/>
                          <w:dataBinding w:prefixMappings="xmlns:dg='http://docgen.org/date' " w:xpath="/dg:DocgenData[1]/dg:Memo_Datum[1]" w:storeItemID="{3D6BED7C-4D00-430B-A617-55BE0520206B}"/>
                          <w:date w:fullDate="2015-10-08T00:00:00Z">
                            <w:dateFormat w:val="d MMMM YYYY"/>
                            <w:lid w:val="nl-NL"/>
                            <w:storeMappedDataAs w:val="dateTime"/>
                            <w:calendar w:val="gregorian"/>
                          </w:date>
                        </w:sdtPr>
                        <w:sdtEndPr/>
                        <w:sdtContent>
                          <w:r>
                            <w:t>8 oktober 2015</w:t>
                          </w:r>
                        </w:sdtContent>
                      </w:sdt>
                    </w:p>
                    <w:p w:rsidR="002C4CAF" w:rsidRDefault="002C4CAF">
                      <w:pPr>
                        <w:pStyle w:val="Huisstijl-Agendagegevens"/>
                      </w:pPr>
                      <w:r w:rsidRPr="00C13A9E">
                        <w:tab/>
                        <w:t>te betrekken bij</w:t>
                      </w:r>
                      <w:r w:rsidRPr="00C13A9E">
                        <w:tab/>
                      </w:r>
                      <w:r w:rsidR="00B5579D">
                        <w:t xml:space="preserve">Procedurevergadering EZ </w:t>
                      </w:r>
                      <w:r>
                        <w:t>d.d. 1</w:t>
                      </w:r>
                      <w:r w:rsidR="00B5579D">
                        <w:t>3</w:t>
                      </w:r>
                      <w:r>
                        <w:t xml:space="preserve"> oktober 2015</w:t>
                      </w:r>
                    </w:p>
                    <w:p w:rsidR="002C4CAF" w:rsidRDefault="002C4CAF">
                      <w:pPr>
                        <w:pStyle w:val="Huisstijl-Agendagegevens"/>
                      </w:pPr>
                      <w:r>
                        <w:tab/>
                      </w:r>
                      <w:r>
                        <w:tab/>
                      </w:r>
                      <w:r w:rsidR="00B5579D">
                        <w:t xml:space="preserve">Procedurevergadering I&amp;M d.d. 14 oktober </w:t>
                      </w:r>
                      <w:r>
                        <w:t>2015</w:t>
                      </w:r>
                    </w:p>
                  </w:txbxContent>
                </v:textbox>
                <w10:wrap type="topAndBottom" anchorx="page" anchory="page"/>
              </v:shape>
            </w:pict>
          </mc:Fallback>
        </mc:AlternateContent>
      </w:r>
      <w:bookmarkStart w:name="Text1" w:id="1"/>
    </w:p>
    <w:p w:rsidR="00EA0108" w:rsidP="00993C3B" w:rsidRDefault="00EA0108">
      <w:pPr>
        <w:pStyle w:val="PlatteTekst"/>
        <w:spacing w:line="240" w:lineRule="auto"/>
        <w:rPr>
          <w:szCs w:val="17"/>
        </w:rPr>
      </w:pPr>
    </w:p>
    <w:p w:rsidR="00EA0108" w:rsidP="00993C3B" w:rsidRDefault="00EA0108">
      <w:pPr>
        <w:pStyle w:val="PlatteTekst"/>
        <w:spacing w:line="240" w:lineRule="auto"/>
        <w:rPr>
          <w:szCs w:val="17"/>
        </w:rPr>
      </w:pPr>
      <w:r w:rsidRPr="00EA0108">
        <w:rPr>
          <w:rFonts w:eastAsia="Verdana" w:cs="Verdana"/>
          <w:noProof/>
          <w:color w:val="000000"/>
          <w:szCs w:val="18"/>
          <w:u w:color="000000"/>
          <w:bdr w:val="nil"/>
          <w:lang w:eastAsia="nl-NL"/>
        </w:rPr>
        <w:drawing>
          <wp:anchor distT="152400" distB="152400" distL="152400" distR="152400" simplePos="0" relativeHeight="251669504" behindDoc="1" locked="0" layoutInCell="1" allowOverlap="1" wp14:editId="28E8DB7D" wp14:anchorId="4D329772">
            <wp:simplePos x="0" y="0"/>
            <wp:positionH relativeFrom="page">
              <wp:posOffset>1232535</wp:posOffset>
            </wp:positionH>
            <wp:positionV relativeFrom="page">
              <wp:posOffset>527050</wp:posOffset>
            </wp:positionV>
            <wp:extent cx="3070800" cy="12384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10">
                      <a:extLst/>
                    </a:blip>
                    <a:stretch>
                      <a:fillRect/>
                    </a:stretch>
                  </pic:blipFill>
                  <pic:spPr>
                    <a:xfrm>
                      <a:off x="0" y="0"/>
                      <a:ext cx="3070800" cy="1238400"/>
                    </a:xfrm>
                    <a:prstGeom prst="rect">
                      <a:avLst/>
                    </a:prstGeom>
                    <a:ln w="12700" cap="flat">
                      <a:noFill/>
                      <a:miter lim="400000"/>
                    </a:ln>
                    <a:effectLst/>
                  </pic:spPr>
                </pic:pic>
              </a:graphicData>
            </a:graphic>
          </wp:anchor>
        </w:drawing>
      </w:r>
    </w:p>
    <w:p w:rsidRPr="003705FD" w:rsidR="000D39DB" w:rsidP="00993C3B" w:rsidRDefault="00405849">
      <w:pPr>
        <w:rPr>
          <w:b/>
          <w:szCs w:val="17"/>
          <w:u w:val="single"/>
        </w:rPr>
      </w:pPr>
      <w:r w:rsidRPr="003705FD">
        <w:rPr>
          <w:b/>
          <w:szCs w:val="17"/>
          <w:u w:val="single"/>
        </w:rPr>
        <w:t>Aan de leden van de commissie</w:t>
      </w:r>
      <w:r w:rsidR="006064F8">
        <w:rPr>
          <w:b/>
          <w:szCs w:val="17"/>
          <w:u w:val="single"/>
        </w:rPr>
        <w:t>s</w:t>
      </w:r>
      <w:r w:rsidRPr="003705FD">
        <w:rPr>
          <w:b/>
          <w:szCs w:val="17"/>
          <w:u w:val="single"/>
        </w:rPr>
        <w:t xml:space="preserve"> </w:t>
      </w:r>
      <w:bookmarkEnd w:id="1"/>
      <w:r w:rsidRPr="003705FD" w:rsidR="00B51425">
        <w:rPr>
          <w:b/>
          <w:szCs w:val="17"/>
          <w:u w:val="single"/>
        </w:rPr>
        <w:t>EZ</w:t>
      </w:r>
      <w:r w:rsidR="006064F8">
        <w:rPr>
          <w:b/>
          <w:szCs w:val="17"/>
          <w:u w:val="single"/>
        </w:rPr>
        <w:t xml:space="preserve"> en I&amp;M</w:t>
      </w:r>
    </w:p>
    <w:p w:rsidRPr="003705FD" w:rsidR="00405849" w:rsidP="00993C3B" w:rsidRDefault="00E20262">
      <w:pPr>
        <w:rPr>
          <w:b/>
          <w:szCs w:val="17"/>
          <w:u w:val="single"/>
        </w:rPr>
      </w:pPr>
      <w:r w:rsidRPr="003705FD">
        <w:rPr>
          <w:b/>
          <w:szCs w:val="17"/>
          <w:u w:val="single"/>
        </w:rPr>
        <w:t>In afschrift aan de leden van de commissies EU en WR</w:t>
      </w:r>
    </w:p>
    <w:p w:rsidR="00EA0108" w:rsidP="00993C3B" w:rsidRDefault="00EA0108">
      <w:pPr>
        <w:rPr>
          <w:b/>
          <w:sz w:val="22"/>
        </w:rPr>
      </w:pPr>
    </w:p>
    <w:p w:rsidR="00EA0108" w:rsidP="00993C3B" w:rsidRDefault="00EA0108">
      <w:pPr>
        <w:rPr>
          <w:b/>
          <w:sz w:val="22"/>
        </w:rPr>
      </w:pPr>
    </w:p>
    <w:p w:rsidRPr="00EE4CBA" w:rsidR="00DE2E50" w:rsidP="00993C3B" w:rsidRDefault="00DE2E50">
      <w:pPr>
        <w:rPr>
          <w:b/>
          <w:szCs w:val="18"/>
        </w:rPr>
      </w:pPr>
      <w:r w:rsidRPr="00EE4CBA">
        <w:rPr>
          <w:b/>
          <w:szCs w:val="18"/>
        </w:rPr>
        <w:t>Aanleiding</w:t>
      </w:r>
    </w:p>
    <w:p w:rsidR="00D73CBB" w:rsidP="00993C3B" w:rsidRDefault="00012151">
      <w:pPr>
        <w:pStyle w:val="Lijstalinea"/>
        <w:numPr>
          <w:ilvl w:val="0"/>
          <w:numId w:val="1"/>
        </w:numPr>
        <w:rPr>
          <w:szCs w:val="17"/>
        </w:rPr>
      </w:pPr>
      <w:r>
        <w:rPr>
          <w:szCs w:val="17"/>
        </w:rPr>
        <w:t xml:space="preserve">In het kader van ons rapporteurschap Energie-Unie voor de </w:t>
      </w:r>
      <w:r w:rsidR="002D1612">
        <w:rPr>
          <w:szCs w:val="17"/>
        </w:rPr>
        <w:t>vaste commissie voor Economische Zaken (EZ) en de vaste commissie voor Infrastructuur en Milieu (I&amp;M) h</w:t>
      </w:r>
      <w:r w:rsidR="00D73CBB">
        <w:rPr>
          <w:szCs w:val="17"/>
        </w:rPr>
        <w:t xml:space="preserve">ebben wij op maandag </w:t>
      </w:r>
      <w:r>
        <w:rPr>
          <w:szCs w:val="17"/>
        </w:rPr>
        <w:t xml:space="preserve">21 september </w:t>
      </w:r>
      <w:r w:rsidR="00D73CBB">
        <w:rPr>
          <w:szCs w:val="17"/>
        </w:rPr>
        <w:t xml:space="preserve">jl. </w:t>
      </w:r>
      <w:r>
        <w:rPr>
          <w:szCs w:val="17"/>
        </w:rPr>
        <w:t>een werkbezoek aan Brussel</w:t>
      </w:r>
      <w:r w:rsidR="00D73CBB">
        <w:rPr>
          <w:szCs w:val="17"/>
        </w:rPr>
        <w:t xml:space="preserve"> gebracht</w:t>
      </w:r>
      <w:r>
        <w:rPr>
          <w:szCs w:val="17"/>
        </w:rPr>
        <w:t xml:space="preserve">. </w:t>
      </w:r>
    </w:p>
    <w:p w:rsidRPr="00D73CBB" w:rsidR="006064F8" w:rsidP="00993C3B" w:rsidRDefault="00D73CBB">
      <w:pPr>
        <w:pStyle w:val="Lijstalinea"/>
        <w:numPr>
          <w:ilvl w:val="0"/>
          <w:numId w:val="1"/>
        </w:numPr>
        <w:rPr>
          <w:szCs w:val="17"/>
        </w:rPr>
      </w:pPr>
      <w:r>
        <w:rPr>
          <w:szCs w:val="17"/>
        </w:rPr>
        <w:t>Het programma bestond</w:t>
      </w:r>
      <w:r w:rsidR="00FB4C38">
        <w:rPr>
          <w:szCs w:val="17"/>
        </w:rPr>
        <w:t xml:space="preserve"> </w:t>
      </w:r>
      <w:r>
        <w:rPr>
          <w:szCs w:val="17"/>
        </w:rPr>
        <w:t>uit</w:t>
      </w:r>
      <w:r w:rsidR="006B1749">
        <w:rPr>
          <w:szCs w:val="17"/>
        </w:rPr>
        <w:t xml:space="preserve"> een briefing door </w:t>
      </w:r>
      <w:r w:rsidR="00FB4C38">
        <w:rPr>
          <w:szCs w:val="17"/>
        </w:rPr>
        <w:t xml:space="preserve">medewerkers van </w:t>
      </w:r>
      <w:r w:rsidR="00012151">
        <w:rPr>
          <w:szCs w:val="17"/>
        </w:rPr>
        <w:t>de Nederlandse Permanente Vertegenwoordiging</w:t>
      </w:r>
      <w:r w:rsidR="00FB4C38">
        <w:rPr>
          <w:szCs w:val="17"/>
        </w:rPr>
        <w:t xml:space="preserve"> bij de EU</w:t>
      </w:r>
      <w:r w:rsidR="00012151">
        <w:rPr>
          <w:szCs w:val="17"/>
        </w:rPr>
        <w:t xml:space="preserve">, </w:t>
      </w:r>
      <w:r w:rsidR="003E1C77">
        <w:rPr>
          <w:szCs w:val="17"/>
        </w:rPr>
        <w:t>rondetafel</w:t>
      </w:r>
      <w:r w:rsidR="006B1749">
        <w:rPr>
          <w:szCs w:val="17"/>
        </w:rPr>
        <w:t xml:space="preserve">gesprekken met </w:t>
      </w:r>
      <w:r w:rsidR="00FB4C38">
        <w:rPr>
          <w:szCs w:val="17"/>
        </w:rPr>
        <w:t xml:space="preserve">vertegenwoordigers van NGO’s en industrie </w:t>
      </w:r>
      <w:r>
        <w:rPr>
          <w:szCs w:val="17"/>
        </w:rPr>
        <w:t xml:space="preserve">en een </w:t>
      </w:r>
      <w:r w:rsidR="00680438">
        <w:rPr>
          <w:szCs w:val="17"/>
        </w:rPr>
        <w:t xml:space="preserve">onderhoud </w:t>
      </w:r>
      <w:r>
        <w:rPr>
          <w:szCs w:val="17"/>
        </w:rPr>
        <w:t xml:space="preserve">met Eurocommissaris </w:t>
      </w:r>
      <w:r w:rsidRPr="00D73CBB">
        <w:rPr>
          <w:szCs w:val="17"/>
        </w:rPr>
        <w:t>Miguel Arias Cañete voor Klimaatactie</w:t>
      </w:r>
      <w:r w:rsidR="002D1612">
        <w:rPr>
          <w:szCs w:val="17"/>
        </w:rPr>
        <w:t xml:space="preserve"> en Energie.</w:t>
      </w:r>
    </w:p>
    <w:p w:rsidR="002D1612" w:rsidP="00993C3B" w:rsidRDefault="00012151">
      <w:pPr>
        <w:pStyle w:val="Lijstalinea"/>
        <w:numPr>
          <w:ilvl w:val="0"/>
          <w:numId w:val="1"/>
        </w:numPr>
        <w:rPr>
          <w:szCs w:val="17"/>
        </w:rPr>
      </w:pPr>
      <w:r>
        <w:rPr>
          <w:szCs w:val="17"/>
        </w:rPr>
        <w:t>D</w:t>
      </w:r>
      <w:r w:rsidR="002D1612">
        <w:rPr>
          <w:szCs w:val="17"/>
        </w:rPr>
        <w:t xml:space="preserve">oel van het werkbezoek was voor de commissies </w:t>
      </w:r>
      <w:r w:rsidR="00FB4C38">
        <w:rPr>
          <w:szCs w:val="17"/>
        </w:rPr>
        <w:t xml:space="preserve">EZ en I&amp;M </w:t>
      </w:r>
      <w:r w:rsidR="002D1612">
        <w:rPr>
          <w:szCs w:val="17"/>
        </w:rPr>
        <w:t>meer informatie in te winnen over de uitwerking van diverse voorstellen die de Europese Commissie eerder dit jaar in de Kade</w:t>
      </w:r>
      <w:r w:rsidR="005A0F1C">
        <w:rPr>
          <w:szCs w:val="17"/>
        </w:rPr>
        <w:t>r</w:t>
      </w:r>
      <w:r w:rsidR="002D1612">
        <w:rPr>
          <w:szCs w:val="17"/>
        </w:rPr>
        <w:t xml:space="preserve">strategie Energie-Unie heeft aangekondigd, de belangrijkste discussiepunten </w:t>
      </w:r>
      <w:r w:rsidR="00680438">
        <w:rPr>
          <w:szCs w:val="17"/>
        </w:rPr>
        <w:t>over</w:t>
      </w:r>
      <w:r w:rsidR="002D1612">
        <w:rPr>
          <w:szCs w:val="17"/>
        </w:rPr>
        <w:t xml:space="preserve"> die voorstellen, de visie van diverse stakeholders daarop </w:t>
      </w:r>
      <w:r w:rsidR="00680438">
        <w:rPr>
          <w:szCs w:val="17"/>
        </w:rPr>
        <w:t>evenals</w:t>
      </w:r>
      <w:r w:rsidR="002D1612">
        <w:rPr>
          <w:szCs w:val="17"/>
        </w:rPr>
        <w:t xml:space="preserve"> de planning van de onderhandelingen in </w:t>
      </w:r>
      <w:r w:rsidR="00680438">
        <w:rPr>
          <w:szCs w:val="17"/>
        </w:rPr>
        <w:t xml:space="preserve">Brussel. </w:t>
      </w:r>
    </w:p>
    <w:p w:rsidR="00021664" w:rsidP="00993C3B" w:rsidRDefault="00EE4CBA">
      <w:pPr>
        <w:pStyle w:val="Lijstalinea"/>
        <w:numPr>
          <w:ilvl w:val="0"/>
          <w:numId w:val="1"/>
        </w:numPr>
        <w:rPr>
          <w:szCs w:val="17"/>
        </w:rPr>
      </w:pPr>
      <w:r>
        <w:rPr>
          <w:szCs w:val="17"/>
        </w:rPr>
        <w:t xml:space="preserve">Hieronder treft u het verslag van ons werkbezoek aan. </w:t>
      </w:r>
    </w:p>
    <w:p w:rsidR="00955BBA" w:rsidP="00993C3B" w:rsidRDefault="00955BBA">
      <w:pPr>
        <w:rPr>
          <w:szCs w:val="17"/>
        </w:rPr>
      </w:pPr>
    </w:p>
    <w:p w:rsidRPr="00955BBA" w:rsidR="00955BBA" w:rsidP="00993C3B" w:rsidRDefault="00955BBA">
      <w:pPr>
        <w:rPr>
          <w:b/>
          <w:szCs w:val="17"/>
        </w:rPr>
      </w:pPr>
      <w:r w:rsidRPr="00955BBA">
        <w:rPr>
          <w:b/>
          <w:szCs w:val="17"/>
        </w:rPr>
        <w:t>Advies</w:t>
      </w:r>
    </w:p>
    <w:p w:rsidR="00EE4CBA" w:rsidP="00993C3B" w:rsidRDefault="00955BBA">
      <w:pPr>
        <w:rPr>
          <w:szCs w:val="17"/>
        </w:rPr>
      </w:pPr>
      <w:r w:rsidRPr="00955BBA">
        <w:rPr>
          <w:szCs w:val="17"/>
        </w:rPr>
        <w:t>U wordt in overweging gegeven om:</w:t>
      </w:r>
    </w:p>
    <w:p w:rsidR="00955BBA" w:rsidP="00993C3B" w:rsidRDefault="00955BBA">
      <w:pPr>
        <w:pStyle w:val="Lijstalinea"/>
        <w:numPr>
          <w:ilvl w:val="0"/>
          <w:numId w:val="1"/>
        </w:numPr>
        <w:rPr>
          <w:szCs w:val="17"/>
        </w:rPr>
      </w:pPr>
      <w:r w:rsidRPr="00955BBA">
        <w:rPr>
          <w:szCs w:val="17"/>
        </w:rPr>
        <w:t>het verslag vast te stellen</w:t>
      </w:r>
      <w:r>
        <w:rPr>
          <w:szCs w:val="17"/>
        </w:rPr>
        <w:t>;</w:t>
      </w:r>
    </w:p>
    <w:p w:rsidRPr="00955BBA" w:rsidR="00955BBA" w:rsidP="00993C3B" w:rsidRDefault="00955BBA">
      <w:pPr>
        <w:pStyle w:val="Lijstalinea"/>
        <w:numPr>
          <w:ilvl w:val="0"/>
          <w:numId w:val="1"/>
        </w:numPr>
        <w:rPr>
          <w:szCs w:val="17"/>
        </w:rPr>
      </w:pPr>
      <w:r>
        <w:rPr>
          <w:szCs w:val="17"/>
        </w:rPr>
        <w:t>de informatie uit het verslag desgewenst te betrekken bij de uw vo</w:t>
      </w:r>
      <w:r w:rsidR="00F70A63">
        <w:rPr>
          <w:szCs w:val="17"/>
        </w:rPr>
        <w:t>o</w:t>
      </w:r>
      <w:r>
        <w:rPr>
          <w:szCs w:val="17"/>
        </w:rPr>
        <w:t xml:space="preserve">rbereiding van de kamerbehandeling van de diverse onderdelen van de Kaderstrategie Energie-Unie. </w:t>
      </w:r>
    </w:p>
    <w:p w:rsidRPr="00955BBA" w:rsidR="00955BBA" w:rsidP="00993C3B" w:rsidRDefault="00955BBA">
      <w:pPr>
        <w:pStyle w:val="Lijstalinea"/>
        <w:ind w:left="1440"/>
        <w:rPr>
          <w:szCs w:val="17"/>
        </w:rPr>
      </w:pPr>
    </w:p>
    <w:p w:rsidRPr="00501B8B" w:rsidR="00955BBA" w:rsidP="00993C3B" w:rsidRDefault="00955BBA">
      <w:pPr>
        <w:spacing w:after="200"/>
        <w:rPr>
          <w:b/>
          <w:szCs w:val="18"/>
        </w:rPr>
      </w:pPr>
      <w:r w:rsidRPr="00501B8B">
        <w:rPr>
          <w:b/>
          <w:szCs w:val="18"/>
        </w:rPr>
        <w:t xml:space="preserve">Tijdplanning Kamerbehandeling tot </w:t>
      </w:r>
      <w:r w:rsidRPr="00501B8B" w:rsidR="00680438">
        <w:rPr>
          <w:b/>
          <w:szCs w:val="18"/>
        </w:rPr>
        <w:t>kerstreces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8"/>
        <w:gridCol w:w="3012"/>
      </w:tblGrid>
      <w:tr w:rsidRPr="003705FD" w:rsidR="00955BBA" w:rsidTr="00A47ED4">
        <w:tc>
          <w:tcPr>
            <w:tcW w:w="4858" w:type="dxa"/>
            <w:shd w:val="clear" w:color="000000" w:fill="auto"/>
          </w:tcPr>
          <w:p w:rsidRPr="007F39F7" w:rsidR="00955BBA" w:rsidP="00993C3B" w:rsidRDefault="00955BBA">
            <w:pPr>
              <w:rPr>
                <w:b/>
              </w:rPr>
            </w:pPr>
            <w:r w:rsidRPr="007F39F7">
              <w:rPr>
                <w:b/>
              </w:rPr>
              <w:t>AO</w:t>
            </w:r>
            <w:r>
              <w:rPr>
                <w:b/>
              </w:rPr>
              <w:t xml:space="preserve"> of briefing + datum</w:t>
            </w:r>
          </w:p>
        </w:tc>
        <w:tc>
          <w:tcPr>
            <w:tcW w:w="3012" w:type="dxa"/>
            <w:shd w:val="clear" w:color="000000" w:fill="auto"/>
          </w:tcPr>
          <w:p w:rsidRPr="007F39F7" w:rsidR="00955BBA" w:rsidP="00993C3B" w:rsidRDefault="00955BBA">
            <w:pPr>
              <w:rPr>
                <w:b/>
              </w:rPr>
            </w:pPr>
            <w:r w:rsidRPr="007F39F7">
              <w:rPr>
                <w:b/>
              </w:rPr>
              <w:t xml:space="preserve">Datum </w:t>
            </w:r>
          </w:p>
        </w:tc>
      </w:tr>
      <w:tr w:rsidRPr="003705FD" w:rsidR="00955BBA" w:rsidTr="00A47ED4">
        <w:tc>
          <w:tcPr>
            <w:tcW w:w="4858" w:type="dxa"/>
            <w:shd w:val="clear" w:color="000000" w:fill="auto"/>
          </w:tcPr>
          <w:p w:rsidR="00955BBA" w:rsidP="00993C3B" w:rsidRDefault="00955BBA">
            <w:r>
              <w:t xml:space="preserve">AO Milieuraad d.d. 26 oktober </w:t>
            </w:r>
          </w:p>
          <w:p w:rsidRPr="003705FD" w:rsidR="00955BBA" w:rsidP="00993C3B" w:rsidRDefault="00955BBA"/>
        </w:tc>
        <w:tc>
          <w:tcPr>
            <w:tcW w:w="3012" w:type="dxa"/>
            <w:shd w:val="clear" w:color="000000" w:fill="auto"/>
          </w:tcPr>
          <w:p w:rsidRPr="003705FD" w:rsidR="00955BBA" w:rsidP="00993C3B" w:rsidRDefault="00955BBA">
            <w:r>
              <w:t xml:space="preserve">15 oktober </w:t>
            </w:r>
          </w:p>
        </w:tc>
      </w:tr>
      <w:tr w:rsidRPr="003705FD" w:rsidR="00955BBA" w:rsidTr="00A47ED4">
        <w:tc>
          <w:tcPr>
            <w:tcW w:w="4858" w:type="dxa"/>
            <w:shd w:val="clear" w:color="000000" w:fill="auto"/>
          </w:tcPr>
          <w:p w:rsidR="00955BBA" w:rsidP="00993C3B" w:rsidRDefault="00955BBA">
            <w:r>
              <w:t xml:space="preserve">Begrotingsbehandeling Economische </w:t>
            </w:r>
            <w:r w:rsidR="00680438">
              <w:t xml:space="preserve">Zaken </w:t>
            </w:r>
          </w:p>
          <w:p w:rsidR="00955BBA" w:rsidP="00993C3B" w:rsidRDefault="00955BBA"/>
        </w:tc>
        <w:tc>
          <w:tcPr>
            <w:tcW w:w="3012" w:type="dxa"/>
            <w:shd w:val="clear" w:color="000000" w:fill="auto"/>
          </w:tcPr>
          <w:p w:rsidR="00955BBA" w:rsidP="00993C3B" w:rsidRDefault="00545539">
            <w:r>
              <w:t>Week van 13 oktober</w:t>
            </w:r>
          </w:p>
        </w:tc>
      </w:tr>
      <w:tr w:rsidRPr="003705FD" w:rsidR="00955BBA" w:rsidTr="00A47ED4">
        <w:tc>
          <w:tcPr>
            <w:tcW w:w="4858" w:type="dxa"/>
            <w:shd w:val="clear" w:color="000000" w:fill="auto"/>
          </w:tcPr>
          <w:p w:rsidR="00955BBA" w:rsidP="00993C3B" w:rsidRDefault="00955BBA">
            <w:r>
              <w:t>AO Klimaat</w:t>
            </w:r>
          </w:p>
          <w:p w:rsidR="00955BBA" w:rsidP="00993C3B" w:rsidRDefault="00955BBA">
            <w:r>
              <w:t xml:space="preserve"> </w:t>
            </w:r>
          </w:p>
        </w:tc>
        <w:tc>
          <w:tcPr>
            <w:tcW w:w="3012" w:type="dxa"/>
            <w:shd w:val="clear" w:color="000000" w:fill="auto"/>
          </w:tcPr>
          <w:p w:rsidR="00955BBA" w:rsidP="00993C3B" w:rsidRDefault="00955BBA">
            <w:r>
              <w:t>12 november 2015</w:t>
            </w:r>
          </w:p>
        </w:tc>
      </w:tr>
      <w:tr w:rsidRPr="003705FD" w:rsidR="00955BBA" w:rsidTr="00A47ED4">
        <w:tc>
          <w:tcPr>
            <w:tcW w:w="4858" w:type="dxa"/>
            <w:shd w:val="clear" w:color="000000" w:fill="auto"/>
          </w:tcPr>
          <w:p w:rsidR="00955BBA" w:rsidP="00993C3B" w:rsidRDefault="00955BBA">
            <w:r>
              <w:t>AO Energieraad d.d. 26 november 2015</w:t>
            </w:r>
          </w:p>
          <w:p w:rsidRPr="003705FD" w:rsidR="00955BBA" w:rsidP="00993C3B" w:rsidRDefault="00955BBA"/>
        </w:tc>
        <w:tc>
          <w:tcPr>
            <w:tcW w:w="3012" w:type="dxa"/>
            <w:shd w:val="clear" w:color="000000" w:fill="auto"/>
          </w:tcPr>
          <w:p w:rsidRPr="003705FD" w:rsidR="00955BBA" w:rsidP="00993C3B" w:rsidRDefault="00955BBA">
            <w:r>
              <w:t>19 november 2015</w:t>
            </w:r>
          </w:p>
        </w:tc>
      </w:tr>
      <w:tr w:rsidRPr="003705FD" w:rsidR="00955BBA" w:rsidTr="00A47ED4">
        <w:tc>
          <w:tcPr>
            <w:tcW w:w="4858" w:type="dxa"/>
            <w:shd w:val="clear" w:color="000000" w:fill="auto"/>
          </w:tcPr>
          <w:p w:rsidR="00955BBA" w:rsidP="00993C3B" w:rsidRDefault="00955BBA">
            <w:r>
              <w:t>AO Milieuraad d.d. 16 december 2015</w:t>
            </w:r>
          </w:p>
          <w:p w:rsidR="00955BBA" w:rsidP="00993C3B" w:rsidRDefault="00955BBA"/>
        </w:tc>
        <w:tc>
          <w:tcPr>
            <w:tcW w:w="3012" w:type="dxa"/>
            <w:shd w:val="clear" w:color="000000" w:fill="auto"/>
          </w:tcPr>
          <w:p w:rsidR="00955BBA" w:rsidP="00993C3B" w:rsidRDefault="00955BBA">
            <w:r>
              <w:t>25 november 2015</w:t>
            </w:r>
          </w:p>
        </w:tc>
      </w:tr>
      <w:tr w:rsidRPr="003705FD" w:rsidR="00955BBA" w:rsidTr="00A47ED4">
        <w:tc>
          <w:tcPr>
            <w:tcW w:w="4858" w:type="dxa"/>
            <w:shd w:val="clear" w:color="000000" w:fill="auto"/>
          </w:tcPr>
          <w:p w:rsidR="00955BBA" w:rsidP="00993C3B" w:rsidRDefault="00955BBA">
            <w:r>
              <w:t>AO Transportraad d.d. 10 december 2015</w:t>
            </w:r>
          </w:p>
          <w:p w:rsidR="00955BBA" w:rsidP="00993C3B" w:rsidRDefault="00955BBA"/>
        </w:tc>
        <w:tc>
          <w:tcPr>
            <w:tcW w:w="3012" w:type="dxa"/>
            <w:shd w:val="clear" w:color="000000" w:fill="auto"/>
          </w:tcPr>
          <w:p w:rsidR="00955BBA" w:rsidP="00993C3B" w:rsidRDefault="00955BBA">
            <w:r>
              <w:t xml:space="preserve">2 december 2015 </w:t>
            </w:r>
          </w:p>
        </w:tc>
      </w:tr>
      <w:tr w:rsidRPr="003705FD" w:rsidR="00955BBA" w:rsidTr="00A47ED4">
        <w:tc>
          <w:tcPr>
            <w:tcW w:w="4858" w:type="dxa"/>
            <w:shd w:val="clear" w:color="000000" w:fill="auto"/>
          </w:tcPr>
          <w:p w:rsidR="00955BBA" w:rsidP="00993C3B" w:rsidRDefault="00955BBA">
            <w:r>
              <w:t>AO RAZ d.d. 17-18 december 2015</w:t>
            </w:r>
          </w:p>
          <w:p w:rsidR="00955BBA" w:rsidP="00993C3B" w:rsidRDefault="00955BBA"/>
        </w:tc>
        <w:tc>
          <w:tcPr>
            <w:tcW w:w="3012" w:type="dxa"/>
            <w:shd w:val="clear" w:color="000000" w:fill="auto"/>
          </w:tcPr>
          <w:p w:rsidR="00955BBA" w:rsidP="00993C3B" w:rsidRDefault="00955BBA">
            <w:r>
              <w:t>9 december 2015</w:t>
            </w:r>
          </w:p>
        </w:tc>
      </w:tr>
      <w:tr w:rsidRPr="003705FD" w:rsidR="00955BBA" w:rsidTr="00A47ED4">
        <w:tc>
          <w:tcPr>
            <w:tcW w:w="4858" w:type="dxa"/>
            <w:shd w:val="clear" w:color="000000" w:fill="auto"/>
          </w:tcPr>
          <w:p w:rsidR="00955BBA" w:rsidP="00993C3B" w:rsidRDefault="00955BBA">
            <w:r>
              <w:t xml:space="preserve">Plenair debat ER d.d. 17-18 december </w:t>
            </w:r>
          </w:p>
          <w:p w:rsidR="00955BBA" w:rsidP="00993C3B" w:rsidRDefault="00955BBA"/>
        </w:tc>
        <w:tc>
          <w:tcPr>
            <w:tcW w:w="3012" w:type="dxa"/>
            <w:shd w:val="clear" w:color="000000" w:fill="auto"/>
          </w:tcPr>
          <w:p w:rsidR="00955BBA" w:rsidP="00993C3B" w:rsidRDefault="00955BBA">
            <w:r>
              <w:t>16 december 2015</w:t>
            </w:r>
          </w:p>
        </w:tc>
      </w:tr>
    </w:tbl>
    <w:p w:rsidR="00EA0108" w:rsidP="00993C3B" w:rsidRDefault="00EA0108">
      <w:pPr>
        <w:rPr>
          <w:szCs w:val="17"/>
        </w:rPr>
      </w:pPr>
    </w:p>
    <w:p w:rsidR="00EA0108" w:rsidP="00993C3B" w:rsidRDefault="00EA0108">
      <w:pPr>
        <w:rPr>
          <w:b/>
          <w:sz w:val="22"/>
        </w:rPr>
      </w:pPr>
    </w:p>
    <w:p w:rsidRPr="006300D3" w:rsidR="006300D3" w:rsidP="00993C3B" w:rsidRDefault="006300D3">
      <w:pPr>
        <w:rPr>
          <w:b/>
          <w:szCs w:val="18"/>
        </w:rPr>
      </w:pPr>
      <w:r w:rsidRPr="006300D3">
        <w:rPr>
          <w:b/>
          <w:szCs w:val="18"/>
        </w:rPr>
        <w:lastRenderedPageBreak/>
        <w:t>V</w:t>
      </w:r>
      <w:r w:rsidR="005A0F1C">
        <w:rPr>
          <w:b/>
          <w:szCs w:val="18"/>
        </w:rPr>
        <w:t xml:space="preserve">ERSLAG VAN EEN WERKBEZOEK VAN DE CO-RAPPORTEURS ENERGIE-UNIE AAN BRUSSEL OP MAANDAG 21 SEPTEMBER 2015 </w:t>
      </w:r>
    </w:p>
    <w:p w:rsidR="005D4AE8" w:rsidP="00993C3B" w:rsidRDefault="005D4AE8">
      <w:pPr>
        <w:rPr>
          <w:b/>
          <w:szCs w:val="18"/>
        </w:rPr>
      </w:pPr>
    </w:p>
    <w:p w:rsidR="00FC12E2" w:rsidP="00993C3B" w:rsidRDefault="00B83D23">
      <w:pPr>
        <w:rPr>
          <w:szCs w:val="18"/>
        </w:rPr>
      </w:pPr>
      <w:r>
        <w:rPr>
          <w:szCs w:val="18"/>
        </w:rPr>
        <w:t>Op 21 september 2015 brachten de co-rapporteurs Energie-Unie, het Lid van Veldhoven (namens de vaste commissie voor Economische Zaken</w:t>
      </w:r>
      <w:r w:rsidR="00993C3B">
        <w:rPr>
          <w:szCs w:val="18"/>
        </w:rPr>
        <w:t>- EZ)</w:t>
      </w:r>
      <w:r>
        <w:rPr>
          <w:szCs w:val="18"/>
        </w:rPr>
        <w:t xml:space="preserve"> en het Lid Dijkstra (namens de vaste commissie voor Infrastructuur en Milieu</w:t>
      </w:r>
      <w:r w:rsidR="00993C3B">
        <w:rPr>
          <w:szCs w:val="18"/>
        </w:rPr>
        <w:t>- I&amp;M</w:t>
      </w:r>
      <w:r>
        <w:rPr>
          <w:szCs w:val="18"/>
        </w:rPr>
        <w:t xml:space="preserve">), een werkbezoek aan Brussel. </w:t>
      </w:r>
    </w:p>
    <w:p w:rsidR="00FC12E2" w:rsidP="00993C3B" w:rsidRDefault="00FC12E2">
      <w:pPr>
        <w:rPr>
          <w:szCs w:val="18"/>
        </w:rPr>
      </w:pPr>
    </w:p>
    <w:p w:rsidR="00B83D23" w:rsidP="00993C3B" w:rsidRDefault="00B83D23">
      <w:pPr>
        <w:rPr>
          <w:b/>
          <w:szCs w:val="18"/>
        </w:rPr>
      </w:pPr>
      <w:r>
        <w:rPr>
          <w:szCs w:val="17"/>
        </w:rPr>
        <w:t xml:space="preserve">Doel van het werkbezoek was voor de commissies EZ en I&amp;M meer informatie in te winnen over de uitwerking van diverse voorstellen die de Europese Commissie </w:t>
      </w:r>
      <w:r w:rsidR="00D82AAD">
        <w:rPr>
          <w:szCs w:val="17"/>
        </w:rPr>
        <w:t xml:space="preserve">op 25 februari 2015 </w:t>
      </w:r>
      <w:r>
        <w:rPr>
          <w:szCs w:val="17"/>
        </w:rPr>
        <w:t xml:space="preserve">in de Kaderstrategie Energie-Unie heeft aangekondigd, de belangrijkste discussiepunten </w:t>
      </w:r>
      <w:r w:rsidR="00680438">
        <w:rPr>
          <w:szCs w:val="17"/>
        </w:rPr>
        <w:t>over</w:t>
      </w:r>
      <w:r>
        <w:rPr>
          <w:szCs w:val="17"/>
        </w:rPr>
        <w:t xml:space="preserve"> die voorstellen, de visie van diverse stakeholders daarop </w:t>
      </w:r>
      <w:r w:rsidR="00680438">
        <w:rPr>
          <w:szCs w:val="17"/>
        </w:rPr>
        <w:t>evenals</w:t>
      </w:r>
      <w:r>
        <w:rPr>
          <w:szCs w:val="17"/>
        </w:rPr>
        <w:t xml:space="preserve"> de planning van de onderhandelingen in Brussel.</w:t>
      </w:r>
    </w:p>
    <w:p w:rsidR="00B83D23" w:rsidP="00993C3B" w:rsidRDefault="00B83D23">
      <w:pPr>
        <w:rPr>
          <w:szCs w:val="18"/>
        </w:rPr>
      </w:pPr>
    </w:p>
    <w:p w:rsidRPr="005A0F1C" w:rsidR="005A0F1C" w:rsidP="00993C3B" w:rsidRDefault="005A0F1C">
      <w:pPr>
        <w:rPr>
          <w:szCs w:val="17"/>
        </w:rPr>
      </w:pPr>
      <w:r w:rsidRPr="005A0F1C">
        <w:rPr>
          <w:szCs w:val="17"/>
        </w:rPr>
        <w:t xml:space="preserve">Het programma bestond uit </w:t>
      </w:r>
      <w:r w:rsidR="003E1C77">
        <w:rPr>
          <w:szCs w:val="17"/>
        </w:rPr>
        <w:t xml:space="preserve">een briefing door </w:t>
      </w:r>
      <w:r w:rsidRPr="005A0F1C">
        <w:rPr>
          <w:szCs w:val="17"/>
        </w:rPr>
        <w:t xml:space="preserve">medewerkers van de Nederlandse Permanente Vertegenwoordiging bij de EU, </w:t>
      </w:r>
      <w:r w:rsidR="003E1C77">
        <w:rPr>
          <w:szCs w:val="17"/>
        </w:rPr>
        <w:t xml:space="preserve">rondetafelgesprekken met </w:t>
      </w:r>
      <w:r w:rsidRPr="005A0F1C">
        <w:rPr>
          <w:szCs w:val="17"/>
        </w:rPr>
        <w:t>vertegenwoordigers van NGO’s en industrie en een onderhoud met Eurocommissaris Miguel Arias Cañete voor Klimaatactie en Energie.</w:t>
      </w:r>
    </w:p>
    <w:p w:rsidR="005A0F1C" w:rsidP="00993C3B" w:rsidRDefault="005A0F1C">
      <w:pPr>
        <w:rPr>
          <w:szCs w:val="17"/>
        </w:rPr>
      </w:pPr>
    </w:p>
    <w:p w:rsidR="005A0F1C" w:rsidP="00993C3B" w:rsidRDefault="00FC12E2">
      <w:pPr>
        <w:rPr>
          <w:szCs w:val="18"/>
        </w:rPr>
      </w:pPr>
      <w:r>
        <w:rPr>
          <w:szCs w:val="18"/>
        </w:rPr>
        <w:t>Tijdens de gesprekken kwamen de volgende onderwerpen aan bod:</w:t>
      </w:r>
    </w:p>
    <w:p w:rsidR="00FC12E2" w:rsidP="00993C3B" w:rsidRDefault="00FC12E2">
      <w:pPr>
        <w:pStyle w:val="Lijstalinea"/>
        <w:numPr>
          <w:ilvl w:val="0"/>
          <w:numId w:val="6"/>
        </w:numPr>
        <w:rPr>
          <w:szCs w:val="18"/>
        </w:rPr>
      </w:pPr>
      <w:r>
        <w:rPr>
          <w:szCs w:val="18"/>
        </w:rPr>
        <w:t xml:space="preserve">reeds gepubliceerde </w:t>
      </w:r>
      <w:r w:rsidRPr="00FC12E2">
        <w:rPr>
          <w:szCs w:val="18"/>
        </w:rPr>
        <w:t>voorstel voor de herziening van het EU emissiehandelssysteem (EU-ETS)</w:t>
      </w:r>
      <w:r>
        <w:rPr>
          <w:szCs w:val="18"/>
        </w:rPr>
        <w:t xml:space="preserve"> </w:t>
      </w:r>
    </w:p>
    <w:p w:rsidR="00FC12E2" w:rsidP="00993C3B" w:rsidRDefault="00FC12E2">
      <w:pPr>
        <w:pStyle w:val="Lijstalinea"/>
        <w:numPr>
          <w:ilvl w:val="0"/>
          <w:numId w:val="6"/>
        </w:numPr>
        <w:rPr>
          <w:szCs w:val="18"/>
        </w:rPr>
      </w:pPr>
      <w:r>
        <w:rPr>
          <w:szCs w:val="18"/>
        </w:rPr>
        <w:t>nog te verschijnen voorstel voor de non-ETS sectoren (de zogeheten ‘effort sharing’ richtlijn)</w:t>
      </w:r>
    </w:p>
    <w:p w:rsidR="00993C3B" w:rsidP="00993C3B" w:rsidRDefault="00993C3B">
      <w:pPr>
        <w:pStyle w:val="Lijstalinea"/>
        <w:numPr>
          <w:ilvl w:val="0"/>
          <w:numId w:val="6"/>
        </w:numPr>
        <w:rPr>
          <w:szCs w:val="18"/>
        </w:rPr>
      </w:pPr>
      <w:r>
        <w:rPr>
          <w:szCs w:val="18"/>
        </w:rPr>
        <w:t>nog te v</w:t>
      </w:r>
      <w:r w:rsidR="00CE4F66">
        <w:rPr>
          <w:szCs w:val="18"/>
        </w:rPr>
        <w:t>erschijnen voorstel voor e</w:t>
      </w:r>
      <w:r>
        <w:rPr>
          <w:szCs w:val="18"/>
        </w:rPr>
        <w:t xml:space="preserve">en gezamenlijke </w:t>
      </w:r>
      <w:r w:rsidR="009F1027">
        <w:rPr>
          <w:szCs w:val="18"/>
        </w:rPr>
        <w:t xml:space="preserve">EU </w:t>
      </w:r>
      <w:r>
        <w:rPr>
          <w:szCs w:val="18"/>
        </w:rPr>
        <w:t>transport</w:t>
      </w:r>
      <w:r w:rsidR="009F1027">
        <w:rPr>
          <w:szCs w:val="18"/>
        </w:rPr>
        <w:t xml:space="preserve">zone </w:t>
      </w:r>
    </w:p>
    <w:p w:rsidRPr="00FC12E2" w:rsidR="00FC12E2" w:rsidP="00993C3B" w:rsidRDefault="00FC12E2">
      <w:pPr>
        <w:pStyle w:val="Lijstalinea"/>
        <w:numPr>
          <w:ilvl w:val="0"/>
          <w:numId w:val="6"/>
        </w:numPr>
        <w:rPr>
          <w:szCs w:val="18"/>
        </w:rPr>
      </w:pPr>
      <w:r>
        <w:rPr>
          <w:szCs w:val="18"/>
        </w:rPr>
        <w:t xml:space="preserve">reeds gepubliceerde </w:t>
      </w:r>
      <w:r w:rsidRPr="00FC12E2">
        <w:rPr>
          <w:szCs w:val="18"/>
        </w:rPr>
        <w:t>v</w:t>
      </w:r>
      <w:r w:rsidR="00CE4F66">
        <w:rPr>
          <w:szCs w:val="18"/>
        </w:rPr>
        <w:t>oorstel voor herziening energie-etikettering</w:t>
      </w:r>
    </w:p>
    <w:p w:rsidR="00FC12E2" w:rsidP="00993C3B" w:rsidRDefault="00FC12E2">
      <w:pPr>
        <w:pStyle w:val="Lijstalinea"/>
        <w:numPr>
          <w:ilvl w:val="0"/>
          <w:numId w:val="6"/>
        </w:numPr>
        <w:rPr>
          <w:szCs w:val="18"/>
        </w:rPr>
      </w:pPr>
      <w:r>
        <w:rPr>
          <w:szCs w:val="18"/>
        </w:rPr>
        <w:t xml:space="preserve">nog te verschijnen voorstel voor governance </w:t>
      </w:r>
    </w:p>
    <w:p w:rsidRPr="00B3122B" w:rsidR="00FC12E2" w:rsidP="00993C3B" w:rsidRDefault="00FC12E2">
      <w:pPr>
        <w:pStyle w:val="Lijstalinea"/>
        <w:numPr>
          <w:ilvl w:val="0"/>
          <w:numId w:val="6"/>
        </w:numPr>
        <w:rPr>
          <w:b/>
          <w:szCs w:val="18"/>
        </w:rPr>
      </w:pPr>
      <w:r w:rsidRPr="00B3122B">
        <w:rPr>
          <w:szCs w:val="18"/>
        </w:rPr>
        <w:t xml:space="preserve">nog te verschijnen </w:t>
      </w:r>
      <w:r w:rsidRPr="00B3122B" w:rsidR="00B3122B">
        <w:rPr>
          <w:szCs w:val="18"/>
        </w:rPr>
        <w:t xml:space="preserve">gaspakket, waaronder een </w:t>
      </w:r>
      <w:r w:rsidRPr="00B3122B">
        <w:rPr>
          <w:szCs w:val="18"/>
        </w:rPr>
        <w:t xml:space="preserve">voorstel voor </w:t>
      </w:r>
      <w:r w:rsidRPr="00B3122B" w:rsidR="00B3122B">
        <w:rPr>
          <w:szCs w:val="18"/>
        </w:rPr>
        <w:t xml:space="preserve">de </w:t>
      </w:r>
      <w:r w:rsidRPr="00B3122B">
        <w:rPr>
          <w:szCs w:val="18"/>
        </w:rPr>
        <w:t xml:space="preserve">gezamenlijke aankoop van gas </w:t>
      </w:r>
    </w:p>
    <w:p w:rsidRPr="00F93698" w:rsidR="00C32FA9" w:rsidP="00993C3B" w:rsidRDefault="00B3122B">
      <w:pPr>
        <w:pStyle w:val="Lijstalinea"/>
        <w:numPr>
          <w:ilvl w:val="0"/>
          <w:numId w:val="6"/>
        </w:numPr>
        <w:spacing w:after="200"/>
        <w:rPr>
          <w:szCs w:val="17"/>
        </w:rPr>
      </w:pPr>
      <w:r>
        <w:rPr>
          <w:szCs w:val="18"/>
        </w:rPr>
        <w:t>n</w:t>
      </w:r>
      <w:r w:rsidRPr="00F93698" w:rsidR="00FC12E2">
        <w:rPr>
          <w:szCs w:val="18"/>
        </w:rPr>
        <w:t xml:space="preserve">og te verschijnen voorstel voor energievoorzieningszekerheid </w:t>
      </w:r>
    </w:p>
    <w:p w:rsidRPr="006B4CBF" w:rsidR="006B4CBF" w:rsidP="00993C3B" w:rsidRDefault="000A18CF">
      <w:pPr>
        <w:rPr>
          <w:szCs w:val="18"/>
        </w:rPr>
      </w:pPr>
      <w:r>
        <w:rPr>
          <w:szCs w:val="18"/>
        </w:rPr>
        <w:t xml:space="preserve">In onderstaand verslag treft u </w:t>
      </w:r>
      <w:r w:rsidR="006B4CBF">
        <w:rPr>
          <w:szCs w:val="18"/>
        </w:rPr>
        <w:t xml:space="preserve">de belangrijkste punten </w:t>
      </w:r>
      <w:r>
        <w:rPr>
          <w:szCs w:val="18"/>
        </w:rPr>
        <w:t>aan die tijdens de gesprekken in Brussel over deze onderwerpen aan de orde zijn gekomen.</w:t>
      </w:r>
    </w:p>
    <w:p w:rsidR="006B4CBF" w:rsidP="00993C3B" w:rsidRDefault="006B4CBF">
      <w:pPr>
        <w:rPr>
          <w:b/>
          <w:szCs w:val="18"/>
        </w:rPr>
      </w:pPr>
    </w:p>
    <w:p w:rsidRPr="00556437" w:rsidR="005D4AE8" w:rsidP="00993C3B" w:rsidRDefault="0020340A">
      <w:pPr>
        <w:spacing w:after="200"/>
        <w:rPr>
          <w:b/>
          <w:szCs w:val="17"/>
        </w:rPr>
      </w:pPr>
      <w:r w:rsidRPr="00556437">
        <w:rPr>
          <w:b/>
          <w:szCs w:val="17"/>
        </w:rPr>
        <w:t>Briefing Nederlandse Permanente Vertegenwoordi</w:t>
      </w:r>
      <w:r w:rsidRPr="00556437" w:rsidR="00CA14C0">
        <w:rPr>
          <w:b/>
          <w:szCs w:val="17"/>
        </w:rPr>
        <w:t xml:space="preserve">ging </w:t>
      </w:r>
      <w:r w:rsidRPr="00556437">
        <w:rPr>
          <w:b/>
          <w:szCs w:val="17"/>
        </w:rPr>
        <w:t xml:space="preserve">bij de EU </w:t>
      </w:r>
      <w:r w:rsidRPr="00556437" w:rsidR="00C32795">
        <w:rPr>
          <w:b/>
          <w:szCs w:val="17"/>
        </w:rPr>
        <w:t xml:space="preserve">  </w:t>
      </w:r>
    </w:p>
    <w:p w:rsidR="002D5755" w:rsidP="00993C3B" w:rsidRDefault="002D5755">
      <w:pPr>
        <w:spacing w:after="200"/>
        <w:rPr>
          <w:szCs w:val="17"/>
          <w:u w:val="single"/>
        </w:rPr>
      </w:pPr>
      <w:r>
        <w:rPr>
          <w:szCs w:val="17"/>
          <w:u w:val="single"/>
        </w:rPr>
        <w:t xml:space="preserve">Herziening </w:t>
      </w:r>
      <w:r w:rsidRPr="002D5755">
        <w:rPr>
          <w:szCs w:val="17"/>
          <w:u w:val="single"/>
        </w:rPr>
        <w:t>EU-ETS</w:t>
      </w:r>
      <w:r>
        <w:rPr>
          <w:szCs w:val="17"/>
          <w:u w:val="single"/>
        </w:rPr>
        <w:t xml:space="preserve"> (2021-2030)</w:t>
      </w:r>
    </w:p>
    <w:p w:rsidR="005904B2" w:rsidP="00993C3B" w:rsidRDefault="005904B2">
      <w:pPr>
        <w:spacing w:after="200"/>
        <w:rPr>
          <w:szCs w:val="17"/>
        </w:rPr>
      </w:pPr>
      <w:r>
        <w:rPr>
          <w:szCs w:val="17"/>
        </w:rPr>
        <w:t xml:space="preserve">Op 15 juli jl. bracht de Europese Commissie haar voorstel uit voor </w:t>
      </w:r>
      <w:r w:rsidRPr="00DB5D54">
        <w:rPr>
          <w:szCs w:val="17"/>
        </w:rPr>
        <w:t xml:space="preserve">de herziening van het </w:t>
      </w:r>
      <w:r>
        <w:rPr>
          <w:szCs w:val="17"/>
        </w:rPr>
        <w:t xml:space="preserve">EU-ETS </w:t>
      </w:r>
      <w:r w:rsidRPr="00DB5D54">
        <w:rPr>
          <w:szCs w:val="17"/>
        </w:rPr>
        <w:t>voor de periode 2021-2030</w:t>
      </w:r>
      <w:r>
        <w:rPr>
          <w:szCs w:val="17"/>
        </w:rPr>
        <w:t xml:space="preserve">. Kernelementen zijn:  </w:t>
      </w:r>
    </w:p>
    <w:p w:rsidRPr="005904B2" w:rsidR="005904B2" w:rsidP="00993C3B" w:rsidRDefault="005904B2">
      <w:pPr>
        <w:pStyle w:val="Lijstalinea"/>
        <w:numPr>
          <w:ilvl w:val="0"/>
          <w:numId w:val="4"/>
        </w:numPr>
        <w:spacing w:after="200"/>
        <w:rPr>
          <w:szCs w:val="17"/>
          <w:u w:val="single"/>
        </w:rPr>
      </w:pPr>
      <w:r w:rsidRPr="005904B2">
        <w:rPr>
          <w:szCs w:val="17"/>
        </w:rPr>
        <w:t xml:space="preserve">Jaarlijkse </w:t>
      </w:r>
      <w:r w:rsidRPr="005904B2">
        <w:rPr>
          <w:b/>
          <w:szCs w:val="17"/>
        </w:rPr>
        <w:t>verlaging van de emissieplafonds</w:t>
      </w:r>
      <w:r w:rsidRPr="005904B2">
        <w:rPr>
          <w:szCs w:val="17"/>
        </w:rPr>
        <w:t xml:space="preserve"> (‘</w:t>
      </w:r>
      <w:r w:rsidRPr="005904B2">
        <w:rPr>
          <w:i/>
          <w:szCs w:val="17"/>
        </w:rPr>
        <w:t>caps</w:t>
      </w:r>
      <w:r w:rsidRPr="005904B2">
        <w:rPr>
          <w:szCs w:val="17"/>
        </w:rPr>
        <w:t>’) voor de sectoren binnen het EU-ETS met 2,2%, zodat deze sectoren in 2030 samen 43% minder uitstoten (circa 556 miljoen ton CO</w:t>
      </w:r>
      <w:r w:rsidRPr="005904B2">
        <w:rPr>
          <w:szCs w:val="16"/>
          <w:vertAlign w:val="subscript"/>
        </w:rPr>
        <w:t>2</w:t>
      </w:r>
      <w:r w:rsidRPr="005904B2">
        <w:rPr>
          <w:szCs w:val="17"/>
        </w:rPr>
        <w:t>-equivalent) ten opzichte van het jaar 2005 (de eerste, proefperiode van het EU-ETS</w:t>
      </w:r>
      <w:r>
        <w:rPr>
          <w:szCs w:val="17"/>
        </w:rPr>
        <w:t>)</w:t>
      </w:r>
      <w:r w:rsidRPr="005904B2">
        <w:rPr>
          <w:szCs w:val="17"/>
        </w:rPr>
        <w:t xml:space="preserve"> </w:t>
      </w:r>
    </w:p>
    <w:p w:rsidR="005904B2" w:rsidP="00993C3B" w:rsidRDefault="005904B2">
      <w:pPr>
        <w:pStyle w:val="Lijstalinea"/>
        <w:numPr>
          <w:ilvl w:val="0"/>
          <w:numId w:val="4"/>
        </w:numPr>
        <w:spacing w:after="200"/>
        <w:rPr>
          <w:szCs w:val="17"/>
        </w:rPr>
      </w:pPr>
      <w:r w:rsidRPr="005904B2">
        <w:rPr>
          <w:szCs w:val="17"/>
        </w:rPr>
        <w:t xml:space="preserve">Aangepaste EU-regels voor het </w:t>
      </w:r>
      <w:r w:rsidRPr="005904B2">
        <w:rPr>
          <w:b/>
          <w:szCs w:val="17"/>
        </w:rPr>
        <w:t>gratis verstrekken van emissierechten</w:t>
      </w:r>
      <w:r w:rsidRPr="005904B2">
        <w:rPr>
          <w:szCs w:val="17"/>
        </w:rPr>
        <w:t xml:space="preserve"> (‘</w:t>
      </w:r>
      <w:r w:rsidRPr="005904B2">
        <w:rPr>
          <w:i/>
          <w:szCs w:val="17"/>
        </w:rPr>
        <w:t>free allowances’</w:t>
      </w:r>
      <w:r>
        <w:rPr>
          <w:szCs w:val="17"/>
        </w:rPr>
        <w:t>)</w:t>
      </w:r>
    </w:p>
    <w:p w:rsidRPr="005904B2" w:rsidR="005904B2" w:rsidP="00993C3B" w:rsidRDefault="005904B2">
      <w:pPr>
        <w:pStyle w:val="Lijstalinea"/>
        <w:numPr>
          <w:ilvl w:val="0"/>
          <w:numId w:val="4"/>
        </w:numPr>
        <w:spacing w:after="200"/>
        <w:rPr>
          <w:szCs w:val="17"/>
        </w:rPr>
      </w:pPr>
      <w:r w:rsidRPr="005904B2">
        <w:rPr>
          <w:szCs w:val="17"/>
        </w:rPr>
        <w:t>Nieuwe</w:t>
      </w:r>
      <w:r w:rsidRPr="005904B2">
        <w:rPr>
          <w:b/>
          <w:szCs w:val="17"/>
        </w:rPr>
        <w:t xml:space="preserve"> financieringsinstrumenten </w:t>
      </w:r>
      <w:r w:rsidRPr="00A55583">
        <w:rPr>
          <w:szCs w:val="17"/>
        </w:rPr>
        <w:t>voor innovatie en modernisering</w:t>
      </w:r>
    </w:p>
    <w:p w:rsidR="005904B2" w:rsidP="00993C3B" w:rsidRDefault="005904B2">
      <w:pPr>
        <w:spacing w:after="200"/>
        <w:rPr>
          <w:szCs w:val="17"/>
          <w:u w:val="single"/>
        </w:rPr>
      </w:pPr>
      <w:r>
        <w:t xml:space="preserve">Voor een uitgebreide samenvatting van het voorstel, zie de </w:t>
      </w:r>
      <w:hyperlink w:history="1" r:id="rId11">
        <w:r w:rsidRPr="00AD49F7">
          <w:rPr>
            <w:rStyle w:val="Hyperlink"/>
          </w:rPr>
          <w:t xml:space="preserve">notitie van co-rapporteur Dijkstra mede namens het Lid Van </w:t>
        </w:r>
        <w:r w:rsidRPr="00AD49F7" w:rsidR="0035484F">
          <w:rPr>
            <w:rStyle w:val="Hyperlink"/>
          </w:rPr>
          <w:t xml:space="preserve">Veldhoven d.d. </w:t>
        </w:r>
        <w:r w:rsidRPr="00AD49F7">
          <w:rPr>
            <w:rStyle w:val="Hyperlink"/>
          </w:rPr>
          <w:t>1 september 2015.</w:t>
        </w:r>
      </w:hyperlink>
    </w:p>
    <w:p w:rsidRPr="00C32FA9" w:rsidR="005904B2" w:rsidP="00993C3B" w:rsidRDefault="005904B2">
      <w:pPr>
        <w:spacing w:after="200"/>
        <w:rPr>
          <w:szCs w:val="17"/>
        </w:rPr>
      </w:pPr>
      <w:r w:rsidRPr="002B1039">
        <w:rPr>
          <w:szCs w:val="17"/>
        </w:rPr>
        <w:t xml:space="preserve">Het </w:t>
      </w:r>
      <w:hyperlink w:history="1" r:id="rId12">
        <w:r w:rsidRPr="00F06D78">
          <w:rPr>
            <w:rStyle w:val="Hyperlink"/>
            <w:szCs w:val="17"/>
          </w:rPr>
          <w:t>BNC-fiche</w:t>
        </w:r>
      </w:hyperlink>
      <w:r w:rsidRPr="00F06D78">
        <w:rPr>
          <w:szCs w:val="17"/>
        </w:rPr>
        <w:t xml:space="preserve"> met de eerste appreciatie van het kabinet</w:t>
      </w:r>
      <w:r w:rsidR="00A55583">
        <w:rPr>
          <w:szCs w:val="17"/>
        </w:rPr>
        <w:t xml:space="preserve"> </w:t>
      </w:r>
      <w:r>
        <w:rPr>
          <w:szCs w:val="17"/>
        </w:rPr>
        <w:t>van het EU-voorstel is op 18 september jl. door de Kamer ontvangen en staat geagendeerd voor het AO Milieuraad d.d. 15 oktober 2015.</w:t>
      </w:r>
    </w:p>
    <w:p w:rsidRPr="00C76E4B" w:rsidR="005D4AE8" w:rsidP="00993C3B" w:rsidRDefault="00D16B30">
      <w:pPr>
        <w:spacing w:after="200"/>
        <w:rPr>
          <w:szCs w:val="17"/>
        </w:rPr>
      </w:pPr>
      <w:r>
        <w:rPr>
          <w:szCs w:val="17"/>
        </w:rPr>
        <w:t xml:space="preserve">De </w:t>
      </w:r>
      <w:r w:rsidR="00C32795">
        <w:rPr>
          <w:szCs w:val="17"/>
        </w:rPr>
        <w:t xml:space="preserve">briefing op de Nederlandse Permanente Vertegenwoordiging bij de EU </w:t>
      </w:r>
      <w:r>
        <w:rPr>
          <w:szCs w:val="17"/>
        </w:rPr>
        <w:t xml:space="preserve">ging onder andere in op het verwachte tijdpad </w:t>
      </w:r>
      <w:r w:rsidR="00C32795">
        <w:rPr>
          <w:szCs w:val="17"/>
        </w:rPr>
        <w:t xml:space="preserve">van de behandeling in de Milieuraad van het </w:t>
      </w:r>
      <w:r w:rsidR="00513F96">
        <w:rPr>
          <w:szCs w:val="17"/>
        </w:rPr>
        <w:t xml:space="preserve">betreffende </w:t>
      </w:r>
      <w:r w:rsidR="00A81317">
        <w:rPr>
          <w:szCs w:val="17"/>
        </w:rPr>
        <w:t>voorstel</w:t>
      </w:r>
      <w:r w:rsidR="00513F96">
        <w:rPr>
          <w:szCs w:val="17"/>
        </w:rPr>
        <w:t xml:space="preserve">. </w:t>
      </w:r>
      <w:r w:rsidR="00FD6BEA">
        <w:rPr>
          <w:szCs w:val="17"/>
        </w:rPr>
        <w:t>Onder huidig Luxemburgs EU-Voorzitterschap zijn de eerste bes</w:t>
      </w:r>
      <w:r w:rsidR="00C32795">
        <w:rPr>
          <w:szCs w:val="17"/>
        </w:rPr>
        <w:t xml:space="preserve">prekingen </w:t>
      </w:r>
      <w:r w:rsidR="00FD6BEA">
        <w:rPr>
          <w:szCs w:val="17"/>
        </w:rPr>
        <w:t xml:space="preserve">van start gegaan, die vooral gericht zijn op de verduidelijking van het </w:t>
      </w:r>
      <w:r w:rsidR="00C32795">
        <w:rPr>
          <w:szCs w:val="17"/>
        </w:rPr>
        <w:t>voorstel. In de Mil</w:t>
      </w:r>
      <w:r w:rsidR="005D4AE8">
        <w:rPr>
          <w:szCs w:val="17"/>
        </w:rPr>
        <w:t xml:space="preserve">ieuraad </w:t>
      </w:r>
      <w:r w:rsidR="00C32795">
        <w:rPr>
          <w:szCs w:val="17"/>
        </w:rPr>
        <w:t xml:space="preserve">van 26 oktober a.s. staat een </w:t>
      </w:r>
      <w:r w:rsidR="005D4AE8">
        <w:rPr>
          <w:szCs w:val="17"/>
        </w:rPr>
        <w:t>oriënterend debat</w:t>
      </w:r>
      <w:r w:rsidR="00C32795">
        <w:rPr>
          <w:szCs w:val="17"/>
        </w:rPr>
        <w:t xml:space="preserve"> geagendeerd. </w:t>
      </w:r>
      <w:r w:rsidR="0035484F">
        <w:rPr>
          <w:szCs w:val="17"/>
        </w:rPr>
        <w:t xml:space="preserve">Onder Nederlands Voorzitterschap worden vanaf 1 januari 2016 de besprekingen in de Raadswerkgroep Milieu voortgezet. </w:t>
      </w:r>
      <w:r w:rsidR="00C32795">
        <w:rPr>
          <w:szCs w:val="17"/>
        </w:rPr>
        <w:t xml:space="preserve">Mogelijkerwijs vindt in de Milieuraad van 20 </w:t>
      </w:r>
      <w:r w:rsidR="005D4AE8">
        <w:rPr>
          <w:szCs w:val="17"/>
        </w:rPr>
        <w:t>juni 2016</w:t>
      </w:r>
      <w:r w:rsidR="00C32795">
        <w:rPr>
          <w:szCs w:val="17"/>
        </w:rPr>
        <w:t xml:space="preserve"> een </w:t>
      </w:r>
      <w:r w:rsidR="005D4AE8">
        <w:rPr>
          <w:szCs w:val="17"/>
        </w:rPr>
        <w:t xml:space="preserve">beleidsdebat </w:t>
      </w:r>
      <w:r w:rsidR="00C32795">
        <w:rPr>
          <w:szCs w:val="17"/>
        </w:rPr>
        <w:t xml:space="preserve">plaats. </w:t>
      </w:r>
      <w:r w:rsidR="0035484F">
        <w:rPr>
          <w:szCs w:val="17"/>
        </w:rPr>
        <w:t xml:space="preserve">De  intentie was om dat in samenhang te doen met het nog uit te komen voorstel voor </w:t>
      </w:r>
      <w:r w:rsidRPr="00C76E4B" w:rsidR="0035484F">
        <w:rPr>
          <w:szCs w:val="17"/>
        </w:rPr>
        <w:t xml:space="preserve">emissiereducties voor </w:t>
      </w:r>
      <w:r w:rsidR="0035484F">
        <w:rPr>
          <w:szCs w:val="17"/>
        </w:rPr>
        <w:t xml:space="preserve">de </w:t>
      </w:r>
      <w:r w:rsidRPr="00C76E4B" w:rsidR="0035484F">
        <w:rPr>
          <w:szCs w:val="17"/>
        </w:rPr>
        <w:t>non-EU ETS sectoren</w:t>
      </w:r>
      <w:r w:rsidR="0035484F">
        <w:rPr>
          <w:szCs w:val="17"/>
        </w:rPr>
        <w:t xml:space="preserve"> en het voorstel voor landgebruik (LULUCF). </w:t>
      </w:r>
      <w:r w:rsidR="002D5755">
        <w:rPr>
          <w:szCs w:val="17"/>
        </w:rPr>
        <w:t xml:space="preserve">Deze </w:t>
      </w:r>
      <w:r w:rsidR="003F6E47">
        <w:rPr>
          <w:szCs w:val="17"/>
        </w:rPr>
        <w:t>voorstellen waren e</w:t>
      </w:r>
      <w:r w:rsidR="00C32795">
        <w:rPr>
          <w:szCs w:val="17"/>
        </w:rPr>
        <w:t xml:space="preserve">erder </w:t>
      </w:r>
      <w:r w:rsidR="00711B91">
        <w:rPr>
          <w:szCs w:val="17"/>
        </w:rPr>
        <w:t xml:space="preserve">door de Europese Commissie voor begin 2016 </w:t>
      </w:r>
      <w:r w:rsidR="00C32795">
        <w:rPr>
          <w:szCs w:val="17"/>
        </w:rPr>
        <w:t>aangekondigd</w:t>
      </w:r>
      <w:r w:rsidR="00711B91">
        <w:rPr>
          <w:szCs w:val="17"/>
        </w:rPr>
        <w:t xml:space="preserve">. </w:t>
      </w:r>
      <w:r w:rsidR="0035484F">
        <w:rPr>
          <w:szCs w:val="17"/>
        </w:rPr>
        <w:t>Inmiddels is echter duidelijk dat deze waarschijnlijk in het tweede semester van 2016 zullen verschijnen en dus niet op tijd komen voor behandeling onder Nederlands EU-</w:t>
      </w:r>
      <w:r w:rsidR="0035484F">
        <w:rPr>
          <w:szCs w:val="17"/>
        </w:rPr>
        <w:lastRenderedPageBreak/>
        <w:t xml:space="preserve">Voorzitterschap. </w:t>
      </w:r>
      <w:r w:rsidR="002D5755">
        <w:rPr>
          <w:szCs w:val="17"/>
        </w:rPr>
        <w:t>De gedachte achter de koppeling van de diverse dossiers is dat da</w:t>
      </w:r>
      <w:r w:rsidR="002343A5">
        <w:rPr>
          <w:szCs w:val="17"/>
        </w:rPr>
        <w:t xml:space="preserve">armee meer onderhandelingsruimte ontstaat voor </w:t>
      </w:r>
      <w:r w:rsidR="002D5755">
        <w:rPr>
          <w:szCs w:val="17"/>
        </w:rPr>
        <w:t xml:space="preserve">het vinden van een compromis met de groep </w:t>
      </w:r>
      <w:r w:rsidR="00503180">
        <w:rPr>
          <w:szCs w:val="17"/>
        </w:rPr>
        <w:t xml:space="preserve">Oost-Europese lidstaten </w:t>
      </w:r>
      <w:r w:rsidR="002D5755">
        <w:rPr>
          <w:szCs w:val="17"/>
        </w:rPr>
        <w:t xml:space="preserve">die onder leiding van Polen een stevige positie inneemt ten aanzien van de herziening van het EU-ETS. Overigens bestaan tussen de landen </w:t>
      </w:r>
      <w:r w:rsidR="00503180">
        <w:rPr>
          <w:szCs w:val="17"/>
        </w:rPr>
        <w:t>in d</w:t>
      </w:r>
      <w:r w:rsidR="002D5755">
        <w:rPr>
          <w:szCs w:val="17"/>
        </w:rPr>
        <w:t xml:space="preserve">eze groep wel degelijk verschillen. Zo is de </w:t>
      </w:r>
      <w:r w:rsidR="0035484F">
        <w:rPr>
          <w:szCs w:val="17"/>
        </w:rPr>
        <w:t>elektriciteitssector</w:t>
      </w:r>
      <w:r w:rsidR="002D5755">
        <w:rPr>
          <w:szCs w:val="17"/>
        </w:rPr>
        <w:t xml:space="preserve"> in landen als </w:t>
      </w:r>
      <w:r w:rsidR="0035484F">
        <w:rPr>
          <w:szCs w:val="17"/>
        </w:rPr>
        <w:t>Tsjechië</w:t>
      </w:r>
      <w:r w:rsidR="00D4730A">
        <w:rPr>
          <w:szCs w:val="17"/>
        </w:rPr>
        <w:t xml:space="preserve"> en Slowakije</w:t>
      </w:r>
      <w:r w:rsidR="002D5755">
        <w:rPr>
          <w:szCs w:val="17"/>
        </w:rPr>
        <w:t xml:space="preserve"> vrijwel CO</w:t>
      </w:r>
      <w:r w:rsidRPr="00F34EF1" w:rsidR="002D5755">
        <w:rPr>
          <w:sz w:val="16"/>
          <w:szCs w:val="16"/>
        </w:rPr>
        <w:t xml:space="preserve">2 </w:t>
      </w:r>
      <w:r w:rsidR="002D5755">
        <w:rPr>
          <w:szCs w:val="17"/>
        </w:rPr>
        <w:t xml:space="preserve">vrij, terwijl die van Polen nog voor 90% afhankelijk is van kolen. </w:t>
      </w:r>
    </w:p>
    <w:p w:rsidR="0020340A" w:rsidP="00993C3B" w:rsidRDefault="007A4CFA">
      <w:pPr>
        <w:spacing w:after="200"/>
        <w:rPr>
          <w:szCs w:val="17"/>
        </w:rPr>
      </w:pPr>
      <w:r>
        <w:rPr>
          <w:szCs w:val="17"/>
        </w:rPr>
        <w:t>In de besprekingen o</w:t>
      </w:r>
      <w:r w:rsidR="00F92709">
        <w:rPr>
          <w:szCs w:val="17"/>
        </w:rPr>
        <w:t xml:space="preserve">ver het </w:t>
      </w:r>
      <w:r>
        <w:rPr>
          <w:szCs w:val="17"/>
        </w:rPr>
        <w:t xml:space="preserve">EU-ETS </w:t>
      </w:r>
      <w:r w:rsidR="00F92709">
        <w:rPr>
          <w:szCs w:val="17"/>
        </w:rPr>
        <w:t>voorstel z</w:t>
      </w:r>
      <w:r>
        <w:rPr>
          <w:szCs w:val="17"/>
        </w:rPr>
        <w:t xml:space="preserve">ullen de volgende discussiepunten </w:t>
      </w:r>
      <w:r w:rsidR="00DD7367">
        <w:rPr>
          <w:szCs w:val="17"/>
        </w:rPr>
        <w:t xml:space="preserve">centraal staan: </w:t>
      </w:r>
      <w:r>
        <w:rPr>
          <w:szCs w:val="17"/>
        </w:rPr>
        <w:t xml:space="preserve"> </w:t>
      </w:r>
    </w:p>
    <w:p w:rsidRPr="0020340A" w:rsidR="00F92709" w:rsidP="008C61D8" w:rsidRDefault="00F92709">
      <w:pPr>
        <w:pStyle w:val="Lijstalinea"/>
        <w:numPr>
          <w:ilvl w:val="0"/>
          <w:numId w:val="8"/>
        </w:numPr>
        <w:spacing w:after="200"/>
        <w:rPr>
          <w:szCs w:val="17"/>
        </w:rPr>
      </w:pPr>
      <w:r w:rsidRPr="0020340A">
        <w:rPr>
          <w:szCs w:val="17"/>
        </w:rPr>
        <w:t>De verhouding tussen te veilen rechten (57%) en gratis te verstrekken rechten (43%)</w:t>
      </w:r>
      <w:r w:rsidR="001922D1">
        <w:rPr>
          <w:szCs w:val="17"/>
        </w:rPr>
        <w:t>: sommige industriële sectoren pleiten voor een groter aandeel gratis te verstrekken rechten</w:t>
      </w:r>
      <w:r w:rsidR="00687C77">
        <w:rPr>
          <w:szCs w:val="17"/>
        </w:rPr>
        <w:t xml:space="preserve">; </w:t>
      </w:r>
      <w:r w:rsidR="00105C0C">
        <w:rPr>
          <w:szCs w:val="17"/>
        </w:rPr>
        <w:t xml:space="preserve"> </w:t>
      </w:r>
    </w:p>
    <w:p w:rsidR="00F92709" w:rsidP="008C61D8" w:rsidRDefault="0035484F">
      <w:pPr>
        <w:pStyle w:val="Lijstalinea"/>
        <w:numPr>
          <w:ilvl w:val="0"/>
          <w:numId w:val="8"/>
        </w:numPr>
        <w:spacing w:after="200"/>
        <w:rPr>
          <w:szCs w:val="17"/>
        </w:rPr>
      </w:pPr>
      <w:r>
        <w:rPr>
          <w:szCs w:val="17"/>
        </w:rPr>
        <w:t xml:space="preserve">De lijst van sectoren die voor gratis toewijzing (allocatie) in aanmerking komen vanwege het risico van </w:t>
      </w:r>
      <w:r w:rsidRPr="003126D4">
        <w:rPr>
          <w:i/>
          <w:szCs w:val="17"/>
        </w:rPr>
        <w:t>carbon leakage</w:t>
      </w:r>
      <w:r>
        <w:rPr>
          <w:szCs w:val="17"/>
        </w:rPr>
        <w:t xml:space="preserve">: in 2019 wordt deze nieuwe lijst vastgesteld. </w:t>
      </w:r>
      <w:r w:rsidR="00687C77">
        <w:rPr>
          <w:szCs w:val="17"/>
        </w:rPr>
        <w:t xml:space="preserve"> </w:t>
      </w:r>
      <w:r w:rsidR="005359AD">
        <w:rPr>
          <w:szCs w:val="17"/>
        </w:rPr>
        <w:t xml:space="preserve">Het voorstel van de Europese Commissie is om </w:t>
      </w:r>
      <w:r w:rsidR="00687C77">
        <w:rPr>
          <w:szCs w:val="17"/>
        </w:rPr>
        <w:t xml:space="preserve">de carbon leakage lijst, waar momenteel meer dan </w:t>
      </w:r>
      <w:r w:rsidR="00105C0C">
        <w:rPr>
          <w:szCs w:val="17"/>
        </w:rPr>
        <w:t xml:space="preserve">150 </w:t>
      </w:r>
      <w:r w:rsidR="00280C0D">
        <w:rPr>
          <w:szCs w:val="17"/>
        </w:rPr>
        <w:t>sectoren</w:t>
      </w:r>
      <w:r w:rsidR="00687C77">
        <w:rPr>
          <w:szCs w:val="17"/>
        </w:rPr>
        <w:t xml:space="preserve"> op staan, in te korten naar </w:t>
      </w:r>
      <w:r w:rsidR="00105C0C">
        <w:rPr>
          <w:szCs w:val="17"/>
        </w:rPr>
        <w:t>circa 50</w:t>
      </w:r>
      <w:r w:rsidR="00687C77">
        <w:rPr>
          <w:szCs w:val="17"/>
        </w:rPr>
        <w:t xml:space="preserve"> s</w:t>
      </w:r>
      <w:r w:rsidR="00105C0C">
        <w:rPr>
          <w:szCs w:val="17"/>
        </w:rPr>
        <w:t>ectoren</w:t>
      </w:r>
      <w:r w:rsidR="00687C77">
        <w:rPr>
          <w:szCs w:val="17"/>
        </w:rPr>
        <w:t xml:space="preserve">. Sectoren op de nieuwe </w:t>
      </w:r>
      <w:r w:rsidR="00105C0C">
        <w:rPr>
          <w:szCs w:val="17"/>
        </w:rPr>
        <w:t>lijst komen in aanmerking voor 100% gratis rechten (</w:t>
      </w:r>
      <w:r w:rsidRPr="00105C0C" w:rsidR="00105C0C">
        <w:rPr>
          <w:i/>
          <w:szCs w:val="17"/>
        </w:rPr>
        <w:t>best performers</w:t>
      </w:r>
      <w:r w:rsidR="00105C0C">
        <w:rPr>
          <w:szCs w:val="17"/>
        </w:rPr>
        <w:t xml:space="preserve">). Sectoren die niet op de lijst komen, krijgen </w:t>
      </w:r>
      <w:r w:rsidR="00280C0D">
        <w:rPr>
          <w:szCs w:val="17"/>
        </w:rPr>
        <w:t>30%</w:t>
      </w:r>
      <w:r w:rsidR="00EF6A66">
        <w:rPr>
          <w:szCs w:val="17"/>
        </w:rPr>
        <w:t xml:space="preserve"> </w:t>
      </w:r>
      <w:r w:rsidR="00105C0C">
        <w:rPr>
          <w:szCs w:val="17"/>
        </w:rPr>
        <w:t xml:space="preserve">van de benodigde rechten gratis. </w:t>
      </w:r>
      <w:r w:rsidR="00C956DB">
        <w:rPr>
          <w:szCs w:val="18"/>
        </w:rPr>
        <w:t xml:space="preserve">Een nieuwe formule gebaseerd op de koolstofintensiteit en handelsintensiteit van de bedrijfssector bepaalt of een sector 30% of 100% van de benchmarkwaarde aan emissierechten ontvangt. </w:t>
      </w:r>
      <w:r w:rsidR="00C956DB">
        <w:rPr>
          <w:szCs w:val="17"/>
        </w:rPr>
        <w:t xml:space="preserve"> </w:t>
      </w:r>
      <w:r w:rsidR="00B555FE">
        <w:rPr>
          <w:szCs w:val="17"/>
        </w:rPr>
        <w:t xml:space="preserve">Andere </w:t>
      </w:r>
      <w:r w:rsidR="005359AD">
        <w:rPr>
          <w:szCs w:val="17"/>
        </w:rPr>
        <w:t xml:space="preserve">tussenpercentages </w:t>
      </w:r>
      <w:r w:rsidR="000A21BD">
        <w:rPr>
          <w:szCs w:val="17"/>
        </w:rPr>
        <w:t xml:space="preserve">zijn uit het voorstel </w:t>
      </w:r>
      <w:r w:rsidR="00B555FE">
        <w:rPr>
          <w:szCs w:val="17"/>
        </w:rPr>
        <w:t xml:space="preserve">verdwenen (naar verluidt op aandringen van </w:t>
      </w:r>
      <w:r>
        <w:rPr>
          <w:szCs w:val="17"/>
        </w:rPr>
        <w:t>vooral</w:t>
      </w:r>
      <w:r w:rsidR="00B555FE">
        <w:rPr>
          <w:szCs w:val="17"/>
        </w:rPr>
        <w:t xml:space="preserve"> de cementindustrie, een van de grootste emitterende </w:t>
      </w:r>
      <w:r>
        <w:rPr>
          <w:szCs w:val="17"/>
        </w:rPr>
        <w:t>industrieën)</w:t>
      </w:r>
      <w:r w:rsidR="005E6DB7">
        <w:rPr>
          <w:szCs w:val="17"/>
        </w:rPr>
        <w:t>.</w:t>
      </w:r>
      <w:r w:rsidR="005E6DB7">
        <w:rPr>
          <w:szCs w:val="18"/>
        </w:rPr>
        <w:t>;</w:t>
      </w:r>
    </w:p>
    <w:p w:rsidRPr="00654256" w:rsidR="00C136B8" w:rsidP="008C61D8" w:rsidRDefault="0047698B">
      <w:pPr>
        <w:pStyle w:val="Lijstalinea"/>
        <w:numPr>
          <w:ilvl w:val="0"/>
          <w:numId w:val="8"/>
        </w:numPr>
        <w:spacing w:after="200"/>
        <w:rPr>
          <w:szCs w:val="17"/>
        </w:rPr>
      </w:pPr>
      <w:r w:rsidRPr="00654256">
        <w:rPr>
          <w:szCs w:val="17"/>
        </w:rPr>
        <w:t>Benchmark</w:t>
      </w:r>
      <w:r w:rsidRPr="00654256" w:rsidR="007B48EC">
        <w:rPr>
          <w:szCs w:val="17"/>
        </w:rPr>
        <w:t xml:space="preserve"> </w:t>
      </w:r>
      <w:r w:rsidRPr="00654256">
        <w:rPr>
          <w:szCs w:val="17"/>
        </w:rPr>
        <w:t xml:space="preserve">op basis waarvan bedrijven </w:t>
      </w:r>
      <w:r w:rsidRPr="00654256" w:rsidR="007B48EC">
        <w:rPr>
          <w:szCs w:val="17"/>
        </w:rPr>
        <w:t xml:space="preserve">100% </w:t>
      </w:r>
      <w:r w:rsidRPr="00654256">
        <w:rPr>
          <w:szCs w:val="17"/>
        </w:rPr>
        <w:t xml:space="preserve">gratis rechten krijgen toegewezen: </w:t>
      </w:r>
      <w:r w:rsidRPr="00654256" w:rsidR="00D17E31">
        <w:rPr>
          <w:szCs w:val="17"/>
        </w:rPr>
        <w:t xml:space="preserve">voor het vaststellen van die benchmark </w:t>
      </w:r>
      <w:r w:rsidR="005268E0">
        <w:rPr>
          <w:szCs w:val="17"/>
        </w:rPr>
        <w:t xml:space="preserve">voor iedere </w:t>
      </w:r>
      <w:r w:rsidRPr="00654256" w:rsidR="005D3F7C">
        <w:rPr>
          <w:szCs w:val="17"/>
        </w:rPr>
        <w:t>sector wor</w:t>
      </w:r>
      <w:r w:rsidRPr="00654256" w:rsidR="00D17E31">
        <w:rPr>
          <w:szCs w:val="17"/>
        </w:rPr>
        <w:t xml:space="preserve">dt gekeken naar de best beschikbare technologie en de prestaties van de 10% best presterende installaties in die </w:t>
      </w:r>
      <w:r w:rsidRPr="00654256" w:rsidR="0035484F">
        <w:rPr>
          <w:szCs w:val="17"/>
        </w:rPr>
        <w:t>sector.</w:t>
      </w:r>
      <w:r w:rsidRPr="00654256" w:rsidR="00654256">
        <w:rPr>
          <w:szCs w:val="17"/>
        </w:rPr>
        <w:t xml:space="preserve"> In het voorstel van de commissie wordt een jaarlijkse aanscherping van </w:t>
      </w:r>
      <w:r w:rsidR="005268E0">
        <w:rPr>
          <w:szCs w:val="17"/>
        </w:rPr>
        <w:t xml:space="preserve">de benchmark van </w:t>
      </w:r>
      <w:r w:rsidRPr="00654256" w:rsidR="00654256">
        <w:rPr>
          <w:szCs w:val="17"/>
        </w:rPr>
        <w:t>ongeveer 1% voorzien (</w:t>
      </w:r>
      <w:r w:rsidR="007A2142">
        <w:rPr>
          <w:szCs w:val="17"/>
        </w:rPr>
        <w:t>0,5%, 1,0% of 1,5%)</w:t>
      </w:r>
      <w:r w:rsidR="00BD0ACA">
        <w:rPr>
          <w:szCs w:val="17"/>
        </w:rPr>
        <w:t>. Een groot deel van het bedrijfsleven heeft moeite met zo’n automatische jaarlijkse aanscherping en vraagt zich af of deze (technologisch) haalbaar is</w:t>
      </w:r>
      <w:r w:rsidR="007A2142">
        <w:rPr>
          <w:szCs w:val="17"/>
        </w:rPr>
        <w:t xml:space="preserve">; </w:t>
      </w:r>
      <w:r w:rsidRPr="00654256" w:rsidR="0035484F">
        <w:rPr>
          <w:szCs w:val="17"/>
        </w:rPr>
        <w:t xml:space="preserve"> </w:t>
      </w:r>
    </w:p>
    <w:p w:rsidR="0047698B" w:rsidP="008C61D8" w:rsidRDefault="00C136B8">
      <w:pPr>
        <w:pStyle w:val="Lijstalinea"/>
        <w:numPr>
          <w:ilvl w:val="0"/>
          <w:numId w:val="8"/>
        </w:numPr>
        <w:spacing w:after="200"/>
        <w:rPr>
          <w:szCs w:val="17"/>
        </w:rPr>
      </w:pPr>
      <w:r w:rsidRPr="00654256">
        <w:rPr>
          <w:szCs w:val="17"/>
        </w:rPr>
        <w:t>Toewijzing van</w:t>
      </w:r>
      <w:r>
        <w:rPr>
          <w:szCs w:val="17"/>
        </w:rPr>
        <w:t xml:space="preserve"> rechten: </w:t>
      </w:r>
      <w:r w:rsidR="0047698B">
        <w:rPr>
          <w:szCs w:val="17"/>
        </w:rPr>
        <w:t xml:space="preserve">Nederland zet in op dynamische allocatie waarbij </w:t>
      </w:r>
      <w:r>
        <w:rPr>
          <w:szCs w:val="17"/>
        </w:rPr>
        <w:t xml:space="preserve">toewijzing van gratis rechten </w:t>
      </w:r>
      <w:r w:rsidR="0047698B">
        <w:rPr>
          <w:szCs w:val="17"/>
        </w:rPr>
        <w:t xml:space="preserve">zo veel mogelijk </w:t>
      </w:r>
      <w:r w:rsidR="001B090D">
        <w:rPr>
          <w:szCs w:val="17"/>
        </w:rPr>
        <w:t xml:space="preserve">op basis van </w:t>
      </w:r>
      <w:r w:rsidR="0047698B">
        <w:rPr>
          <w:szCs w:val="17"/>
        </w:rPr>
        <w:t xml:space="preserve">actuele productiecijfers </w:t>
      </w:r>
      <w:r w:rsidR="001B090D">
        <w:rPr>
          <w:szCs w:val="17"/>
        </w:rPr>
        <w:t xml:space="preserve">gebeurt </w:t>
      </w:r>
      <w:r w:rsidR="00930507">
        <w:rPr>
          <w:szCs w:val="17"/>
        </w:rPr>
        <w:t xml:space="preserve">en pleit voor een </w:t>
      </w:r>
      <w:r w:rsidR="001B090D">
        <w:rPr>
          <w:szCs w:val="17"/>
        </w:rPr>
        <w:t xml:space="preserve">jaarlijkse </w:t>
      </w:r>
      <w:r w:rsidR="00930507">
        <w:rPr>
          <w:szCs w:val="17"/>
        </w:rPr>
        <w:t>review daar waar de Europese Commissie iedere 5 jaar voorstelt</w:t>
      </w:r>
      <w:r w:rsidR="00654256">
        <w:rPr>
          <w:szCs w:val="17"/>
        </w:rPr>
        <w:t>;</w:t>
      </w:r>
      <w:r w:rsidR="0035484F">
        <w:rPr>
          <w:szCs w:val="17"/>
        </w:rPr>
        <w:t xml:space="preserve"> </w:t>
      </w:r>
    </w:p>
    <w:p w:rsidR="00A26BD3" w:rsidP="008C61D8" w:rsidRDefault="00A26BD3">
      <w:pPr>
        <w:pStyle w:val="Lijstalinea"/>
        <w:numPr>
          <w:ilvl w:val="0"/>
          <w:numId w:val="8"/>
        </w:numPr>
        <w:spacing w:after="200"/>
        <w:rPr>
          <w:szCs w:val="17"/>
        </w:rPr>
      </w:pPr>
      <w:r>
        <w:rPr>
          <w:szCs w:val="17"/>
        </w:rPr>
        <w:t>De cross sectoral factor: ook wel de ‘</w:t>
      </w:r>
      <w:r w:rsidR="0035484F">
        <w:rPr>
          <w:szCs w:val="17"/>
        </w:rPr>
        <w:t>kaasschaaf</w:t>
      </w:r>
      <w:r>
        <w:rPr>
          <w:szCs w:val="17"/>
        </w:rPr>
        <w:t xml:space="preserve">’ genoemd waarbij alle sectoren met </w:t>
      </w:r>
      <w:r w:rsidR="00276A98">
        <w:rPr>
          <w:szCs w:val="17"/>
        </w:rPr>
        <w:t>een vast percentage o</w:t>
      </w:r>
      <w:r>
        <w:rPr>
          <w:szCs w:val="17"/>
        </w:rPr>
        <w:t xml:space="preserve">p hun </w:t>
      </w:r>
      <w:r w:rsidR="00B421AC">
        <w:rPr>
          <w:szCs w:val="17"/>
        </w:rPr>
        <w:t xml:space="preserve">gratis </w:t>
      </w:r>
      <w:r>
        <w:rPr>
          <w:szCs w:val="17"/>
        </w:rPr>
        <w:t xml:space="preserve">emissierechten kunnen worden gekort; </w:t>
      </w:r>
    </w:p>
    <w:p w:rsidR="00A26BD3" w:rsidP="008C61D8" w:rsidRDefault="00A26BD3">
      <w:pPr>
        <w:pStyle w:val="Lijstalinea"/>
        <w:numPr>
          <w:ilvl w:val="0"/>
          <w:numId w:val="8"/>
        </w:numPr>
        <w:spacing w:after="200"/>
        <w:rPr>
          <w:szCs w:val="17"/>
        </w:rPr>
      </w:pPr>
      <w:r>
        <w:t xml:space="preserve">De </w:t>
      </w:r>
      <w:r w:rsidR="00654256">
        <w:t xml:space="preserve">voorwaarden waaronder bedrijven voor </w:t>
      </w:r>
      <w:r>
        <w:t xml:space="preserve">compensatie van indirecte </w:t>
      </w:r>
      <w:r w:rsidR="00B421AC">
        <w:t>koolstof</w:t>
      </w:r>
      <w:r>
        <w:t xml:space="preserve">kosten </w:t>
      </w:r>
      <w:r w:rsidR="00B421AC">
        <w:t xml:space="preserve">(bijvoorbeeld hogere elektriciteitskosten) in aanmerking kunnen komen: </w:t>
      </w:r>
      <w:r>
        <w:t xml:space="preserve">de vraag </w:t>
      </w:r>
      <w:r w:rsidR="00B421AC">
        <w:t xml:space="preserve">daarbij </w:t>
      </w:r>
      <w:r>
        <w:t xml:space="preserve">is of die compensatie verplicht uit </w:t>
      </w:r>
      <w:r w:rsidR="00B421AC">
        <w:t xml:space="preserve">de </w:t>
      </w:r>
      <w:r w:rsidR="0035484F">
        <w:t>veilingopbrengsten</w:t>
      </w:r>
      <w:r>
        <w:t xml:space="preserve"> moet</w:t>
      </w:r>
      <w:r w:rsidR="00B421AC">
        <w:t xml:space="preserve"> komen </w:t>
      </w:r>
      <w:r>
        <w:t>en hoe zich dit verhoudt tot de EU</w:t>
      </w:r>
      <w:r w:rsidRPr="00A91990">
        <w:rPr>
          <w:szCs w:val="17"/>
        </w:rPr>
        <w:t>-regels voor staat</w:t>
      </w:r>
      <w:r>
        <w:rPr>
          <w:szCs w:val="17"/>
        </w:rPr>
        <w:t>s</w:t>
      </w:r>
      <w:r w:rsidRPr="00A91990">
        <w:rPr>
          <w:szCs w:val="17"/>
        </w:rPr>
        <w:t>steun</w:t>
      </w:r>
      <w:r w:rsidR="00E7649A">
        <w:rPr>
          <w:szCs w:val="17"/>
        </w:rPr>
        <w:t>;</w:t>
      </w:r>
    </w:p>
    <w:p w:rsidRPr="00022CF4" w:rsidR="00022CF4" w:rsidP="008C61D8" w:rsidRDefault="00A26BD3">
      <w:pPr>
        <w:pStyle w:val="Lijstalinea"/>
        <w:numPr>
          <w:ilvl w:val="0"/>
          <w:numId w:val="8"/>
        </w:numPr>
        <w:spacing w:after="200"/>
        <w:rPr>
          <w:szCs w:val="17"/>
        </w:rPr>
      </w:pPr>
      <w:r w:rsidRPr="00A26BD3">
        <w:rPr>
          <w:szCs w:val="17"/>
        </w:rPr>
        <w:t xml:space="preserve">Het regime voor de gratis allocatie aan </w:t>
      </w:r>
      <w:r w:rsidRPr="00A26BD3" w:rsidR="00F92709">
        <w:rPr>
          <w:szCs w:val="17"/>
        </w:rPr>
        <w:t>elektriciteitsbedrijven</w:t>
      </w:r>
      <w:r w:rsidRPr="00A26BD3">
        <w:rPr>
          <w:szCs w:val="17"/>
        </w:rPr>
        <w:t xml:space="preserve">: </w:t>
      </w:r>
      <w:r w:rsidRPr="00C50DED" w:rsidR="002A2B50">
        <w:t xml:space="preserve">na 2020 </w:t>
      </w:r>
      <w:r w:rsidR="002A2B50">
        <w:t xml:space="preserve">blijft voor </w:t>
      </w:r>
      <w:r w:rsidRPr="00C50DED" w:rsidR="002A2B50">
        <w:t xml:space="preserve">een tiental lidstaten met een BBP van minder dan 60% van het EU gemiddelde </w:t>
      </w:r>
      <w:r w:rsidR="002A2B50">
        <w:t xml:space="preserve">de mogelijkheid bestaan </w:t>
      </w:r>
      <w:r>
        <w:t xml:space="preserve">gratis emissierechten aan </w:t>
      </w:r>
      <w:r w:rsidR="002A2B50">
        <w:t>hun electriciteitssector t</w:t>
      </w:r>
      <w:r>
        <w:t xml:space="preserve">oe te kennen. </w:t>
      </w:r>
    </w:p>
    <w:p w:rsidR="00CB2C74" w:rsidP="008C61D8" w:rsidRDefault="00930507">
      <w:pPr>
        <w:pStyle w:val="Lijstalinea"/>
        <w:numPr>
          <w:ilvl w:val="0"/>
          <w:numId w:val="15"/>
        </w:numPr>
        <w:spacing w:after="200"/>
        <w:ind w:left="397"/>
        <w:rPr>
          <w:szCs w:val="17"/>
        </w:rPr>
      </w:pPr>
      <w:r w:rsidRPr="00CB2C74">
        <w:rPr>
          <w:szCs w:val="17"/>
        </w:rPr>
        <w:t xml:space="preserve">De governance van de financieringsfondsen: </w:t>
      </w:r>
      <w:r w:rsidRPr="00CB2C74" w:rsidR="00692C52">
        <w:rPr>
          <w:szCs w:val="17"/>
        </w:rPr>
        <w:t xml:space="preserve">In 2021 gaat een nieuw Innovatiefonds van start, als opvolger van het huidige NER 300. Het Innovatiefonds is bedoeld voor </w:t>
      </w:r>
      <w:r w:rsidRPr="00CB2C74" w:rsidR="00CB2C74">
        <w:rPr>
          <w:szCs w:val="17"/>
        </w:rPr>
        <w:t xml:space="preserve">ondergrondse CO2-opslag (CCS), hernieuwbare energie en staat voortaan ook open voor innovatieve CO2-reductieprojecten bij de industrie. </w:t>
      </w:r>
      <w:r w:rsidRPr="00CB2C74" w:rsidR="00692C52">
        <w:rPr>
          <w:szCs w:val="17"/>
        </w:rPr>
        <w:t xml:space="preserve">Alle lidstaten kunnen op dit fonds een beroep doen. Het fonds </w:t>
      </w:r>
      <w:r w:rsidRPr="00CB2C74" w:rsidR="00680718">
        <w:rPr>
          <w:szCs w:val="17"/>
        </w:rPr>
        <w:t xml:space="preserve">omvat in totaal </w:t>
      </w:r>
      <w:r w:rsidRPr="00CB2C74" w:rsidR="00692C52">
        <w:rPr>
          <w:szCs w:val="17"/>
        </w:rPr>
        <w:t>4</w:t>
      </w:r>
      <w:r w:rsidRPr="00CB2C74" w:rsidR="00680718">
        <w:rPr>
          <w:szCs w:val="17"/>
        </w:rPr>
        <w:t xml:space="preserve">50 </w:t>
      </w:r>
      <w:r w:rsidRPr="00CB2C74" w:rsidR="00692C52">
        <w:rPr>
          <w:szCs w:val="17"/>
        </w:rPr>
        <w:t xml:space="preserve">miljoen emissierechten. Daarnaast wordt 2% van de totale hoeveelheid emissierechten (310 miljoen) beschikbaar gesteld voor het Modernisatiefonds gericht op aanpassingen van de energiesystemen in de tien armste lidstaten, namelijk Bulgarije, Kroatië, Tsjechië, Estland, Hongarije, Letland, Litouwen, Polen, Roemenië en Slowakije. </w:t>
      </w:r>
    </w:p>
    <w:p w:rsidR="007A4CFA" w:rsidP="008C61D8" w:rsidRDefault="007A4CFA">
      <w:pPr>
        <w:pStyle w:val="Lijstalinea"/>
        <w:numPr>
          <w:ilvl w:val="0"/>
          <w:numId w:val="15"/>
        </w:numPr>
        <w:spacing w:after="200"/>
        <w:ind w:left="397"/>
        <w:rPr>
          <w:szCs w:val="17"/>
        </w:rPr>
      </w:pPr>
      <w:r>
        <w:rPr>
          <w:szCs w:val="17"/>
        </w:rPr>
        <w:t xml:space="preserve">De koppeling van de onderhandelingen over het EU-ETS voorstel met de nog te verschijnen voorstellen voor de non-EU ETS sectoren en </w:t>
      </w:r>
      <w:r w:rsidR="008D6F18">
        <w:rPr>
          <w:szCs w:val="17"/>
        </w:rPr>
        <w:t>landgebruik (LULUFC);</w:t>
      </w:r>
    </w:p>
    <w:p w:rsidR="001C04E5" w:rsidP="008C61D8" w:rsidRDefault="007A4CFA">
      <w:pPr>
        <w:pStyle w:val="Lijstalinea"/>
        <w:numPr>
          <w:ilvl w:val="0"/>
          <w:numId w:val="8"/>
        </w:numPr>
        <w:spacing w:after="200"/>
        <w:rPr>
          <w:szCs w:val="17"/>
        </w:rPr>
      </w:pPr>
      <w:r>
        <w:rPr>
          <w:szCs w:val="17"/>
        </w:rPr>
        <w:t xml:space="preserve">De uitkomst van de naderende VN-Klimaatconferentie in Parijs in december en de mogelijke discussie naar aanleiding daarvan over de unilaterale EU-emissiereductiedoelstelling van </w:t>
      </w:r>
      <w:r w:rsidR="001F3022">
        <w:rPr>
          <w:szCs w:val="17"/>
        </w:rPr>
        <w:t xml:space="preserve">tenminste </w:t>
      </w:r>
      <w:r>
        <w:rPr>
          <w:szCs w:val="17"/>
        </w:rPr>
        <w:t xml:space="preserve">40% waartoe de Europese Raad in oktober 2014 </w:t>
      </w:r>
      <w:r w:rsidR="00D46E21">
        <w:rPr>
          <w:szCs w:val="17"/>
        </w:rPr>
        <w:t xml:space="preserve">heeft </w:t>
      </w:r>
      <w:r>
        <w:rPr>
          <w:szCs w:val="17"/>
        </w:rPr>
        <w:t>beslo</w:t>
      </w:r>
      <w:r w:rsidR="00D46E21">
        <w:rPr>
          <w:szCs w:val="17"/>
        </w:rPr>
        <w:t xml:space="preserve">ten. </w:t>
      </w:r>
    </w:p>
    <w:p w:rsidRPr="000D1765" w:rsidR="008844C5" w:rsidP="00993C3B" w:rsidRDefault="008844C5">
      <w:pPr>
        <w:spacing w:after="200"/>
        <w:rPr>
          <w:szCs w:val="17"/>
        </w:rPr>
      </w:pPr>
      <w:r>
        <w:rPr>
          <w:szCs w:val="17"/>
        </w:rPr>
        <w:t xml:space="preserve">Tijdens de briefing kwam ook aan de orde dat in het </w:t>
      </w:r>
      <w:r w:rsidRPr="008844C5">
        <w:rPr>
          <w:szCs w:val="17"/>
        </w:rPr>
        <w:t xml:space="preserve">Europees Parlement Ian Duncan uit de groep </w:t>
      </w:r>
      <w:r>
        <w:rPr>
          <w:szCs w:val="17"/>
        </w:rPr>
        <w:t xml:space="preserve">van </w:t>
      </w:r>
      <w:r w:rsidRPr="008844C5">
        <w:rPr>
          <w:i/>
          <w:szCs w:val="17"/>
        </w:rPr>
        <w:t>European Conservatives and Reformists</w:t>
      </w:r>
      <w:r w:rsidRPr="008844C5">
        <w:rPr>
          <w:szCs w:val="17"/>
        </w:rPr>
        <w:t xml:space="preserve">(ECR) </w:t>
      </w:r>
      <w:r>
        <w:rPr>
          <w:szCs w:val="17"/>
        </w:rPr>
        <w:t xml:space="preserve">is </w:t>
      </w:r>
      <w:r w:rsidRPr="008844C5">
        <w:rPr>
          <w:szCs w:val="17"/>
        </w:rPr>
        <w:t xml:space="preserve">voorgedragen als rapporteur op het dossier EU-ETS. Het EP-lid Gerbrandy zal namens de ALDE groep </w:t>
      </w:r>
      <w:r w:rsidR="0035484F">
        <w:rPr>
          <w:szCs w:val="17"/>
        </w:rPr>
        <w:t>één</w:t>
      </w:r>
      <w:r>
        <w:rPr>
          <w:szCs w:val="17"/>
        </w:rPr>
        <w:t xml:space="preserve"> van de </w:t>
      </w:r>
      <w:r w:rsidRPr="008844C5">
        <w:rPr>
          <w:szCs w:val="17"/>
        </w:rPr>
        <w:t>schaduwrapporteur</w:t>
      </w:r>
      <w:r>
        <w:rPr>
          <w:szCs w:val="17"/>
        </w:rPr>
        <w:t>s</w:t>
      </w:r>
      <w:r w:rsidRPr="008844C5">
        <w:rPr>
          <w:szCs w:val="17"/>
        </w:rPr>
        <w:t xml:space="preserve"> zijn. Later dit jaar zal een technische briefing met de EP-rapporteur en de Leden van de commissie I&amp;M </w:t>
      </w:r>
      <w:r w:rsidRPr="000D1765">
        <w:rPr>
          <w:szCs w:val="17"/>
        </w:rPr>
        <w:t>worden ingepland.</w:t>
      </w:r>
    </w:p>
    <w:p w:rsidR="002D5755" w:rsidP="00993C3B" w:rsidRDefault="003F5835">
      <w:pPr>
        <w:spacing w:after="200"/>
        <w:rPr>
          <w:szCs w:val="17"/>
          <w:u w:val="single"/>
        </w:rPr>
      </w:pPr>
      <w:r>
        <w:rPr>
          <w:szCs w:val="17"/>
          <w:u w:val="single"/>
        </w:rPr>
        <w:lastRenderedPageBreak/>
        <w:t>Energiebeleid</w:t>
      </w:r>
    </w:p>
    <w:p w:rsidR="00F917E3" w:rsidP="00993C3B" w:rsidRDefault="006466A1">
      <w:r>
        <w:t>Wat betreft het energiebeleid</w:t>
      </w:r>
      <w:r w:rsidR="00F917E3">
        <w:t>, kwamen de volgende onderwerpen tijdens de briefing aan de orde:</w:t>
      </w:r>
    </w:p>
    <w:p w:rsidR="00F917E3" w:rsidP="00993C3B" w:rsidRDefault="00F917E3"/>
    <w:p w:rsidR="00C707A2" w:rsidP="00C707A2" w:rsidRDefault="00C707A2">
      <w:pPr>
        <w:pStyle w:val="Lijstalinea"/>
        <w:numPr>
          <w:ilvl w:val="0"/>
          <w:numId w:val="8"/>
        </w:numPr>
      </w:pPr>
      <w:r>
        <w:t xml:space="preserve">De PVEU gaf een korte vooruitblik over de aankomende wetgeving en de besluitvorming over lopende wetgevingsvoorstellen. Het voorstel van de Europese Commissie voor de governance van de Energie-Unie zal naar verwachting dit najaar verschijnen. Op 18 november a.s. staat in dit kader als eerste het rapport ‘State of the Energy Union’ geagendeerd. In januari-februari 2016 worden voorstellen omtrent windenergie en de LNG strategie verwacht. Over het ‘summer package’ van energievoorstellen dat afgelopen zomer verscheen, werd het energie-efficiëntie-etiketteringsvoorstel genoemd. Nederland is voorstander van deze richtlijn. De behandeling door het EP verloopt vlot en Nederland hoopt het voorstel onder Nederlands voorzitterschap af te ronden. Nederland zal ook andere voorstellen uit het zomerpakket oppakken, waaronder de ‘new deal’ met betere informatie voor energieconsumenten en een nieuw plan voor de Europese elektriciteitsmarkt. Dit laatste focust op </w:t>
      </w:r>
      <w:r w:rsidRPr="00297BB2">
        <w:t xml:space="preserve">flexibele prijzen, </w:t>
      </w:r>
      <w:r>
        <w:t>‘</w:t>
      </w:r>
      <w:r w:rsidRPr="00297BB2">
        <w:t>smart meters</w:t>
      </w:r>
      <w:r>
        <w:t>’</w:t>
      </w:r>
      <w:r w:rsidRPr="00297BB2">
        <w:t xml:space="preserve"> en </w:t>
      </w:r>
      <w:r>
        <w:t>‘</w:t>
      </w:r>
      <w:r w:rsidRPr="00297BB2">
        <w:t>smart grids</w:t>
      </w:r>
      <w:r>
        <w:t>’</w:t>
      </w:r>
      <w:r w:rsidRPr="00297BB2">
        <w:t>.</w:t>
      </w:r>
      <w:r>
        <w:t xml:space="preserve"> </w:t>
      </w:r>
    </w:p>
    <w:p w:rsidR="00F917E3" w:rsidP="00993C3B" w:rsidRDefault="0035484F">
      <w:pPr>
        <w:pStyle w:val="Lijstalinea"/>
        <w:numPr>
          <w:ilvl w:val="0"/>
          <w:numId w:val="8"/>
        </w:numPr>
      </w:pPr>
      <w:r>
        <w:t xml:space="preserve">Governance: </w:t>
      </w:r>
      <w:r w:rsidR="00C707A2">
        <w:t xml:space="preserve">Een belangrijk aandachtspunt in de governance van het energiebeleid is de volledige en juiste implementatie van bestaande wetgeving. De  </w:t>
      </w:r>
      <w:r w:rsidRPr="0035484F" w:rsidR="00C707A2">
        <w:rPr>
          <w:i/>
        </w:rPr>
        <w:t>governance</w:t>
      </w:r>
      <w:r w:rsidR="00C707A2">
        <w:t xml:space="preserve"> van de energie-unie zal versterkt moeten worden, willen de energie- en klimaatdoelen behaald worden. </w:t>
      </w:r>
      <w:r>
        <w:t xml:space="preserve"> </w:t>
      </w:r>
    </w:p>
    <w:p w:rsidR="00F917E3" w:rsidP="00993C3B" w:rsidRDefault="00F917E3">
      <w:pPr>
        <w:pStyle w:val="Lijstalinea"/>
        <w:numPr>
          <w:ilvl w:val="0"/>
          <w:numId w:val="8"/>
        </w:numPr>
      </w:pPr>
      <w:r>
        <w:t xml:space="preserve">Regionale samenwerking: </w:t>
      </w:r>
      <w:r w:rsidR="006466A1">
        <w:t xml:space="preserve">Op het gebied van regionale samenwerking benadrukte men dat dit volgens Nederland versterkt dient te worden, maar wel vanuit een ‘bottom-up’ benadering met behoud van nationale beleidsruimte. De inzet is dus niet per definitie meer Europese wetgeving om regionale samenwerking ‘af te dwingen’. </w:t>
      </w:r>
    </w:p>
    <w:p w:rsidR="00F917E3" w:rsidP="00993C3B" w:rsidRDefault="00C707A2">
      <w:pPr>
        <w:pStyle w:val="Lijstalinea"/>
        <w:numPr>
          <w:ilvl w:val="0"/>
          <w:numId w:val="8"/>
        </w:numPr>
      </w:pPr>
      <w:r>
        <w:t>Diversificatie</w:t>
      </w:r>
      <w:r w:rsidR="00F917E3">
        <w:t xml:space="preserve">: </w:t>
      </w:r>
      <w:r w:rsidR="006466A1">
        <w:t xml:space="preserve">Nederland zet in op meer infrastructuur (bijvoorbeeld pijpleidingen voor gas) en meer aanbieders. </w:t>
      </w:r>
    </w:p>
    <w:p w:rsidR="001C04E5" w:rsidP="00993C3B" w:rsidRDefault="001C04E5">
      <w:pPr>
        <w:spacing w:after="200"/>
        <w:rPr>
          <w:b/>
          <w:i/>
          <w:szCs w:val="17"/>
        </w:rPr>
      </w:pPr>
    </w:p>
    <w:p w:rsidRPr="00556437" w:rsidR="003F753D" w:rsidP="00993C3B" w:rsidRDefault="00F82A62">
      <w:pPr>
        <w:spacing w:after="200"/>
        <w:rPr>
          <w:b/>
          <w:szCs w:val="17"/>
        </w:rPr>
      </w:pPr>
      <w:r>
        <w:rPr>
          <w:b/>
          <w:szCs w:val="17"/>
        </w:rPr>
        <w:t>Ronde</w:t>
      </w:r>
      <w:r w:rsidRPr="00556437" w:rsidR="00680438">
        <w:rPr>
          <w:b/>
          <w:szCs w:val="17"/>
        </w:rPr>
        <w:t>tafel</w:t>
      </w:r>
      <w:r w:rsidRPr="00556437" w:rsidR="003F753D">
        <w:rPr>
          <w:b/>
          <w:szCs w:val="17"/>
        </w:rPr>
        <w:t xml:space="preserve"> NGO’s</w:t>
      </w:r>
    </w:p>
    <w:p w:rsidR="009753A8" w:rsidP="00993C3B" w:rsidRDefault="009753A8">
      <w:r>
        <w:t xml:space="preserve">Tijdens het werkbezoek aan Brussel vond een </w:t>
      </w:r>
      <w:r w:rsidR="00680438">
        <w:t>rondetafelgesprek</w:t>
      </w:r>
      <w:r>
        <w:t xml:space="preserve"> plaats met vertegenwoordigers van </w:t>
      </w:r>
      <w:r w:rsidR="00556437">
        <w:t xml:space="preserve">de volgende </w:t>
      </w:r>
      <w:r>
        <w:t xml:space="preserve">NGO’s:  </w:t>
      </w:r>
    </w:p>
    <w:p w:rsidR="009753A8" w:rsidP="00993C3B" w:rsidRDefault="009753A8">
      <w:pPr>
        <w:pStyle w:val="Lijstalinea"/>
        <w:numPr>
          <w:ilvl w:val="0"/>
          <w:numId w:val="10"/>
        </w:numPr>
      </w:pPr>
      <w:r>
        <w:t>Mevr. Femke de Jong - Carbon Market Watch (CMW)</w:t>
      </w:r>
    </w:p>
    <w:p w:rsidR="009753A8" w:rsidP="00993C3B" w:rsidRDefault="009753A8">
      <w:pPr>
        <w:pStyle w:val="Lijstalinea"/>
        <w:numPr>
          <w:ilvl w:val="0"/>
          <w:numId w:val="10"/>
        </w:numPr>
      </w:pPr>
      <w:r>
        <w:t>Dhr. Damien Morris – Sandbag</w:t>
      </w:r>
    </w:p>
    <w:p w:rsidR="009753A8" w:rsidP="00993C3B" w:rsidRDefault="009753A8">
      <w:pPr>
        <w:pStyle w:val="Lijstalinea"/>
        <w:numPr>
          <w:ilvl w:val="0"/>
          <w:numId w:val="10"/>
        </w:numPr>
      </w:pPr>
      <w:r>
        <w:t xml:space="preserve">Dhr. Sam van den Plas - Wereld Natuur Fonds (WNF) </w:t>
      </w:r>
    </w:p>
    <w:p w:rsidR="009753A8" w:rsidP="00993C3B" w:rsidRDefault="009753A8">
      <w:pPr>
        <w:pStyle w:val="Lijstalinea"/>
        <w:numPr>
          <w:ilvl w:val="0"/>
          <w:numId w:val="10"/>
        </w:numPr>
      </w:pPr>
      <w:r>
        <w:t>Dhr. Martijn Broekhof - Eur</w:t>
      </w:r>
      <w:r w:rsidR="00C578CB">
        <w:t>opean Climate Foundation (ECF)</w:t>
      </w:r>
    </w:p>
    <w:p w:rsidR="009753A8" w:rsidP="00993C3B" w:rsidRDefault="009753A8">
      <w:pPr>
        <w:ind w:left="360"/>
      </w:pPr>
    </w:p>
    <w:p w:rsidR="00A46865" w:rsidP="00993C3B" w:rsidRDefault="005E1E0E">
      <w:r>
        <w:t xml:space="preserve">In het </w:t>
      </w:r>
      <w:r w:rsidR="00A46865">
        <w:t xml:space="preserve">gesprek </w:t>
      </w:r>
      <w:r w:rsidR="00187B93">
        <w:t xml:space="preserve">stond in het teken van </w:t>
      </w:r>
      <w:r w:rsidR="00A46865">
        <w:t>het herzieningsvoorstel voor het EU-ETS</w:t>
      </w:r>
      <w:r w:rsidR="00187B93">
        <w:t xml:space="preserve">. Ook kwam </w:t>
      </w:r>
      <w:r w:rsidR="00A46865">
        <w:t xml:space="preserve">de Marktstabiliteitsreserve </w:t>
      </w:r>
      <w:r w:rsidR="00E65834">
        <w:t xml:space="preserve">(MSR) </w:t>
      </w:r>
      <w:r w:rsidR="00A46865">
        <w:t xml:space="preserve">aan de orde waarover afgelopen zomer in Brussel een akkoord tussen Raad, Europees Parlement en Europese Commissie werd bereikt. </w:t>
      </w:r>
    </w:p>
    <w:p w:rsidR="00A46865" w:rsidP="00993C3B" w:rsidRDefault="00A46865"/>
    <w:p w:rsidR="009D4F50" w:rsidP="009D4F50" w:rsidRDefault="009753A8">
      <w:r>
        <w:t xml:space="preserve">De </w:t>
      </w:r>
      <w:r w:rsidR="008D4995">
        <w:t xml:space="preserve">aanwezige </w:t>
      </w:r>
      <w:r w:rsidR="009E2012">
        <w:t xml:space="preserve">vertegenwoordigers waren </w:t>
      </w:r>
      <w:r>
        <w:t xml:space="preserve">eensgezind in hun opinie dat </w:t>
      </w:r>
      <w:r w:rsidR="001F7660">
        <w:t xml:space="preserve">de herzieningsvoorstellen voor </w:t>
      </w:r>
      <w:r>
        <w:t>het</w:t>
      </w:r>
      <w:r w:rsidR="001F7660">
        <w:t xml:space="preserve"> EU-</w:t>
      </w:r>
      <w:r>
        <w:t xml:space="preserve"> ETS niet ambitieus genoeg </w:t>
      </w:r>
      <w:r w:rsidR="001F7660">
        <w:t xml:space="preserve">zijn om </w:t>
      </w:r>
      <w:r w:rsidR="00B975E1">
        <w:t xml:space="preserve">de uitstoot van </w:t>
      </w:r>
      <w:r w:rsidR="001F7660">
        <w:t>CO</w:t>
      </w:r>
      <w:r w:rsidRPr="001F7660" w:rsidR="001F7660">
        <w:rPr>
          <w:sz w:val="16"/>
          <w:szCs w:val="16"/>
        </w:rPr>
        <w:t>2</w:t>
      </w:r>
      <w:r w:rsidR="001F7660">
        <w:t xml:space="preserve"> </w:t>
      </w:r>
      <w:r w:rsidR="00B975E1">
        <w:t xml:space="preserve">meer te beprijzen </w:t>
      </w:r>
      <w:r w:rsidR="001F7660">
        <w:t xml:space="preserve">en </w:t>
      </w:r>
      <w:r w:rsidR="00B975E1">
        <w:t xml:space="preserve">daarmee </w:t>
      </w:r>
      <w:r w:rsidR="00FC16C8">
        <w:t xml:space="preserve">voldoende </w:t>
      </w:r>
      <w:r w:rsidR="00D17E31">
        <w:t>i</w:t>
      </w:r>
      <w:r w:rsidR="001F7660">
        <w:t xml:space="preserve">nvesteringen in klimaatneutrale innovaties uit te lokken. </w:t>
      </w:r>
      <w:r w:rsidR="00D17E31">
        <w:t>Volgens hen blijft de prijs van een ton CO</w:t>
      </w:r>
      <w:r w:rsidRPr="00FC16C8" w:rsidR="00D17E31">
        <w:rPr>
          <w:sz w:val="16"/>
          <w:szCs w:val="16"/>
        </w:rPr>
        <w:t>2</w:t>
      </w:r>
      <w:r w:rsidR="00D17E31">
        <w:t xml:space="preserve"> te laag als gevolg van </w:t>
      </w:r>
      <w:r w:rsidR="007901CA">
        <w:t xml:space="preserve">een </w:t>
      </w:r>
      <w:r w:rsidR="00D17E31">
        <w:t xml:space="preserve">overschot van emissierechten in het systeem. </w:t>
      </w:r>
      <w:r w:rsidR="00E65834">
        <w:t xml:space="preserve">Volgens de heer Damien Morris zou dat overschot in 2020 kunnen oplopen naar 4,5 miljoen emissierechten. </w:t>
      </w:r>
      <w:r w:rsidR="00384AAF">
        <w:t>In dat verband wordt door v</w:t>
      </w:r>
      <w:r w:rsidR="000F00F7">
        <w:t xml:space="preserve">erschillende aanwezigen onder andere gepleit </w:t>
      </w:r>
      <w:r w:rsidR="00384AAF">
        <w:t xml:space="preserve">voor een scherpere, jaarlijkse lineaire reductiefactor dan de 2,2% die de Europese Commissie </w:t>
      </w:r>
      <w:r w:rsidR="00E029DE">
        <w:t xml:space="preserve">nu </w:t>
      </w:r>
      <w:r w:rsidR="00384AAF">
        <w:t>voorstelt</w:t>
      </w:r>
      <w:r w:rsidR="00E748FB">
        <w:t xml:space="preserve"> voor de periode </w:t>
      </w:r>
      <w:r w:rsidR="007901CA">
        <w:t xml:space="preserve">2021-2030. De jaarlijkse reductiefactor zou meer in lijn moeten worden gebracht met het lange termijn emissiereductiedoel voor 2050 om hogere kosten op die lange termijn te vermijden. </w:t>
      </w:r>
      <w:r w:rsidR="00A5079D">
        <w:t xml:space="preserve">Carbon Market Watch beveelt een aanscherping </w:t>
      </w:r>
      <w:r w:rsidR="009D4F50">
        <w:t xml:space="preserve">van 2,4% of </w:t>
      </w:r>
      <w:r w:rsidR="00A5079D">
        <w:t xml:space="preserve">2,6% per jaar aan. </w:t>
      </w:r>
    </w:p>
    <w:p w:rsidR="009D4F50" w:rsidP="009D4F50" w:rsidRDefault="009D4F50"/>
    <w:p w:rsidRPr="00D37222" w:rsidR="009D4F50" w:rsidP="009D4F50" w:rsidRDefault="00A5079D">
      <w:pPr>
        <w:rPr>
          <w:lang w:val="en-US"/>
        </w:rPr>
      </w:pPr>
      <w:r w:rsidRPr="00D37222">
        <w:t xml:space="preserve">In reactie </w:t>
      </w:r>
      <w:r w:rsidRPr="00D37222" w:rsidR="009D4F50">
        <w:t xml:space="preserve">op de vraag van de co-rapporteur Van Veldhoven naar </w:t>
      </w:r>
      <w:r w:rsidRPr="00D37222">
        <w:t>de extra kosten per sector van een dergelijke aanscherping</w:t>
      </w:r>
      <w:r w:rsidRPr="00D37222" w:rsidR="009D4F50">
        <w:t xml:space="preserve">, wordt verwezen naar het </w:t>
      </w:r>
      <w:hyperlink w:history="1" r:id="rId13">
        <w:r w:rsidRPr="00D37222" w:rsidR="009D4F50">
          <w:rPr>
            <w:rStyle w:val="Hyperlink"/>
            <w:color w:val="auto"/>
            <w:lang w:val="en-US"/>
          </w:rPr>
          <w:t>impact assessment</w:t>
        </w:r>
      </w:hyperlink>
      <w:r w:rsidRPr="00D37222" w:rsidR="009D4F50">
        <w:rPr>
          <w:lang w:val="en-US"/>
        </w:rPr>
        <w:t xml:space="preserve"> (SWD(2014) 15) van de Europese Commissie.  Uit de tabel 14 op pagina 78 blijkt dat scenario’s met een aanscherping van de jaarlijkse reductiefactor met 2,4% jaarlijks zou leiden tot circa </w:t>
      </w:r>
      <w:r w:rsidRPr="00D37222" w:rsidR="009D4F50">
        <w:rPr>
          <w:bCs/>
          <w:lang w:val="en-US"/>
        </w:rPr>
        <w:t>€20 million extra kosten.</w:t>
      </w:r>
      <w:r w:rsidRPr="00D37222" w:rsidR="009D4F50">
        <w:rPr>
          <w:b/>
          <w:bCs/>
          <w:lang w:val="en-US"/>
        </w:rPr>
        <w:t xml:space="preserve"> </w:t>
      </w:r>
      <w:r w:rsidRPr="00D37222" w:rsidR="009D4F50">
        <w:rPr>
          <w:bCs/>
          <w:lang w:val="en-US"/>
        </w:rPr>
        <w:t>Tegelijkertijd zou uit tabel 15 op pagina 81 blijken dat onder de 2,4% scenario’s de gemiddelde elektriciteitsprijs lager zou uitvallen dan in de 2,2% scenario’s.</w:t>
      </w:r>
      <w:r w:rsidR="00D37222">
        <w:rPr>
          <w:bCs/>
          <w:lang w:val="en-US"/>
        </w:rPr>
        <w:t xml:space="preserve"> </w:t>
      </w:r>
    </w:p>
    <w:p w:rsidR="00D37222" w:rsidP="00993C3B" w:rsidRDefault="00D37222"/>
    <w:p w:rsidR="00052AA7" w:rsidP="00993C3B" w:rsidRDefault="00E65834">
      <w:r>
        <w:t xml:space="preserve">Een andere maatregel </w:t>
      </w:r>
      <w:r w:rsidR="00185E0D">
        <w:t xml:space="preserve">die wordt genoemd, </w:t>
      </w:r>
      <w:r>
        <w:t xml:space="preserve">is het </w:t>
      </w:r>
      <w:r w:rsidR="007901CA">
        <w:t>definitief</w:t>
      </w:r>
      <w:r>
        <w:t xml:space="preserve"> verwijderen van </w:t>
      </w:r>
      <w:r w:rsidR="00052AA7">
        <w:t xml:space="preserve">de niet-gealloceerde emissierechten </w:t>
      </w:r>
      <w:r>
        <w:t xml:space="preserve">die nu zijn ondergebracht in </w:t>
      </w:r>
      <w:r w:rsidR="00121458">
        <w:t xml:space="preserve">de </w:t>
      </w:r>
      <w:r w:rsidR="009753A8">
        <w:t>M</w:t>
      </w:r>
      <w:r>
        <w:t xml:space="preserve">SR </w:t>
      </w:r>
      <w:r w:rsidR="00C2596F">
        <w:t xml:space="preserve">om te voorkomen dat </w:t>
      </w:r>
      <w:r>
        <w:t xml:space="preserve">deze </w:t>
      </w:r>
      <w:r w:rsidR="00C2596F">
        <w:t xml:space="preserve">later </w:t>
      </w:r>
      <w:r>
        <w:t xml:space="preserve">alsnog </w:t>
      </w:r>
      <w:r w:rsidR="00C2596F">
        <w:t xml:space="preserve">op de markt worden gebracht. </w:t>
      </w:r>
      <w:r w:rsidR="00B975E1">
        <w:t xml:space="preserve">Verder </w:t>
      </w:r>
      <w:r>
        <w:t xml:space="preserve">zijn allen van mening dat het percentage van 43% gratis toe te </w:t>
      </w:r>
      <w:r>
        <w:lastRenderedPageBreak/>
        <w:t>kennen rechten in het huidige commissievoorstel te hoog is. Het bedrag dat hiermee gemoeid is, komt neer op 116 miljard euro en overschrijdt daarmee het budget voor Horizon 2020, het EU onderzoeks- en ontwikkelingsprogramma.</w:t>
      </w:r>
      <w:r w:rsidR="00EF1E0B">
        <w:t xml:space="preserve"> </w:t>
      </w:r>
      <w:r w:rsidR="00F84DC0">
        <w:t xml:space="preserve">De gratis toewijzing van emissierechten zou </w:t>
      </w:r>
      <w:r w:rsidR="0060121B">
        <w:t xml:space="preserve">wat de aanwezigen betreft </w:t>
      </w:r>
      <w:r w:rsidR="00F84DC0">
        <w:t xml:space="preserve">dan ook </w:t>
      </w:r>
      <w:r w:rsidR="00A9089A">
        <w:t xml:space="preserve">ingeperkt </w:t>
      </w:r>
      <w:r w:rsidR="00663EF8">
        <w:t>moeten worden en</w:t>
      </w:r>
      <w:r w:rsidR="00A9089A">
        <w:t xml:space="preserve"> met een veel sterkere focus moeten worden ingezet. </w:t>
      </w:r>
      <w:r w:rsidR="00D3475A">
        <w:t xml:space="preserve">Bovendien zouden lidstaten, als gevolg van </w:t>
      </w:r>
      <w:r w:rsidR="007901CA">
        <w:t>huidig</w:t>
      </w:r>
      <w:r w:rsidR="00D3475A">
        <w:t xml:space="preserve"> voorstel van 43% gratis te verstrekken emissierechten, veilingopbrengsten mislopen die zij kunnen inzetten voor de decarbonisatie van hun industrieën. </w:t>
      </w:r>
      <w:r w:rsidR="0060121B">
        <w:t xml:space="preserve">Van de kant van de Kamerdelegatie wordt hierop de </w:t>
      </w:r>
      <w:r w:rsidR="0008103C">
        <w:t>vraag gesteld of een dergelijke</w:t>
      </w:r>
      <w:r w:rsidR="0060121B">
        <w:t>‘</w:t>
      </w:r>
      <w:r w:rsidRPr="0008103C" w:rsidR="0060121B">
        <w:rPr>
          <w:i/>
        </w:rPr>
        <w:t>earmarking</w:t>
      </w:r>
      <w:r w:rsidR="0008103C">
        <w:rPr>
          <w:i/>
        </w:rPr>
        <w:t xml:space="preserve"> </w:t>
      </w:r>
      <w:r w:rsidR="0060121B">
        <w:t>mogelijk zou zijn</w:t>
      </w:r>
      <w:r w:rsidR="003D0433">
        <w:t xml:space="preserve"> gelet op de Europese </w:t>
      </w:r>
      <w:r w:rsidR="0060121B">
        <w:t>staatsteunregelgeving.</w:t>
      </w:r>
      <w:r w:rsidR="00496CD0">
        <w:t xml:space="preserve"> De aanwezige vertegenwoordigers worden uitgenodigd ook op deze kwestie nadere input te </w:t>
      </w:r>
      <w:r w:rsidR="007901CA">
        <w:t xml:space="preserve">geven. </w:t>
      </w:r>
    </w:p>
    <w:p w:rsidR="009D4F50" w:rsidP="00993C3B" w:rsidRDefault="009D4F50"/>
    <w:p w:rsidR="00A47ED4" w:rsidP="00993C3B" w:rsidRDefault="00672601">
      <w:r>
        <w:t xml:space="preserve">Ondanks de kritiek op het </w:t>
      </w:r>
      <w:r w:rsidR="00A47ED4">
        <w:t xml:space="preserve">huidige </w:t>
      </w:r>
      <w:r>
        <w:t xml:space="preserve">functioneren van het EU-ETS, </w:t>
      </w:r>
      <w:r w:rsidR="00A47ED4">
        <w:t xml:space="preserve">zijn de </w:t>
      </w:r>
      <w:r w:rsidR="007D17FF">
        <w:t>aanwezigen het er</w:t>
      </w:r>
      <w:r w:rsidR="00A47ED4">
        <w:t xml:space="preserve"> desgevraagd </w:t>
      </w:r>
      <w:r w:rsidR="007D17FF">
        <w:t xml:space="preserve">over eens dat het </w:t>
      </w:r>
      <w:r w:rsidR="00A47ED4">
        <w:t>mechanisme met de nodige verbeteringen een van de belangrijkste instru</w:t>
      </w:r>
      <w:r w:rsidR="00557B9E">
        <w:t xml:space="preserve">menten in het EU-klimaatbeleid kan zijn. </w:t>
      </w:r>
      <w:r w:rsidR="00A47ED4">
        <w:t xml:space="preserve">Daarnaast wijzen zij op de noodzaak voor de inzet van andere EU-beleidsmaatregelen gericht op </w:t>
      </w:r>
      <w:r w:rsidR="00C72CD5">
        <w:t xml:space="preserve">het losmaken van investeringen in </w:t>
      </w:r>
      <w:r w:rsidR="00A47ED4">
        <w:t xml:space="preserve">de decarbonisatie van </w:t>
      </w:r>
      <w:r w:rsidR="00C72CD5">
        <w:t xml:space="preserve">de Europese industrie. </w:t>
      </w:r>
      <w:r w:rsidR="00A47ED4">
        <w:t xml:space="preserve">In dat kader wordt gewezen op emissie-standaarden en </w:t>
      </w:r>
      <w:r w:rsidR="00AB2B9E">
        <w:t xml:space="preserve">een grotere financiële </w:t>
      </w:r>
      <w:r w:rsidR="007901CA">
        <w:t xml:space="preserve">stimulans. </w:t>
      </w:r>
      <w:r w:rsidR="00AB2B9E">
        <w:t xml:space="preserve">Het Innovatiefonds (NER400) in het herzieningsvoorstel voor het EU-ETS is ontoereikend en daarom zouden klimaatneutrale innovaties gemainstreamed moeten worden in bestaande </w:t>
      </w:r>
      <w:r w:rsidR="007901CA">
        <w:t xml:space="preserve">EU-fondsen. </w:t>
      </w:r>
    </w:p>
    <w:p w:rsidR="00A47ED4" w:rsidP="00993C3B" w:rsidRDefault="00A47ED4"/>
    <w:p w:rsidR="00123A0E" w:rsidP="00993C3B" w:rsidRDefault="00F82A62">
      <w:r>
        <w:t xml:space="preserve">Hier vindt u de links naar bijdragen van het </w:t>
      </w:r>
      <w:hyperlink w:history="1" r:id="rId14">
        <w:r w:rsidRPr="00F82A62">
          <w:rPr>
            <w:rStyle w:val="Hyperlink"/>
          </w:rPr>
          <w:t>WWF</w:t>
        </w:r>
      </w:hyperlink>
      <w:r>
        <w:t xml:space="preserve"> en </w:t>
      </w:r>
      <w:hyperlink w:history="1" r:id="rId15">
        <w:r w:rsidRPr="00F82A62">
          <w:rPr>
            <w:rStyle w:val="Hyperlink"/>
          </w:rPr>
          <w:t>Carbon Market Watch</w:t>
        </w:r>
      </w:hyperlink>
      <w:r>
        <w:t xml:space="preserve">. </w:t>
      </w:r>
      <w:r w:rsidR="008C61D8">
        <w:t xml:space="preserve">Van laatstgenoemde vindt u hier tevens een recente briefing (d.d. 5 oktober 2015) over </w:t>
      </w:r>
      <w:hyperlink w:history="1" r:id="rId16">
        <w:r w:rsidRPr="008C61D8" w:rsidR="008C61D8">
          <w:rPr>
            <w:rStyle w:val="Hyperlink"/>
          </w:rPr>
          <w:t>carbon leakage</w:t>
        </w:r>
      </w:hyperlink>
      <w:r w:rsidR="008C61D8">
        <w:t xml:space="preserve">. </w:t>
      </w:r>
    </w:p>
    <w:p w:rsidR="004F7393" w:rsidP="00993C3B" w:rsidRDefault="004F7393">
      <w:pPr>
        <w:rPr>
          <w:b/>
          <w:szCs w:val="17"/>
        </w:rPr>
      </w:pPr>
    </w:p>
    <w:p w:rsidR="004F7393" w:rsidP="00993C3B" w:rsidRDefault="004F7393">
      <w:pPr>
        <w:rPr>
          <w:b/>
          <w:szCs w:val="17"/>
        </w:rPr>
      </w:pPr>
    </w:p>
    <w:p w:rsidR="005D4AE8" w:rsidP="00993C3B" w:rsidRDefault="00F82A62">
      <w:pPr>
        <w:rPr>
          <w:b/>
          <w:szCs w:val="17"/>
        </w:rPr>
      </w:pPr>
      <w:r>
        <w:rPr>
          <w:b/>
          <w:szCs w:val="17"/>
        </w:rPr>
        <w:t>Ronde</w:t>
      </w:r>
      <w:r w:rsidR="007901CA">
        <w:rPr>
          <w:b/>
          <w:szCs w:val="17"/>
        </w:rPr>
        <w:t>tafel</w:t>
      </w:r>
      <w:r w:rsidR="00C62FA0">
        <w:rPr>
          <w:b/>
          <w:szCs w:val="17"/>
        </w:rPr>
        <w:t xml:space="preserve"> industrie</w:t>
      </w:r>
    </w:p>
    <w:p w:rsidR="00C62FA0" w:rsidP="00993C3B" w:rsidRDefault="00C62FA0">
      <w:pPr>
        <w:rPr>
          <w:b/>
          <w:szCs w:val="17"/>
        </w:rPr>
      </w:pPr>
    </w:p>
    <w:p w:rsidR="00A867A0" w:rsidP="00993C3B" w:rsidRDefault="000D7A35">
      <w:r>
        <w:t xml:space="preserve">In een tweede rondetafelgesprek spraken de co-rapporteurs Energie-Unie </w:t>
      </w:r>
      <w:r w:rsidR="00A867A0">
        <w:t xml:space="preserve">met een ruime vertegenwoordiging uit het bedrijfsleven en de industrie. De volgende </w:t>
      </w:r>
      <w:r>
        <w:t xml:space="preserve">genodigden </w:t>
      </w:r>
      <w:r w:rsidR="00A867A0">
        <w:t xml:space="preserve">waren bij het gesprek aanwezig: </w:t>
      </w:r>
    </w:p>
    <w:p w:rsidR="00A867A0" w:rsidP="00993C3B" w:rsidRDefault="00A867A0">
      <w:pPr>
        <w:pStyle w:val="Lijstalinea"/>
        <w:numPr>
          <w:ilvl w:val="0"/>
          <w:numId w:val="11"/>
        </w:numPr>
      </w:pPr>
      <w:r>
        <w:t>Dhr. Joel Meggelaars – EWEA</w:t>
      </w:r>
    </w:p>
    <w:p w:rsidR="00A867A0" w:rsidP="00993C3B" w:rsidRDefault="00A867A0">
      <w:pPr>
        <w:pStyle w:val="Lijstalinea"/>
        <w:numPr>
          <w:ilvl w:val="0"/>
          <w:numId w:val="11"/>
        </w:numPr>
      </w:pPr>
      <w:r>
        <w:t>Dhr. Rik Cents – ExxonMobil</w:t>
      </w:r>
    </w:p>
    <w:p w:rsidR="00A867A0" w:rsidP="00993C3B" w:rsidRDefault="00A867A0">
      <w:pPr>
        <w:pStyle w:val="Lijstalinea"/>
        <w:numPr>
          <w:ilvl w:val="0"/>
          <w:numId w:val="11"/>
        </w:numPr>
      </w:pPr>
      <w:r>
        <w:t>Dhr. Pieter van Aartsen - TSO Gasunie</w:t>
      </w:r>
    </w:p>
    <w:p w:rsidR="00A867A0" w:rsidP="00993C3B" w:rsidRDefault="00A867A0">
      <w:pPr>
        <w:pStyle w:val="Lijstalinea"/>
        <w:numPr>
          <w:ilvl w:val="0"/>
          <w:numId w:val="11"/>
        </w:numPr>
      </w:pPr>
      <w:r>
        <w:t>Dhr. Marco Mensink - Alliance of Energy Intensive Industries</w:t>
      </w:r>
      <w:r>
        <w:tab/>
      </w:r>
    </w:p>
    <w:p w:rsidR="00A867A0" w:rsidP="00993C3B" w:rsidRDefault="00A867A0">
      <w:pPr>
        <w:pStyle w:val="Lijstalinea"/>
        <w:numPr>
          <w:ilvl w:val="0"/>
          <w:numId w:val="11"/>
        </w:numPr>
      </w:pPr>
      <w:r>
        <w:t>Dhr. Hans ten Berge - EUELECTRIC</w:t>
      </w:r>
    </w:p>
    <w:p w:rsidR="00A867A0" w:rsidP="00993C3B" w:rsidRDefault="00A867A0">
      <w:pPr>
        <w:pStyle w:val="Lijstalinea"/>
        <w:numPr>
          <w:ilvl w:val="0"/>
          <w:numId w:val="11"/>
        </w:numPr>
      </w:pPr>
      <w:r>
        <w:t>Dhr. Axel Eggert - Eurofer</w:t>
      </w:r>
    </w:p>
    <w:p w:rsidR="00A867A0" w:rsidP="00993C3B" w:rsidRDefault="00A867A0">
      <w:pPr>
        <w:pStyle w:val="Lijstalinea"/>
        <w:numPr>
          <w:ilvl w:val="0"/>
          <w:numId w:val="11"/>
        </w:numPr>
      </w:pPr>
      <w:r>
        <w:t>Dhr. Robert Jan Maaskant - Gas Infrastructure Europe</w:t>
      </w:r>
    </w:p>
    <w:p w:rsidR="00A867A0" w:rsidP="00993C3B" w:rsidRDefault="00A867A0">
      <w:pPr>
        <w:pStyle w:val="Lijstalinea"/>
        <w:numPr>
          <w:ilvl w:val="0"/>
          <w:numId w:val="11"/>
        </w:numPr>
      </w:pPr>
      <w:r>
        <w:t xml:space="preserve">Mevr. Vera Brenzel – E.On. </w:t>
      </w:r>
    </w:p>
    <w:p w:rsidR="00A867A0" w:rsidP="00993C3B" w:rsidRDefault="00A867A0"/>
    <w:p w:rsidR="00123A0E" w:rsidP="00993C3B" w:rsidRDefault="00123A0E">
      <w:r>
        <w:t xml:space="preserve">In dit gesprek </w:t>
      </w:r>
      <w:r w:rsidR="00492856">
        <w:t xml:space="preserve">kwamen de </w:t>
      </w:r>
      <w:r>
        <w:t xml:space="preserve">energie-voorstellen uit de Kaderstrategie Energie-unie </w:t>
      </w:r>
      <w:r w:rsidR="00492856">
        <w:t xml:space="preserve">aan de orde </w:t>
      </w:r>
      <w:r w:rsidR="007901CA">
        <w:t>evenals</w:t>
      </w:r>
      <w:r w:rsidR="001172CB">
        <w:t xml:space="preserve"> </w:t>
      </w:r>
      <w:r w:rsidR="00492856">
        <w:t xml:space="preserve">het voorstel voor de herziening van het EU-ETS. </w:t>
      </w:r>
    </w:p>
    <w:p w:rsidR="00123A0E" w:rsidP="00993C3B" w:rsidRDefault="00123A0E"/>
    <w:p w:rsidR="008C3D91" w:rsidP="00993C3B" w:rsidRDefault="008C3D91">
      <w:pPr>
        <w:spacing w:after="200"/>
        <w:rPr>
          <w:szCs w:val="17"/>
          <w:u w:val="single"/>
        </w:rPr>
      </w:pPr>
      <w:r>
        <w:rPr>
          <w:szCs w:val="17"/>
          <w:u w:val="single"/>
        </w:rPr>
        <w:t>Energie</w:t>
      </w:r>
    </w:p>
    <w:p w:rsidR="00170401" w:rsidP="00993C3B" w:rsidRDefault="00170401">
      <w:r>
        <w:t xml:space="preserve">De volgende thema’s werden aangestipt: </w:t>
      </w:r>
    </w:p>
    <w:p w:rsidR="00492856" w:rsidP="00993C3B" w:rsidRDefault="009827E9">
      <w:r>
        <w:t>1) technologieneutraliteit</w:t>
      </w:r>
    </w:p>
    <w:p w:rsidR="00492856" w:rsidP="00993C3B" w:rsidRDefault="00492856">
      <w:r>
        <w:t xml:space="preserve">2) groen gas/power to gas </w:t>
      </w:r>
    </w:p>
    <w:p w:rsidR="00492856" w:rsidP="00993C3B" w:rsidRDefault="00492856">
      <w:r>
        <w:t xml:space="preserve">3) demand side flexibility </w:t>
      </w:r>
    </w:p>
    <w:p w:rsidR="00492856" w:rsidP="00993C3B" w:rsidRDefault="00492856">
      <w:r>
        <w:t xml:space="preserve">4) de definitie van ‘vaste lasten’ en hoe deze in de prijs </w:t>
      </w:r>
      <w:r w:rsidR="007901CA">
        <w:t>kunnen</w:t>
      </w:r>
      <w:r>
        <w:t xml:space="preserve"> worden </w:t>
      </w:r>
      <w:r w:rsidR="007901CA">
        <w:t>opgenomen</w:t>
      </w:r>
      <w:r>
        <w:t xml:space="preserve"> </w:t>
      </w:r>
    </w:p>
    <w:p w:rsidR="009827E9" w:rsidP="00993C3B" w:rsidRDefault="009827E9"/>
    <w:p w:rsidRPr="00170401" w:rsidR="00CF552B" w:rsidP="00993C3B" w:rsidRDefault="00CF552B">
      <w:r w:rsidRPr="00170401">
        <w:t xml:space="preserve">Met betrekking tot punt 1 werd het spanningsveld tussen subsidie voor een technologie (zoals voor een elektrische auto) versus het stimuleren van innovatie genoemd. </w:t>
      </w:r>
      <w:r w:rsidRPr="00170401" w:rsidR="00170401">
        <w:t>Bij punt 2 werd het onderbenut potentieel van regionale samenwerking besproken. Ook vroeg men zich af, hoe hoog de CO2-prijs moet zijn om ‘power to gas’ een aantrekkelijk alternatief te maken.</w:t>
      </w:r>
      <w:r w:rsidRPr="00170401">
        <w:t xml:space="preserve"> </w:t>
      </w:r>
    </w:p>
    <w:p w:rsidR="00B53CF0" w:rsidP="00993C3B" w:rsidRDefault="00750077">
      <w:pPr>
        <w:spacing w:after="200"/>
        <w:rPr>
          <w:szCs w:val="17"/>
          <w:u w:val="single"/>
        </w:rPr>
      </w:pPr>
      <w:r w:rsidRPr="00170401">
        <w:t xml:space="preserve">Een gemeenschappelijke noemer </w:t>
      </w:r>
      <w:r w:rsidRPr="00170401" w:rsidR="00170401">
        <w:t xml:space="preserve">in de discussie </w:t>
      </w:r>
      <w:r w:rsidRPr="00170401">
        <w:t xml:space="preserve">was de diversificatie van het aanbod. De deelnemers aan de </w:t>
      </w:r>
      <w:r w:rsidRPr="00170401" w:rsidR="007901CA">
        <w:t>ronde tafel</w:t>
      </w:r>
      <w:r w:rsidRPr="00170401">
        <w:t xml:space="preserve"> benadrukten het belang hiervan, evenals de rol van LNG in de (nabije) toekomst. Ten </w:t>
      </w:r>
      <w:r w:rsidRPr="00170401" w:rsidR="00170401">
        <w:t xml:space="preserve">tweede </w:t>
      </w:r>
      <w:r w:rsidRPr="00170401">
        <w:t>werd opgemerkt dat in de transportsector nog veel winst te behalen is op het gebied van de-carbonisatie en hernieuwbare energie.</w:t>
      </w:r>
    </w:p>
    <w:p w:rsidR="00D95C8D" w:rsidP="00993C3B" w:rsidRDefault="00D95C8D">
      <w:pPr>
        <w:spacing w:after="200"/>
        <w:rPr>
          <w:szCs w:val="17"/>
          <w:u w:val="single"/>
        </w:rPr>
      </w:pPr>
    </w:p>
    <w:p w:rsidR="00D95C8D" w:rsidP="00993C3B" w:rsidRDefault="00D95C8D">
      <w:pPr>
        <w:spacing w:after="200"/>
        <w:rPr>
          <w:szCs w:val="17"/>
          <w:u w:val="single"/>
        </w:rPr>
      </w:pPr>
    </w:p>
    <w:p w:rsidR="00B53CF0" w:rsidP="00993C3B" w:rsidRDefault="00B53CF0">
      <w:pPr>
        <w:spacing w:after="200"/>
        <w:rPr>
          <w:szCs w:val="17"/>
          <w:u w:val="single"/>
        </w:rPr>
      </w:pPr>
      <w:r>
        <w:rPr>
          <w:szCs w:val="17"/>
          <w:u w:val="single"/>
        </w:rPr>
        <w:lastRenderedPageBreak/>
        <w:t>EU-ETS</w:t>
      </w:r>
    </w:p>
    <w:p w:rsidR="00430629" w:rsidP="00993C3B" w:rsidRDefault="008A1817">
      <w:pPr>
        <w:spacing w:after="200"/>
      </w:pPr>
      <w:r>
        <w:t xml:space="preserve">Wat betreft de </w:t>
      </w:r>
      <w:r w:rsidR="002C4CAF">
        <w:t xml:space="preserve">voorstellen voor de </w:t>
      </w:r>
      <w:r>
        <w:t xml:space="preserve">herziening van het EU-ETS, </w:t>
      </w:r>
      <w:r w:rsidR="002C4CAF">
        <w:t xml:space="preserve">liepen de meningen tijdens het rondetafelgesprek uiteen. Waar sommige vertegenwoordigers uit de elektriciteitssector zich afvroegen of de voorstellen wel ver genoeg gingen om een echte verandering op de carbonmarkt teweeg te brengen met een hogere CO2 prijs als gevolg, wezen vertegenwoordigers van de energie-intensieve industrieën op de risico’s voor hun internationale </w:t>
      </w:r>
      <w:r w:rsidR="007901CA">
        <w:t>concurrentiepositie</w:t>
      </w:r>
      <w:r w:rsidR="002C4CAF">
        <w:t xml:space="preserve"> en </w:t>
      </w:r>
      <w:r w:rsidR="007F7CCE">
        <w:t xml:space="preserve">het gevaar van </w:t>
      </w:r>
      <w:r w:rsidRPr="002C4CAF" w:rsidR="002C4CAF">
        <w:rPr>
          <w:i/>
        </w:rPr>
        <w:t>carbon leakage</w:t>
      </w:r>
      <w:r w:rsidR="002C4CAF">
        <w:t xml:space="preserve">. Zij merkten op </w:t>
      </w:r>
      <w:r w:rsidR="00766D17">
        <w:t xml:space="preserve">dat bij het vaststellen van het </w:t>
      </w:r>
      <w:r w:rsidR="003B4DCB">
        <w:t xml:space="preserve">vaste </w:t>
      </w:r>
      <w:r w:rsidR="00766D17">
        <w:t xml:space="preserve">percentage van 43% gratis te alloceren emissierechten niet de vraag leidend is geweest hoeveel gratis allocatierechten daadwerkelijk nodig zijn om carbon leakage te voorkomen. De Europese Commissie heeft in hun optiek voornamelijk het percentage te veilen rechten voor ogen gehad </w:t>
      </w:r>
      <w:r w:rsidR="003B4DCB">
        <w:t>in plaats van naar reële cijfers te kijken</w:t>
      </w:r>
      <w:r w:rsidR="00766D17">
        <w:t>.</w:t>
      </w:r>
      <w:r w:rsidR="003B4DCB">
        <w:t xml:space="preserve"> </w:t>
      </w:r>
      <w:r w:rsidR="006E6E43">
        <w:t xml:space="preserve">In dit kader wordt </w:t>
      </w:r>
      <w:r w:rsidR="00430629">
        <w:t xml:space="preserve">gesteld dat </w:t>
      </w:r>
      <w:r w:rsidR="006E6E43">
        <w:t xml:space="preserve">klimaatbeleid </w:t>
      </w:r>
      <w:r w:rsidR="00430629">
        <w:t xml:space="preserve">industriebeleid is, omdat het </w:t>
      </w:r>
      <w:r w:rsidR="007901CA">
        <w:t xml:space="preserve">grote </w:t>
      </w:r>
      <w:r w:rsidR="00430629">
        <w:t xml:space="preserve">voor de positie van de Europese industrie heeft. </w:t>
      </w:r>
    </w:p>
    <w:p w:rsidR="00766D17" w:rsidP="00993C3B" w:rsidRDefault="00430629">
      <w:pPr>
        <w:spacing w:after="200"/>
      </w:pPr>
      <w:r>
        <w:t xml:space="preserve">De </w:t>
      </w:r>
      <w:r w:rsidR="003B4DCB">
        <w:t>vertegenwoordiger van Eurofer b</w:t>
      </w:r>
      <w:r>
        <w:t xml:space="preserve">racht in dat </w:t>
      </w:r>
      <w:r w:rsidR="003B4DCB">
        <w:t xml:space="preserve">bij </w:t>
      </w:r>
      <w:r w:rsidR="00501600">
        <w:t xml:space="preserve">het vaststellen van de benchmarks </w:t>
      </w:r>
      <w:r w:rsidR="00883CF0">
        <w:t>veel meer rekening moe</w:t>
      </w:r>
      <w:r w:rsidR="003B4DCB">
        <w:t>t</w:t>
      </w:r>
      <w:r>
        <w:t xml:space="preserve"> </w:t>
      </w:r>
      <w:r w:rsidR="003B4DCB">
        <w:t>worden gehouden met d</w:t>
      </w:r>
      <w:r w:rsidR="00501600">
        <w:t>aadwerkelijke prestaties. De best presterende installaties zouden zonder meer voor 100% gratis allocat</w:t>
      </w:r>
      <w:r>
        <w:t xml:space="preserve">ie in aanmerking moeten komen. De vertegenwoordigers van CEPI (papierindustrie) en Eurofer gaven </w:t>
      </w:r>
      <w:r w:rsidR="008C61D8">
        <w:t xml:space="preserve">aan </w:t>
      </w:r>
      <w:r w:rsidR="00D34AD4">
        <w:t xml:space="preserve">tegen </w:t>
      </w:r>
      <w:r>
        <w:t xml:space="preserve">de introductie </w:t>
      </w:r>
      <w:r w:rsidR="00D34AD4">
        <w:t xml:space="preserve">te zijn </w:t>
      </w:r>
      <w:r>
        <w:t xml:space="preserve">van </w:t>
      </w:r>
      <w:r w:rsidR="00883CF0">
        <w:t xml:space="preserve">verschillende percentages voor gratis allocatie (100% of 30%). Deze differentiatie is ongewenst. </w:t>
      </w:r>
      <w:r>
        <w:t xml:space="preserve">Een sector staat wel of niet op de lijst en komt wel of niet in aanmerking voor </w:t>
      </w:r>
      <w:r w:rsidR="00883CF0">
        <w:t>100% gratis allocatie</w:t>
      </w:r>
      <w:r>
        <w:t xml:space="preserve">. </w:t>
      </w:r>
      <w:r w:rsidR="00883CF0">
        <w:t>Daarbij werd opgemerkt dat de commissie bovendien al een jaarlijkse aanscherping van de benchmark voorstelt waardoor er sprake is van een jaarlijkse vermindering van gratis allocatierechten</w:t>
      </w:r>
      <w:r w:rsidR="006E6E43">
        <w:t xml:space="preserve">. In reactie op de vraag of de lijst van 50 sectoren niet te uitgebreid is, komt de cementindustrie ter sprake. </w:t>
      </w:r>
      <w:r w:rsidR="008C61D8">
        <w:t xml:space="preserve">Deze sector vormt een belangrijke bron van CO2-uitstoot. </w:t>
      </w:r>
      <w:r w:rsidR="006E6E43">
        <w:t xml:space="preserve">Overigens is geen van de aanwezigen van mening dat deze sector van de lijst zal verdwijnen. Daarvoor </w:t>
      </w:r>
      <w:r>
        <w:t xml:space="preserve">zijn de belangen van sommige lidstaten te </w:t>
      </w:r>
      <w:r w:rsidR="007901CA">
        <w:t xml:space="preserve">groot. </w:t>
      </w:r>
    </w:p>
    <w:p w:rsidR="00531B81" w:rsidP="00993C3B" w:rsidRDefault="00B91860">
      <w:r>
        <w:t>Volgens sommige aanwezigen zou naast de beprijzing van CO</w:t>
      </w:r>
      <w:r w:rsidRPr="00B91860">
        <w:rPr>
          <w:sz w:val="16"/>
          <w:szCs w:val="16"/>
        </w:rPr>
        <w:t>2</w:t>
      </w:r>
      <w:r>
        <w:t xml:space="preserve"> aanvullend beleid nodig zijn om meer investeringen in low-carbon technologieën te stimuleren. Daarbij werden echter geen </w:t>
      </w:r>
      <w:r w:rsidR="006B1135">
        <w:t xml:space="preserve">concrete </w:t>
      </w:r>
      <w:r>
        <w:t>voorstellen genoemd.</w:t>
      </w:r>
    </w:p>
    <w:p w:rsidR="00A867A0" w:rsidP="00993C3B" w:rsidRDefault="00B91860">
      <w:r>
        <w:t xml:space="preserve"> </w:t>
      </w:r>
    </w:p>
    <w:p w:rsidR="00D340D2" w:rsidP="00993C3B" w:rsidRDefault="00D340D2"/>
    <w:p w:rsidRPr="003A666A" w:rsidR="003A666A" w:rsidP="00993C3B" w:rsidRDefault="008A62D2">
      <w:pPr>
        <w:jc w:val="both"/>
        <w:rPr>
          <w:b/>
          <w:szCs w:val="17"/>
        </w:rPr>
      </w:pPr>
      <w:r>
        <w:rPr>
          <w:b/>
          <w:szCs w:val="17"/>
        </w:rPr>
        <w:t xml:space="preserve">Gesprek Eurocommissaris </w:t>
      </w:r>
      <w:r w:rsidRPr="003A666A" w:rsidR="003A666A">
        <w:rPr>
          <w:b/>
          <w:szCs w:val="17"/>
        </w:rPr>
        <w:t>Miguel Arias Cañe</w:t>
      </w:r>
      <w:r w:rsidR="009A5C37">
        <w:rPr>
          <w:b/>
          <w:szCs w:val="17"/>
        </w:rPr>
        <w:t>te voor Klimaatactie en Energie</w:t>
      </w:r>
    </w:p>
    <w:p w:rsidR="00C70D5B" w:rsidP="00993C3B" w:rsidRDefault="00C70D5B"/>
    <w:p w:rsidRPr="009F7D9F" w:rsidR="009D0B86" w:rsidP="00993C3B" w:rsidRDefault="00D04A6B">
      <w:r w:rsidRPr="009F7D9F">
        <w:t xml:space="preserve">Eurocommissaris </w:t>
      </w:r>
      <w:r w:rsidRPr="009F7D9F">
        <w:rPr>
          <w:szCs w:val="17"/>
        </w:rPr>
        <w:t>Cañete</w:t>
      </w:r>
      <w:r w:rsidRPr="009F7D9F">
        <w:t xml:space="preserve"> gaf aan dat</w:t>
      </w:r>
      <w:r w:rsidR="004C71AD">
        <w:t xml:space="preserve"> het de komende maanden een </w:t>
      </w:r>
      <w:r w:rsidRPr="009F7D9F">
        <w:t xml:space="preserve">zeer drukke </w:t>
      </w:r>
      <w:r w:rsidR="004C71AD">
        <w:t xml:space="preserve">tijd is </w:t>
      </w:r>
      <w:r w:rsidRPr="009F7D9F">
        <w:t xml:space="preserve">voor de Europese Commissie. Behalve de voorbereidingen voor de VN-klimaatconferentie in Parijs in december, werkt de Europese Commissie hard aan de uitwerking van de 43 voorstellen die in de Kaderstrategie Energie-Unie zijn aangekondigd. </w:t>
      </w:r>
      <w:r w:rsidR="009F7D9F">
        <w:t xml:space="preserve">Na de publicatie van het </w:t>
      </w:r>
      <w:r w:rsidRPr="009F7D9F">
        <w:t>zogeheten ‘zomerpakket’</w:t>
      </w:r>
      <w:r w:rsidR="004C71AD">
        <w:t xml:space="preserve"> op 15 juli jl. </w:t>
      </w:r>
      <w:r w:rsidR="009F7D9F">
        <w:t>(</w:t>
      </w:r>
      <w:r w:rsidRPr="009F7D9F">
        <w:t xml:space="preserve">met </w:t>
      </w:r>
      <w:r w:rsidR="007901CA">
        <w:t>onder andere</w:t>
      </w:r>
      <w:r w:rsidRPr="009F7D9F">
        <w:t xml:space="preserve"> de voorstellen voor de herziening van het EU-ETS en </w:t>
      </w:r>
      <w:r w:rsidRPr="009F7D9F" w:rsidR="00BD0BFC">
        <w:t xml:space="preserve">de aanpassing van de </w:t>
      </w:r>
      <w:r w:rsidRPr="009F7D9F">
        <w:t>energ</w:t>
      </w:r>
      <w:r w:rsidR="009F7D9F">
        <w:t>ie labels)</w:t>
      </w:r>
      <w:r w:rsidR="00F82B70">
        <w:t xml:space="preserve">, komt </w:t>
      </w:r>
      <w:r w:rsidR="009F7D9F">
        <w:t xml:space="preserve">dit najaar het voorstel uit voor de </w:t>
      </w:r>
      <w:r w:rsidRPr="00A46E86" w:rsidR="009F7D9F">
        <w:rPr>
          <w:i/>
        </w:rPr>
        <w:t>governance</w:t>
      </w:r>
      <w:r w:rsidR="009F7D9F">
        <w:t xml:space="preserve"> van de </w:t>
      </w:r>
      <w:r w:rsidR="007901CA">
        <w:t xml:space="preserve">Energie-Unie. </w:t>
      </w:r>
      <w:r w:rsidR="009F7D9F">
        <w:t xml:space="preserve">De Eurocommissaris bevestigde verder dat in </w:t>
      </w:r>
      <w:r w:rsidRPr="009F7D9F" w:rsidR="009D0B86">
        <w:t>januari</w:t>
      </w:r>
      <w:r w:rsidRPr="009F7D9F" w:rsidR="009F7D9F">
        <w:t xml:space="preserve"> of f</w:t>
      </w:r>
      <w:r w:rsidRPr="009F7D9F" w:rsidR="009D0B86">
        <w:t xml:space="preserve">ebruari 2016 het </w:t>
      </w:r>
      <w:r w:rsidRPr="009F7D9F" w:rsidR="009F7D9F">
        <w:t xml:space="preserve">‘gaspakket’ uitkomt, gericht op </w:t>
      </w:r>
      <w:r w:rsidRPr="009F7D9F" w:rsidR="007901CA">
        <w:t>de</w:t>
      </w:r>
      <w:r w:rsidRPr="009F7D9F" w:rsidR="009F7D9F">
        <w:t xml:space="preserve"> b</w:t>
      </w:r>
      <w:r w:rsidRPr="009F7D9F" w:rsidR="009D0B86">
        <w:t xml:space="preserve">ewerkstelliging van lagere prijzen, </w:t>
      </w:r>
      <w:r w:rsidRPr="009F7D9F" w:rsidR="009F7D9F">
        <w:t>leverings</w:t>
      </w:r>
      <w:r w:rsidRPr="009F7D9F" w:rsidR="009D0B86">
        <w:t xml:space="preserve">zekerheid </w:t>
      </w:r>
      <w:r w:rsidRPr="009F7D9F" w:rsidR="009F7D9F">
        <w:t>onder meer door meer d</w:t>
      </w:r>
      <w:r w:rsidR="000A7D65">
        <w:t xml:space="preserve">iversificatie van </w:t>
      </w:r>
      <w:r w:rsidRPr="009F7D9F" w:rsidR="009D0B86">
        <w:t>het aan</w:t>
      </w:r>
      <w:r w:rsidR="000A7D65">
        <w:t xml:space="preserve">bod, </w:t>
      </w:r>
      <w:r w:rsidR="007F72CB">
        <w:t>een strategie v</w:t>
      </w:r>
      <w:r w:rsidR="00E34F63">
        <w:t xml:space="preserve">oor </w:t>
      </w:r>
      <w:r w:rsidR="007F72CB">
        <w:t xml:space="preserve">LNG, </w:t>
      </w:r>
      <w:r w:rsidR="000A7D65">
        <w:t xml:space="preserve">de </w:t>
      </w:r>
      <w:r w:rsidRPr="000A7D65" w:rsidR="007901CA">
        <w:rPr>
          <w:i/>
        </w:rPr>
        <w:t>Southern</w:t>
      </w:r>
      <w:r w:rsidRPr="000A7D65" w:rsidR="000A7D65">
        <w:rPr>
          <w:i/>
        </w:rPr>
        <w:t xml:space="preserve"> corridor</w:t>
      </w:r>
      <w:r w:rsidR="000A7D65">
        <w:t xml:space="preserve"> en de noodzaak voor meer </w:t>
      </w:r>
      <w:r w:rsidRPr="000A7D65" w:rsidR="000A7D65">
        <w:rPr>
          <w:i/>
        </w:rPr>
        <w:t>hubs</w:t>
      </w:r>
      <w:r w:rsidR="000A7D65">
        <w:t>, waarbij hij landen noem</w:t>
      </w:r>
      <w:r w:rsidR="003247DE">
        <w:t xml:space="preserve">de </w:t>
      </w:r>
      <w:r w:rsidR="000A7D65">
        <w:t xml:space="preserve">als Egypte, Algerije en </w:t>
      </w:r>
      <w:r w:rsidR="007901CA">
        <w:t>Cyprus</w:t>
      </w:r>
      <w:r w:rsidR="000A7D65">
        <w:t xml:space="preserve">. </w:t>
      </w:r>
      <w:r w:rsidR="001842E4">
        <w:t xml:space="preserve">Daarnaast worden in die periode ook enkele initiatieven op het gebied van elektriciteit verwacht, met name over leveringszekerheid </w:t>
      </w:r>
      <w:r w:rsidRPr="009F7D9F" w:rsidR="009F7D9F">
        <w:t xml:space="preserve">Eurocommissaris </w:t>
      </w:r>
      <w:r w:rsidRPr="009F7D9F" w:rsidR="009D0B86">
        <w:t xml:space="preserve">Cañete </w:t>
      </w:r>
      <w:r w:rsidR="00502BA2">
        <w:t xml:space="preserve">bood aan </w:t>
      </w:r>
      <w:r w:rsidRPr="009F7D9F" w:rsidR="009F7D9F">
        <w:t xml:space="preserve">na publicatie van het pakket naar </w:t>
      </w:r>
      <w:r w:rsidRPr="009F7D9F" w:rsidR="009D0B86">
        <w:t xml:space="preserve">de Tweede Kamer </w:t>
      </w:r>
      <w:r w:rsidR="00237753">
        <w:t xml:space="preserve">te komen </w:t>
      </w:r>
      <w:r w:rsidRPr="009F7D9F" w:rsidR="009D0B86">
        <w:t>om een toelichting op de</w:t>
      </w:r>
      <w:r w:rsidRPr="009F7D9F" w:rsidR="009F7D9F">
        <w:t xml:space="preserve"> </w:t>
      </w:r>
      <w:r w:rsidRPr="009F7D9F" w:rsidR="009D0B86">
        <w:t xml:space="preserve">voorstellen te </w:t>
      </w:r>
      <w:r w:rsidRPr="009F7D9F" w:rsidR="007901CA">
        <w:t xml:space="preserve">geven. </w:t>
      </w:r>
    </w:p>
    <w:p w:rsidR="009F7D9F" w:rsidP="00993C3B" w:rsidRDefault="009F7D9F"/>
    <w:p w:rsidRPr="00F82B70" w:rsidR="00F82B70" w:rsidP="00993C3B" w:rsidRDefault="00F82B70">
      <w:pPr>
        <w:rPr>
          <w:u w:val="single"/>
        </w:rPr>
      </w:pPr>
      <w:r w:rsidRPr="00F82B70">
        <w:rPr>
          <w:u w:val="single"/>
        </w:rPr>
        <w:t>Energie</w:t>
      </w:r>
    </w:p>
    <w:p w:rsidRPr="004671FF" w:rsidR="009D0B86" w:rsidP="00993C3B" w:rsidRDefault="009D0B86">
      <w:r w:rsidRPr="004671FF">
        <w:t xml:space="preserve">Over het voorstel voor </w:t>
      </w:r>
      <w:r w:rsidRPr="004671FF" w:rsidR="00A46E86">
        <w:t xml:space="preserve">een nieuwe opzet voor de elektriciteitsmarkt </w:t>
      </w:r>
      <w:r w:rsidRPr="004671FF">
        <w:t xml:space="preserve">zei de </w:t>
      </w:r>
      <w:r w:rsidRPr="004671FF" w:rsidR="007901CA">
        <w:t>Eurocommissaris</w:t>
      </w:r>
      <w:r w:rsidRPr="004671FF">
        <w:t xml:space="preserve"> dat dit </w:t>
      </w:r>
      <w:r w:rsidR="00237753">
        <w:t xml:space="preserve">een gecompliceerd dossier is, </w:t>
      </w:r>
      <w:r w:rsidRPr="004671FF">
        <w:t xml:space="preserve">vanwege de verschillende belangen van nutsvoorzieningen, </w:t>
      </w:r>
      <w:r w:rsidR="00690420">
        <w:t xml:space="preserve">netwerkbeheerders </w:t>
      </w:r>
      <w:r w:rsidRPr="004671FF">
        <w:t>en toezichthouders. ACER (</w:t>
      </w:r>
      <w:r w:rsidRPr="00237753">
        <w:rPr>
          <w:i/>
        </w:rPr>
        <w:t>Agency for the Cooperation of Energy Regulators</w:t>
      </w:r>
      <w:r w:rsidRPr="004671FF">
        <w:t>) zou een sterkere rol kunnen spelen in de discussies over dit onderwerp. In ieder geval vormt een ‘</w:t>
      </w:r>
      <w:r w:rsidRPr="004671FF" w:rsidR="007901CA">
        <w:t>vraag gestuurd</w:t>
      </w:r>
      <w:r w:rsidRPr="004671FF">
        <w:t xml:space="preserve"> aanbod’ de leidraad voor het beleid. Volgens Cañete </w:t>
      </w:r>
      <w:r w:rsidR="00237753">
        <w:t xml:space="preserve">is capaciteitsmanagement van groot belang naarmate de energieopwekking op decentraal niveau </w:t>
      </w:r>
      <w:r w:rsidR="007901CA">
        <w:t xml:space="preserve">toeneemt. </w:t>
      </w:r>
    </w:p>
    <w:p w:rsidRPr="008F24D6" w:rsidR="00A46E86" w:rsidP="00993C3B" w:rsidRDefault="00A46E86">
      <w:pPr>
        <w:rPr>
          <w:highlight w:val="yellow"/>
        </w:rPr>
      </w:pPr>
    </w:p>
    <w:p w:rsidRPr="00A46E86" w:rsidR="009D0B86" w:rsidP="00993C3B" w:rsidRDefault="00A46E86">
      <w:r>
        <w:t xml:space="preserve">Wat het </w:t>
      </w:r>
      <w:r w:rsidRPr="00A46E86">
        <w:rPr>
          <w:i/>
        </w:rPr>
        <w:t>gove</w:t>
      </w:r>
      <w:r>
        <w:rPr>
          <w:i/>
        </w:rPr>
        <w:t>r</w:t>
      </w:r>
      <w:r w:rsidRPr="00A46E86">
        <w:rPr>
          <w:i/>
        </w:rPr>
        <w:t xml:space="preserve">nance </w:t>
      </w:r>
      <w:r>
        <w:t>voorstel betreft, benadrukt</w:t>
      </w:r>
      <w:r w:rsidR="002A6423">
        <w:t>e</w:t>
      </w:r>
      <w:r>
        <w:t xml:space="preserve"> de Eurocommissaris </w:t>
      </w:r>
      <w:r w:rsidRPr="00A46E86" w:rsidR="009D0B86">
        <w:t xml:space="preserve">dat de Europese Commissie voorstander is van een </w:t>
      </w:r>
      <w:r w:rsidR="004671FF">
        <w:t xml:space="preserve">flexibele maar </w:t>
      </w:r>
      <w:r w:rsidR="00831CE9">
        <w:t xml:space="preserve">tegelijkertijd </w:t>
      </w:r>
      <w:r w:rsidRPr="00A46E86" w:rsidR="009D0B86">
        <w:t>stevige governance-structuur. Hij maa</w:t>
      </w:r>
      <w:r w:rsidR="00831CE9">
        <w:t xml:space="preserve">kte hierbij de vergelijking met het </w:t>
      </w:r>
      <w:r w:rsidRPr="00A46E86" w:rsidR="009D0B86">
        <w:t>Europees Semester</w:t>
      </w:r>
      <w:r w:rsidR="002A6423">
        <w:t xml:space="preserve">. </w:t>
      </w:r>
      <w:r w:rsidR="000647AC">
        <w:t xml:space="preserve">Hij benadrukte het belang van regionale samenwerking maar gaf daarbij ook aan dat </w:t>
      </w:r>
      <w:r w:rsidR="008F3116">
        <w:t xml:space="preserve">fiscale harmonisatie </w:t>
      </w:r>
      <w:r w:rsidR="000647AC">
        <w:t>nog een burg te ver is.</w:t>
      </w:r>
    </w:p>
    <w:p w:rsidRPr="008F24D6" w:rsidR="00A46E86" w:rsidP="00993C3B" w:rsidRDefault="00A46E86">
      <w:pPr>
        <w:rPr>
          <w:highlight w:val="yellow"/>
        </w:rPr>
      </w:pPr>
    </w:p>
    <w:p w:rsidRPr="00142FB1" w:rsidR="00142FB1" w:rsidP="00993C3B" w:rsidRDefault="00142FB1">
      <w:pPr>
        <w:rPr>
          <w:u w:val="single"/>
        </w:rPr>
      </w:pPr>
      <w:r w:rsidRPr="00142FB1">
        <w:rPr>
          <w:u w:val="single"/>
        </w:rPr>
        <w:lastRenderedPageBreak/>
        <w:t>EU-ETS</w:t>
      </w:r>
    </w:p>
    <w:p w:rsidR="0044438F" w:rsidP="00993C3B" w:rsidRDefault="00FB3C4E">
      <w:pPr>
        <w:rPr>
          <w:szCs w:val="17"/>
        </w:rPr>
      </w:pPr>
      <w:r>
        <w:rPr>
          <w:szCs w:val="17"/>
        </w:rPr>
        <w:t xml:space="preserve">Eurocommissaris </w:t>
      </w:r>
      <w:r w:rsidRPr="006268AE" w:rsidR="002A6423">
        <w:rPr>
          <w:szCs w:val="17"/>
        </w:rPr>
        <w:t>Cañete</w:t>
      </w:r>
      <w:r w:rsidR="002A6423">
        <w:rPr>
          <w:szCs w:val="17"/>
        </w:rPr>
        <w:t xml:space="preserve"> </w:t>
      </w:r>
      <w:r>
        <w:rPr>
          <w:szCs w:val="17"/>
        </w:rPr>
        <w:t>pleit</w:t>
      </w:r>
      <w:r w:rsidR="00337BB2">
        <w:rPr>
          <w:szCs w:val="17"/>
        </w:rPr>
        <w:t>te</w:t>
      </w:r>
      <w:r>
        <w:rPr>
          <w:szCs w:val="17"/>
        </w:rPr>
        <w:t xml:space="preserve"> ervoor om snel voortgang te boeken met de behandeling van het voorstel </w:t>
      </w:r>
      <w:r w:rsidR="002A6423">
        <w:rPr>
          <w:szCs w:val="17"/>
        </w:rPr>
        <w:t xml:space="preserve">voor de herziening van het EU-ETS </w:t>
      </w:r>
      <w:r>
        <w:rPr>
          <w:szCs w:val="17"/>
        </w:rPr>
        <w:t xml:space="preserve">en de onderhandelingen niet te laten wachten op de publicatie van het voorstel voor de </w:t>
      </w:r>
      <w:r w:rsidR="007901CA">
        <w:rPr>
          <w:szCs w:val="17"/>
        </w:rPr>
        <w:t xml:space="preserve">bindende </w:t>
      </w:r>
      <w:r>
        <w:rPr>
          <w:szCs w:val="17"/>
        </w:rPr>
        <w:t xml:space="preserve">nationale emissiereducties voor </w:t>
      </w:r>
      <w:r w:rsidRPr="00FB3C4E" w:rsidR="0044438F">
        <w:rPr>
          <w:szCs w:val="17"/>
        </w:rPr>
        <w:t xml:space="preserve">sectoren die buiten </w:t>
      </w:r>
      <w:r w:rsidRPr="00FB3C4E">
        <w:rPr>
          <w:szCs w:val="17"/>
        </w:rPr>
        <w:t xml:space="preserve">het </w:t>
      </w:r>
      <w:r w:rsidRPr="00FB3C4E" w:rsidR="0044438F">
        <w:rPr>
          <w:szCs w:val="17"/>
        </w:rPr>
        <w:t>EU-emissiehandel</w:t>
      </w:r>
      <w:r w:rsidRPr="00FB3C4E">
        <w:rPr>
          <w:szCs w:val="17"/>
        </w:rPr>
        <w:t xml:space="preserve">ssysteem </w:t>
      </w:r>
      <w:r w:rsidRPr="00FB3C4E" w:rsidR="0044438F">
        <w:rPr>
          <w:szCs w:val="17"/>
        </w:rPr>
        <w:t>vallen</w:t>
      </w:r>
      <w:r>
        <w:rPr>
          <w:szCs w:val="17"/>
        </w:rPr>
        <w:t xml:space="preserve"> (het zogenoemde </w:t>
      </w:r>
      <w:r w:rsidRPr="00FB3C4E">
        <w:rPr>
          <w:i/>
          <w:szCs w:val="17"/>
        </w:rPr>
        <w:t>effort sharing</w:t>
      </w:r>
      <w:r>
        <w:rPr>
          <w:szCs w:val="17"/>
        </w:rPr>
        <w:t xml:space="preserve"> voorstel voor sectoren zoals transport, landbouw</w:t>
      </w:r>
      <w:r w:rsidR="00E20573">
        <w:rPr>
          <w:szCs w:val="17"/>
        </w:rPr>
        <w:t xml:space="preserve"> </w:t>
      </w:r>
      <w:r w:rsidR="007901CA">
        <w:rPr>
          <w:szCs w:val="17"/>
        </w:rPr>
        <w:t xml:space="preserve">en </w:t>
      </w:r>
      <w:r w:rsidRPr="00843B2D">
        <w:rPr>
          <w:i/>
          <w:szCs w:val="17"/>
        </w:rPr>
        <w:t>heating and cooling</w:t>
      </w:r>
      <w:r>
        <w:rPr>
          <w:szCs w:val="17"/>
        </w:rPr>
        <w:t xml:space="preserve">). </w:t>
      </w:r>
      <w:r w:rsidR="0044438F">
        <w:rPr>
          <w:szCs w:val="17"/>
        </w:rPr>
        <w:t>De Eurocommissaris bevestig</w:t>
      </w:r>
      <w:r w:rsidR="00843B2D">
        <w:rPr>
          <w:szCs w:val="17"/>
        </w:rPr>
        <w:t xml:space="preserve">de </w:t>
      </w:r>
      <w:r w:rsidR="0044438F">
        <w:rPr>
          <w:szCs w:val="17"/>
        </w:rPr>
        <w:t xml:space="preserve">dat de publicatie van </w:t>
      </w:r>
      <w:r>
        <w:rPr>
          <w:szCs w:val="17"/>
        </w:rPr>
        <w:t>d</w:t>
      </w:r>
      <w:r w:rsidR="009F60DE">
        <w:rPr>
          <w:szCs w:val="17"/>
        </w:rPr>
        <w:t xml:space="preserve">at </w:t>
      </w:r>
      <w:r>
        <w:rPr>
          <w:szCs w:val="17"/>
        </w:rPr>
        <w:t xml:space="preserve">voorstel is uitgesteld tot het tweede semester van </w:t>
      </w:r>
      <w:r w:rsidR="0044438F">
        <w:rPr>
          <w:szCs w:val="17"/>
        </w:rPr>
        <w:t>2016. Eerder had de Europese Comm</w:t>
      </w:r>
      <w:r w:rsidR="009005A2">
        <w:rPr>
          <w:szCs w:val="17"/>
        </w:rPr>
        <w:t xml:space="preserve">issie aangegeven </w:t>
      </w:r>
      <w:r w:rsidR="0044438F">
        <w:rPr>
          <w:szCs w:val="17"/>
        </w:rPr>
        <w:t xml:space="preserve">begin 2016 </w:t>
      </w:r>
      <w:r w:rsidR="00DB6269">
        <w:rPr>
          <w:szCs w:val="17"/>
        </w:rPr>
        <w:t>met het voorstel m</w:t>
      </w:r>
      <w:r w:rsidR="0044438F">
        <w:rPr>
          <w:szCs w:val="17"/>
        </w:rPr>
        <w:t xml:space="preserve">aar de Eurocommissaris gaf aan </w:t>
      </w:r>
      <w:r w:rsidR="00E52D60">
        <w:rPr>
          <w:szCs w:val="17"/>
        </w:rPr>
        <w:t>dat het een complex dossier is, waarvoor meer tijd nodig is.</w:t>
      </w:r>
    </w:p>
    <w:p w:rsidR="00FB3C4E" w:rsidP="00993C3B" w:rsidRDefault="00FB3C4E">
      <w:pPr>
        <w:rPr>
          <w:szCs w:val="17"/>
          <w:u w:val="single"/>
        </w:rPr>
      </w:pPr>
    </w:p>
    <w:p w:rsidR="007D7AD4" w:rsidP="00993C3B" w:rsidRDefault="009F60DE">
      <w:pPr>
        <w:rPr>
          <w:szCs w:val="17"/>
        </w:rPr>
      </w:pPr>
      <w:r>
        <w:rPr>
          <w:szCs w:val="17"/>
        </w:rPr>
        <w:t xml:space="preserve">In het gesprek ging de </w:t>
      </w:r>
      <w:r w:rsidR="007901CA">
        <w:rPr>
          <w:szCs w:val="17"/>
        </w:rPr>
        <w:t>Eurocommissaris</w:t>
      </w:r>
      <w:r>
        <w:rPr>
          <w:szCs w:val="17"/>
        </w:rPr>
        <w:t xml:space="preserve"> in op de Nederlandse inzet voor dynamische allocatie en gaf daarbij aan dat de Europese Commissie in haar voorstel rekening heeft </w:t>
      </w:r>
      <w:r w:rsidR="00DB6269">
        <w:rPr>
          <w:szCs w:val="17"/>
        </w:rPr>
        <w:t xml:space="preserve">moeten houden </w:t>
      </w:r>
      <w:r>
        <w:rPr>
          <w:szCs w:val="17"/>
        </w:rPr>
        <w:t xml:space="preserve">met een systeem dat voor alle lidstaten </w:t>
      </w:r>
      <w:r w:rsidR="004B44C1">
        <w:rPr>
          <w:szCs w:val="17"/>
        </w:rPr>
        <w:t xml:space="preserve">uitvoerbaar moet zijn. </w:t>
      </w:r>
      <w:r>
        <w:rPr>
          <w:szCs w:val="17"/>
        </w:rPr>
        <w:t xml:space="preserve">Een jaarlijkse review </w:t>
      </w:r>
      <w:r w:rsidR="004B44C1">
        <w:rPr>
          <w:szCs w:val="17"/>
        </w:rPr>
        <w:t xml:space="preserve">van de benchmark </w:t>
      </w:r>
      <w:r>
        <w:rPr>
          <w:szCs w:val="17"/>
        </w:rPr>
        <w:t xml:space="preserve">(waar Nederland voor pleit) </w:t>
      </w:r>
      <w:r w:rsidR="002B497A">
        <w:rPr>
          <w:szCs w:val="17"/>
        </w:rPr>
        <w:t>trekt</w:t>
      </w:r>
      <w:r>
        <w:rPr>
          <w:szCs w:val="17"/>
        </w:rPr>
        <w:t xml:space="preserve"> </w:t>
      </w:r>
      <w:r w:rsidR="00A7653B">
        <w:rPr>
          <w:szCs w:val="17"/>
        </w:rPr>
        <w:t xml:space="preserve">volgens hem </w:t>
      </w:r>
      <w:r w:rsidR="002B497A">
        <w:rPr>
          <w:szCs w:val="17"/>
        </w:rPr>
        <w:t xml:space="preserve">een zware wissel op de administratieve capaciteit van </w:t>
      </w:r>
      <w:r>
        <w:rPr>
          <w:szCs w:val="17"/>
        </w:rPr>
        <w:t>veel lidstaten.</w:t>
      </w:r>
      <w:r w:rsidR="002B497A">
        <w:rPr>
          <w:szCs w:val="17"/>
        </w:rPr>
        <w:t xml:space="preserve"> De betrouwbaarheid van de uitkomsten van een dergelijke jaarlijkse exercitie zou daardoor in het geding kunnen komen.</w:t>
      </w:r>
      <w:r>
        <w:rPr>
          <w:szCs w:val="17"/>
        </w:rPr>
        <w:t xml:space="preserve"> Hij sprak overigens de verwachting uit dat het Europees Parlement </w:t>
      </w:r>
      <w:r w:rsidR="00FD273F">
        <w:rPr>
          <w:szCs w:val="17"/>
        </w:rPr>
        <w:t xml:space="preserve">nog </w:t>
      </w:r>
      <w:r>
        <w:rPr>
          <w:szCs w:val="17"/>
        </w:rPr>
        <w:t xml:space="preserve">zou aandringen op een hoger ambitieniveau ten aanzien van dynamische allocatie. </w:t>
      </w:r>
      <w:r w:rsidR="00313C5E">
        <w:rPr>
          <w:szCs w:val="17"/>
        </w:rPr>
        <w:t xml:space="preserve">Verder lichtte hij toe dat voor de twee percentages van </w:t>
      </w:r>
      <w:r w:rsidR="00100A53">
        <w:rPr>
          <w:szCs w:val="17"/>
        </w:rPr>
        <w:t xml:space="preserve">100% </w:t>
      </w:r>
      <w:r w:rsidR="00313C5E">
        <w:rPr>
          <w:szCs w:val="17"/>
        </w:rPr>
        <w:t xml:space="preserve">en </w:t>
      </w:r>
      <w:r w:rsidR="00100A53">
        <w:rPr>
          <w:szCs w:val="17"/>
        </w:rPr>
        <w:t xml:space="preserve">30% </w:t>
      </w:r>
      <w:r w:rsidR="00313C5E">
        <w:rPr>
          <w:szCs w:val="17"/>
        </w:rPr>
        <w:t xml:space="preserve">gratis </w:t>
      </w:r>
      <w:r w:rsidR="00564178">
        <w:rPr>
          <w:szCs w:val="17"/>
        </w:rPr>
        <w:t xml:space="preserve">allocatie was gekozen omdat </w:t>
      </w:r>
      <w:r w:rsidR="00FD273F">
        <w:rPr>
          <w:szCs w:val="17"/>
        </w:rPr>
        <w:t xml:space="preserve">zonder deze differentiatie </w:t>
      </w:r>
      <w:r w:rsidR="00313C5E">
        <w:rPr>
          <w:szCs w:val="17"/>
        </w:rPr>
        <w:t xml:space="preserve">de overgang voor </w:t>
      </w:r>
      <w:r w:rsidR="00564178">
        <w:rPr>
          <w:szCs w:val="17"/>
        </w:rPr>
        <w:t xml:space="preserve">bepaalde sectoren van </w:t>
      </w:r>
      <w:r w:rsidR="004B44C1">
        <w:rPr>
          <w:szCs w:val="17"/>
        </w:rPr>
        <w:t xml:space="preserve">de </w:t>
      </w:r>
      <w:r w:rsidR="00313C5E">
        <w:rPr>
          <w:szCs w:val="17"/>
        </w:rPr>
        <w:t xml:space="preserve">huidige situatie (100%) naar 0% te groot was geweest. </w:t>
      </w:r>
      <w:r w:rsidR="00193A79">
        <w:rPr>
          <w:szCs w:val="17"/>
        </w:rPr>
        <w:t>In reactie op de vraag naar het risico van carbon le</w:t>
      </w:r>
      <w:r w:rsidR="00795AB1">
        <w:rPr>
          <w:szCs w:val="17"/>
        </w:rPr>
        <w:t xml:space="preserve">akage voor de cementindustrie, antwoordde de Eurocommissaris dat hier voor Zuid-Europese lidstaten grote belangen op het spel staan. </w:t>
      </w:r>
      <w:r w:rsidR="007901CA">
        <w:rPr>
          <w:szCs w:val="17"/>
        </w:rPr>
        <w:t xml:space="preserve">Hij verwees daarbij naar de impact assessment bij het voorstel waaruit zou blijken dat de cementindustrie niet alleen langs de buitengrenzen maar vooral ook van de Turkse industrie sterke concurrentie zou ondervinden en een risico zou lopen als zij niet meer in aanmerking zou komen voor gratis allocatie. </w:t>
      </w:r>
    </w:p>
    <w:p w:rsidRPr="009F60DE" w:rsidR="004F6751" w:rsidP="00993C3B" w:rsidRDefault="007D7AD4">
      <w:pPr>
        <w:rPr>
          <w:szCs w:val="17"/>
        </w:rPr>
      </w:pPr>
      <w:r>
        <w:rPr>
          <w:szCs w:val="17"/>
        </w:rPr>
        <w:t xml:space="preserve">Wat betreft de compensatie van de indirecte kosten voor energie-intensieve industrieën, merkte de Eurocommissaris op dat lidstaten worden opgeroepen voor deze compensatie hun veilingopbrengsten in te zetten maar hiertoe niet gedwongen kunnen </w:t>
      </w:r>
      <w:r w:rsidR="00680438">
        <w:rPr>
          <w:szCs w:val="17"/>
        </w:rPr>
        <w:t xml:space="preserve">worden. </w:t>
      </w:r>
    </w:p>
    <w:p w:rsidR="004F6751" w:rsidP="00993C3B" w:rsidRDefault="004F6751">
      <w:pPr>
        <w:rPr>
          <w:szCs w:val="17"/>
          <w:u w:val="single"/>
        </w:rPr>
      </w:pPr>
    </w:p>
    <w:p w:rsidR="004E77AD" w:rsidP="00993C3B" w:rsidRDefault="004E77AD">
      <w:pPr>
        <w:rPr>
          <w:szCs w:val="17"/>
          <w:u w:val="single"/>
        </w:rPr>
      </w:pPr>
      <w:r>
        <w:rPr>
          <w:szCs w:val="17"/>
          <w:u w:val="single"/>
        </w:rPr>
        <w:t>Single Transport Area</w:t>
      </w:r>
    </w:p>
    <w:p w:rsidR="0044438F" w:rsidP="00993C3B" w:rsidRDefault="0044438F">
      <w:pPr>
        <w:rPr>
          <w:b/>
          <w:szCs w:val="17"/>
        </w:rPr>
      </w:pPr>
      <w:r>
        <w:rPr>
          <w:szCs w:val="17"/>
        </w:rPr>
        <w:t xml:space="preserve">Gelet op de bijdrage van de transportsector aan de totale broeikasgasemissies, is in de Kaderstrategie Energie- Unie ook de publicatie </w:t>
      </w:r>
      <w:r w:rsidRPr="00AA4260">
        <w:rPr>
          <w:szCs w:val="17"/>
        </w:rPr>
        <w:t>de Strategie voor Eén Gezamenlijke EU Transportzone (</w:t>
      </w:r>
      <w:r w:rsidRPr="00AA4260">
        <w:rPr>
          <w:i/>
          <w:szCs w:val="17"/>
        </w:rPr>
        <w:t>Single European Transport Area</w:t>
      </w:r>
      <w:r>
        <w:rPr>
          <w:szCs w:val="17"/>
        </w:rPr>
        <w:t>) aangekondigd.</w:t>
      </w:r>
      <w:r w:rsidR="00901026">
        <w:rPr>
          <w:szCs w:val="17"/>
        </w:rPr>
        <w:t xml:space="preserve"> </w:t>
      </w:r>
      <w:r w:rsidR="00997D61">
        <w:rPr>
          <w:szCs w:val="17"/>
        </w:rPr>
        <w:t xml:space="preserve">De </w:t>
      </w:r>
      <w:r w:rsidR="00901026">
        <w:rPr>
          <w:szCs w:val="17"/>
        </w:rPr>
        <w:t xml:space="preserve">Eurocommissaris gaf in het gesprek aan dat ook de publicatie van dit voorstel is uitgesteld naar het tweede semester van 2016. Bij de voorbereiding ervan werken hij en verantwoordelijk </w:t>
      </w:r>
      <w:r>
        <w:rPr>
          <w:szCs w:val="17"/>
        </w:rPr>
        <w:t>Eurocommissaris Violeta Bulc</w:t>
      </w:r>
      <w:r w:rsidR="00901026">
        <w:rPr>
          <w:szCs w:val="17"/>
        </w:rPr>
        <w:t xml:space="preserve"> van Transport nauw samen. </w:t>
      </w:r>
      <w:r w:rsidR="00B37961">
        <w:rPr>
          <w:szCs w:val="17"/>
        </w:rPr>
        <w:t xml:space="preserve">Het voorstel zal onder andere voorstellen bevatten voor de decarbonisatie van personenauto’s en vrachtwagens, door het stimuleren van bijvoorbeeld </w:t>
      </w:r>
      <w:r w:rsidR="00680438">
        <w:rPr>
          <w:szCs w:val="17"/>
        </w:rPr>
        <w:t>elektrische</w:t>
      </w:r>
      <w:r w:rsidR="00B37961">
        <w:rPr>
          <w:szCs w:val="17"/>
        </w:rPr>
        <w:t xml:space="preserve"> auto’s maar de inzet van waterstof.</w:t>
      </w:r>
      <w:r>
        <w:rPr>
          <w:szCs w:val="17"/>
        </w:rPr>
        <w:t xml:space="preserve"> </w:t>
      </w:r>
      <w:r w:rsidR="00BD54A5">
        <w:rPr>
          <w:szCs w:val="17"/>
        </w:rPr>
        <w:t>In het voorstel zal ook een link worden gelegd met de luchtkwaliteitsdoelstellingen.</w:t>
      </w:r>
    </w:p>
    <w:p w:rsidR="00C62FA0" w:rsidP="00993C3B" w:rsidRDefault="00C62FA0">
      <w:pPr>
        <w:rPr>
          <w:b/>
          <w:szCs w:val="17"/>
        </w:rPr>
      </w:pPr>
    </w:p>
    <w:p w:rsidRPr="00C716B5" w:rsidR="00C716B5" w:rsidP="00993C3B" w:rsidRDefault="00C716B5">
      <w:pPr>
        <w:rPr>
          <w:szCs w:val="17"/>
          <w:u w:val="single"/>
        </w:rPr>
      </w:pPr>
      <w:r w:rsidRPr="00C716B5">
        <w:rPr>
          <w:szCs w:val="17"/>
          <w:u w:val="single"/>
        </w:rPr>
        <w:t>Tot slot</w:t>
      </w:r>
    </w:p>
    <w:p w:rsidR="006268AE" w:rsidP="00993C3B" w:rsidRDefault="006268AE">
      <w:r w:rsidRPr="006268AE">
        <w:t xml:space="preserve">Het gesprek met Eurocommissaris </w:t>
      </w:r>
      <w:r w:rsidRPr="006268AE">
        <w:rPr>
          <w:szCs w:val="17"/>
        </w:rPr>
        <w:t>Cañete</w:t>
      </w:r>
      <w:r w:rsidRPr="006268AE">
        <w:t xml:space="preserve"> eindigde met zijn oproep aan de Tweede Kamer om zich </w:t>
      </w:r>
      <w:r w:rsidR="00756252">
        <w:t>sterk te blijven maken v</w:t>
      </w:r>
      <w:r w:rsidRPr="006268AE">
        <w:t xml:space="preserve">oor een ambitieuze inzet van Nederland in aanloop naar en tijdens de naderende VN-Klimaatconferentie in Parijs. Ook wees hij op </w:t>
      </w:r>
      <w:r w:rsidR="00756252">
        <w:t xml:space="preserve">de </w:t>
      </w:r>
      <w:r w:rsidRPr="006268AE">
        <w:t>mogelijke leiderschapsrol voor Nederland bij de totstandkoming van meer regionale samenwerking op energiegebied in het Noordzee gebied</w:t>
      </w:r>
      <w:r w:rsidR="005E4CCA">
        <w:t xml:space="preserve">, bijvoorbeeld in </w:t>
      </w:r>
      <w:r w:rsidRPr="005E4CCA" w:rsidR="005E4CCA">
        <w:rPr>
          <w:i/>
        </w:rPr>
        <w:t>o</w:t>
      </w:r>
      <w:r w:rsidRPr="005E4CCA">
        <w:rPr>
          <w:i/>
        </w:rPr>
        <w:t>ff shore</w:t>
      </w:r>
      <w:r w:rsidRPr="006268AE">
        <w:t xml:space="preserve"> windenergie</w:t>
      </w:r>
      <w:r w:rsidR="005E4CCA">
        <w:t>, en het belang v</w:t>
      </w:r>
      <w:r w:rsidR="00D21B6F">
        <w:t xml:space="preserve">an de ontwikkeling van </w:t>
      </w:r>
      <w:r w:rsidRPr="005E4CCA">
        <w:rPr>
          <w:i/>
        </w:rPr>
        <w:t>intelli</w:t>
      </w:r>
      <w:r w:rsidR="005E4CCA">
        <w:rPr>
          <w:i/>
        </w:rPr>
        <w:t>gent grid</w:t>
      </w:r>
      <w:r w:rsidR="00D21B6F">
        <w:rPr>
          <w:i/>
        </w:rPr>
        <w:t>s</w:t>
      </w:r>
      <w:r w:rsidR="005E4CCA">
        <w:rPr>
          <w:i/>
        </w:rPr>
        <w:t xml:space="preserve">, </w:t>
      </w:r>
      <w:r w:rsidR="005E4CCA">
        <w:t xml:space="preserve">waarbij hij het EFSI </w:t>
      </w:r>
      <w:r w:rsidR="005D0577">
        <w:t xml:space="preserve">(het Juncker Fonds) </w:t>
      </w:r>
      <w:r w:rsidR="005E4CCA">
        <w:t xml:space="preserve">noemde als belangrijk instrument om investeringen aan te </w:t>
      </w:r>
      <w:r w:rsidR="00680438">
        <w:t>jagen.</w:t>
      </w:r>
      <w:r w:rsidRPr="006268AE" w:rsidR="00680438">
        <w:t xml:space="preserve"> </w:t>
      </w:r>
    </w:p>
    <w:p w:rsidR="00E8681E" w:rsidP="00993C3B" w:rsidRDefault="00E8681E">
      <w:pPr>
        <w:rPr>
          <w:b/>
          <w:szCs w:val="17"/>
        </w:rPr>
      </w:pPr>
    </w:p>
    <w:p w:rsidR="00C62FA0" w:rsidP="00993C3B" w:rsidRDefault="00C62FA0">
      <w:pPr>
        <w:rPr>
          <w:b/>
          <w:szCs w:val="17"/>
        </w:rPr>
      </w:pPr>
    </w:p>
    <w:p w:rsidR="00AB15E8" w:rsidP="00993C3B" w:rsidRDefault="00C716B5">
      <w:pPr>
        <w:rPr>
          <w:b/>
          <w:szCs w:val="17"/>
        </w:rPr>
      </w:pPr>
      <w:r>
        <w:rPr>
          <w:b/>
          <w:szCs w:val="17"/>
        </w:rPr>
        <w:t>Dankwoord</w:t>
      </w:r>
    </w:p>
    <w:p w:rsidRPr="002B271B" w:rsidR="00C04466" w:rsidP="00993C3B" w:rsidRDefault="00C04466">
      <w:r w:rsidRPr="002B271B">
        <w:t xml:space="preserve">De </w:t>
      </w:r>
      <w:r w:rsidR="009F6B3F">
        <w:t xml:space="preserve">co-rapporteurs </w:t>
      </w:r>
      <w:r w:rsidR="00AB15E8">
        <w:t xml:space="preserve">Energie-unie </w:t>
      </w:r>
      <w:r w:rsidR="009F6B3F">
        <w:t xml:space="preserve">willen Eurocommissaris </w:t>
      </w:r>
      <w:r w:rsidRPr="009F6B3F" w:rsidR="009F6B3F">
        <w:rPr>
          <w:szCs w:val="17"/>
        </w:rPr>
        <w:t>Cañete</w:t>
      </w:r>
      <w:r w:rsidRPr="009F6B3F" w:rsidR="009F6B3F">
        <w:t xml:space="preserve"> </w:t>
      </w:r>
      <w:r w:rsidR="009F6B3F">
        <w:t>en de aanwezigen tijdens de rondetafelgesprekken bijzonder bedanken voor hun tijd om hun inzichten met hen te delen. Verder gaat hun dank uit naar de heer Steeghs</w:t>
      </w:r>
      <w:r w:rsidR="00732288">
        <w:t xml:space="preserve">, </w:t>
      </w:r>
      <w:r w:rsidR="009F6B3F">
        <w:t xml:space="preserve">de heer Krajenbrink </w:t>
      </w:r>
      <w:r w:rsidR="00732288">
        <w:t xml:space="preserve">en </w:t>
      </w:r>
      <w:r w:rsidRPr="00A32BE3" w:rsidR="00732288">
        <w:t xml:space="preserve">mevrouw </w:t>
      </w:r>
      <w:r w:rsidR="00A32BE3">
        <w:t xml:space="preserve">Ten Have </w:t>
      </w:r>
      <w:r w:rsidR="009F6B3F">
        <w:t>van de</w:t>
      </w:r>
      <w:r w:rsidR="00807198">
        <w:t xml:space="preserve"> </w:t>
      </w:r>
      <w:r w:rsidRPr="002B271B">
        <w:t xml:space="preserve">Nederlandse </w:t>
      </w:r>
      <w:r w:rsidR="009F6B3F">
        <w:t xml:space="preserve">Permanente Vertegenwoordiging bij de EU voor </w:t>
      </w:r>
      <w:r w:rsidR="00763C2E">
        <w:t xml:space="preserve">hun </w:t>
      </w:r>
      <w:r w:rsidR="009F6B3F">
        <w:t>inzet bij de voorbereiding</w:t>
      </w:r>
      <w:r w:rsidR="00763C2E">
        <w:t xml:space="preserve">, hun bijdrage aan en hun </w:t>
      </w:r>
      <w:r w:rsidR="009F6B3F">
        <w:t xml:space="preserve">gastvrijheid tijdens </w:t>
      </w:r>
      <w:r w:rsidRPr="002B271B">
        <w:t xml:space="preserve">het </w:t>
      </w:r>
      <w:r w:rsidR="009F6B3F">
        <w:t>werk</w:t>
      </w:r>
      <w:r w:rsidRPr="002B271B">
        <w:t>bezoek.</w:t>
      </w:r>
      <w:r w:rsidR="009F6B3F">
        <w:t xml:space="preserve"> Tot slot </w:t>
      </w:r>
      <w:r w:rsidR="00732288">
        <w:t xml:space="preserve">bedanken zij </w:t>
      </w:r>
      <w:r w:rsidR="009F6B3F">
        <w:t xml:space="preserve">de medewerkers van de EU-staf van de Tweede Kamer </w:t>
      </w:r>
      <w:r w:rsidR="00732288">
        <w:t xml:space="preserve">voor de voorbereiding van en </w:t>
      </w:r>
      <w:r w:rsidR="00F105F1">
        <w:t xml:space="preserve">begeleiding </w:t>
      </w:r>
      <w:r w:rsidR="00732288">
        <w:t xml:space="preserve">tijdens het </w:t>
      </w:r>
      <w:r w:rsidR="00680438">
        <w:t xml:space="preserve">werkbezoek. </w:t>
      </w:r>
    </w:p>
    <w:p w:rsidR="00C04466" w:rsidP="00993C3B" w:rsidRDefault="00C04466"/>
    <w:p w:rsidR="00C04466" w:rsidP="00993C3B" w:rsidRDefault="00C04466"/>
    <w:p w:rsidRPr="002B271B" w:rsidR="00D95C8D" w:rsidP="00993C3B" w:rsidRDefault="00D95C8D"/>
    <w:p w:rsidRPr="002B271B" w:rsidR="00572225" w:rsidP="00993C3B" w:rsidRDefault="00C04466">
      <w:r w:rsidRPr="002B271B">
        <w:lastRenderedPageBreak/>
        <w:t xml:space="preserve">De </w:t>
      </w:r>
      <w:r w:rsidR="00572225">
        <w:t>co-rapporteurs Energie-Unie,</w:t>
      </w:r>
    </w:p>
    <w:p w:rsidR="00572225" w:rsidP="00993C3B" w:rsidRDefault="00572225"/>
    <w:p w:rsidR="00572225" w:rsidP="00993C3B" w:rsidRDefault="00572225">
      <w:r>
        <w:t>Stientje van Veldhoven (namens de commissie EZ)</w:t>
      </w:r>
    </w:p>
    <w:p w:rsidRPr="002B271B" w:rsidR="00572225" w:rsidP="00993C3B" w:rsidRDefault="00572225">
      <w:r>
        <w:t>Remco Dijkstra (namens de commissie I&amp;M)</w:t>
      </w:r>
    </w:p>
    <w:p w:rsidR="00572225" w:rsidP="00993C3B" w:rsidRDefault="00572225">
      <w:pPr>
        <w:rPr>
          <w:b/>
          <w:szCs w:val="17"/>
        </w:rPr>
      </w:pPr>
    </w:p>
    <w:p w:rsidR="00245667" w:rsidP="00993C3B" w:rsidRDefault="00245667">
      <w:pPr>
        <w:rPr>
          <w:b/>
          <w:szCs w:val="17"/>
        </w:rPr>
      </w:pPr>
      <w:r>
        <w:rPr>
          <w:b/>
          <w:szCs w:val="17"/>
        </w:rPr>
        <w:br w:type="page"/>
      </w:r>
    </w:p>
    <w:p w:rsidRPr="00245667" w:rsidR="00FC251F" w:rsidP="00993C3B" w:rsidRDefault="00AB50B8">
      <w:pPr>
        <w:rPr>
          <w:b/>
          <w:sz w:val="22"/>
        </w:rPr>
      </w:pPr>
      <w:r w:rsidRPr="00245667">
        <w:rPr>
          <w:b/>
          <w:sz w:val="22"/>
        </w:rPr>
        <w:lastRenderedPageBreak/>
        <w:t xml:space="preserve">Bijlage: Achtergrondinformatie </w:t>
      </w:r>
      <w:r w:rsidR="00813009">
        <w:rPr>
          <w:b/>
          <w:sz w:val="22"/>
        </w:rPr>
        <w:t>Energie-Unie</w:t>
      </w:r>
    </w:p>
    <w:p w:rsidR="006300D3" w:rsidP="00993C3B" w:rsidRDefault="006300D3">
      <w:pPr>
        <w:rPr>
          <w:b/>
          <w:sz w:val="22"/>
        </w:rPr>
      </w:pPr>
    </w:p>
    <w:p w:rsidRPr="007F39F7" w:rsidR="007A2E4B" w:rsidP="00993C3B" w:rsidRDefault="007A2E4B">
      <w:pPr>
        <w:pStyle w:val="Default"/>
        <w:spacing w:after="200"/>
        <w:rPr>
          <w:rFonts w:cs="Times New Roman"/>
          <w:color w:val="auto"/>
          <w:sz w:val="18"/>
          <w:szCs w:val="22"/>
          <w:lang w:eastAsia="en-US"/>
        </w:rPr>
      </w:pPr>
      <w:r w:rsidRPr="007A2E4B">
        <w:rPr>
          <w:rFonts w:cs="Times New Roman"/>
          <w:color w:val="auto"/>
          <w:sz w:val="18"/>
          <w:szCs w:val="22"/>
          <w:lang w:eastAsia="en-US"/>
        </w:rPr>
        <w:t xml:space="preserve">Op 25 februari 2015 publiceerde de Europese Commissie een </w:t>
      </w:r>
      <w:r>
        <w:rPr>
          <w:rFonts w:cs="Times New Roman"/>
          <w:color w:val="auto"/>
          <w:sz w:val="18"/>
          <w:szCs w:val="22"/>
          <w:lang w:eastAsia="en-US"/>
        </w:rPr>
        <w:t>‘</w:t>
      </w:r>
      <w:r w:rsidRPr="007A2E4B">
        <w:rPr>
          <w:rFonts w:cs="Times New Roman"/>
          <w:color w:val="auto"/>
          <w:sz w:val="18"/>
          <w:szCs w:val="22"/>
          <w:lang w:eastAsia="en-US"/>
        </w:rPr>
        <w:t xml:space="preserve">Kaderstrategie voor een </w:t>
      </w:r>
      <w:r w:rsidRPr="007F39F7">
        <w:rPr>
          <w:rFonts w:cs="Times New Roman"/>
          <w:color w:val="auto"/>
          <w:sz w:val="18"/>
          <w:szCs w:val="22"/>
          <w:lang w:eastAsia="en-US"/>
        </w:rPr>
        <w:t xml:space="preserve">Veerkrachtige Energie-Unie met een Toekomstgericht Klimaatveranderingsbeleid’. Dit voorstel is </w:t>
      </w:r>
      <w:r w:rsidRPr="007F39F7" w:rsidR="006D73FD">
        <w:rPr>
          <w:rFonts w:cs="Times New Roman"/>
          <w:color w:val="auto"/>
          <w:sz w:val="18"/>
          <w:szCs w:val="22"/>
          <w:lang w:eastAsia="en-US"/>
        </w:rPr>
        <w:t>door zowel de commissies EZ als I&amp;M als prioritair EU-dossier aangemerkt.</w:t>
      </w:r>
      <w:r w:rsidRPr="007F39F7" w:rsidR="00C252DF">
        <w:t xml:space="preserve"> </w:t>
      </w:r>
    </w:p>
    <w:p w:rsidR="00C57FB5" w:rsidP="00993C3B" w:rsidRDefault="0089176B">
      <w:pPr>
        <w:spacing w:after="200"/>
      </w:pPr>
      <w:r w:rsidRPr="007F39F7">
        <w:t xml:space="preserve">Na de bespreking van de Kaderstrategie door Europese regeringsleiders tijdens de Europese Raad in maart, heeft </w:t>
      </w:r>
      <w:r w:rsidRPr="007F39F7" w:rsidR="00C03FA8">
        <w:t xml:space="preserve">de Energieraad </w:t>
      </w:r>
      <w:r w:rsidR="00EA0108">
        <w:t xml:space="preserve">op 8 juni </w:t>
      </w:r>
      <w:r w:rsidR="00680438">
        <w:t>jl.</w:t>
      </w:r>
      <w:r w:rsidRPr="007F39F7" w:rsidR="00C03FA8">
        <w:t xml:space="preserve"> conclusies over de </w:t>
      </w:r>
      <w:r w:rsidRPr="007F39F7" w:rsidR="006D73FD">
        <w:t xml:space="preserve">Kaderstrategie </w:t>
      </w:r>
      <w:r w:rsidRPr="007F39F7" w:rsidR="00C03FA8">
        <w:t>Energie-Unie aangenomen.</w:t>
      </w:r>
      <w:r w:rsidR="00C03FA8">
        <w:t xml:space="preserve"> </w:t>
      </w:r>
      <w:r w:rsidR="00521B1D">
        <w:t xml:space="preserve">De raadsconclusies onderstreepten het belang van volledige integratie van de energiemarkt, de wens om te komen tot meer regionale samenwerking, en </w:t>
      </w:r>
      <w:r w:rsidR="00C03FA8">
        <w:t>het stimuleren van investeringen</w:t>
      </w:r>
      <w:r w:rsidR="00EA0108">
        <w:t xml:space="preserve"> </w:t>
      </w:r>
      <w:r w:rsidR="00521B1D">
        <w:t xml:space="preserve">in interconnecties </w:t>
      </w:r>
      <w:r w:rsidR="00EA0108">
        <w:t>vanuit de ‘Connecting Europe Facility’ (CEF) en het Europese Fonds voor Strategische Investeringen (EFSI)</w:t>
      </w:r>
      <w:r w:rsidR="00C03FA8">
        <w:t>.</w:t>
      </w:r>
      <w:r w:rsidR="00EA0108">
        <w:t xml:space="preserve"> </w:t>
      </w:r>
      <w:r w:rsidR="00C57FB5">
        <w:t xml:space="preserve">Ook de </w:t>
      </w:r>
      <w:r w:rsidRPr="00C57FB5" w:rsidR="00C57FB5">
        <w:rPr>
          <w:i/>
        </w:rPr>
        <w:t>‘governance’</w:t>
      </w:r>
      <w:r w:rsidR="00C57FB5">
        <w:t xml:space="preserve"> van de Energie-Unie is uitgebreid aan bod gekomen</w:t>
      </w:r>
      <w:r w:rsidR="00521B1D">
        <w:t xml:space="preserve">; zie ook de toelichting op dit prioritaire onderwerp onder punt ‘A’ in deze </w:t>
      </w:r>
      <w:r w:rsidR="00680438">
        <w:t>notitie.</w:t>
      </w:r>
      <w:r w:rsidR="00521B1D">
        <w:t xml:space="preserve"> </w:t>
      </w:r>
    </w:p>
    <w:p w:rsidR="007F39F7" w:rsidP="00993C3B" w:rsidRDefault="002B3BCE">
      <w:pPr>
        <w:spacing w:after="200"/>
        <w:rPr>
          <w:szCs w:val="18"/>
          <w:highlight w:val="yellow"/>
        </w:rPr>
      </w:pPr>
      <w:r>
        <w:t xml:space="preserve">Na de Energieraad van 8 juni zijn vervolgens op 15 juli </w:t>
      </w:r>
      <w:r w:rsidRPr="00021664">
        <w:t>de eerste voorstellen in het kader van de Energie-Unie gepresenteerd</w:t>
      </w:r>
      <w:r>
        <w:t xml:space="preserve"> door de Europese Commissie</w:t>
      </w:r>
      <w:r w:rsidRPr="00021664">
        <w:t xml:space="preserve"> Dit </w:t>
      </w:r>
      <w:hyperlink w:history="1" r:id="rId17">
        <w:r w:rsidRPr="00021664">
          <w:rPr>
            <w:rStyle w:val="Hyperlink"/>
          </w:rPr>
          <w:t>‘zomerenergiepakket’</w:t>
        </w:r>
      </w:hyperlink>
      <w:r w:rsidRPr="00021664">
        <w:t xml:space="preserve"> omvat een aantal voorstellen. </w:t>
      </w:r>
      <w:r w:rsidRPr="007F39F7">
        <w:t xml:space="preserve">Het belangrijkste hiervan is </w:t>
      </w:r>
      <w:r w:rsidRPr="007F39F7" w:rsidR="002A6F16">
        <w:t xml:space="preserve">het voorstel voor de herziening van het Europese </w:t>
      </w:r>
      <w:r w:rsidRPr="007F39F7">
        <w:t>emissiehandel</w:t>
      </w:r>
      <w:r w:rsidRPr="007F39F7" w:rsidR="002A6F16">
        <w:t>ssysteem voor de periode 2021-2030</w:t>
      </w:r>
      <w:r w:rsidRPr="007F39F7">
        <w:t xml:space="preserve"> (EU-ETS).</w:t>
      </w:r>
      <w:r w:rsidR="005968D3">
        <w:t xml:space="preserve"> (Zie </w:t>
      </w:r>
      <w:hyperlink w:history="1" r:id="rId18">
        <w:r w:rsidRPr="00E25F4B" w:rsidR="005968D3">
          <w:rPr>
            <w:rStyle w:val="Hyperlink"/>
          </w:rPr>
          <w:t>notitie van de co-rapporteurs</w:t>
        </w:r>
      </w:hyperlink>
      <w:r w:rsidR="005968D3">
        <w:t xml:space="preserve"> </w:t>
      </w:r>
      <w:r w:rsidR="00680438">
        <w:t xml:space="preserve">d.d. </w:t>
      </w:r>
      <w:r w:rsidR="00E25F4B">
        <w:t xml:space="preserve">1 september 2015). </w:t>
      </w:r>
      <w:r w:rsidRPr="00021664">
        <w:t>Dit is een prioritair EU-d</w:t>
      </w:r>
      <w:r>
        <w:t xml:space="preserve">ossier van de commissie I&amp;M (zie onder </w:t>
      </w:r>
      <w:r w:rsidRPr="00666A9C">
        <w:rPr>
          <w:i/>
        </w:rPr>
        <w:t xml:space="preserve">B. Onderwerpen </w:t>
      </w:r>
      <w:r w:rsidR="007F39F7">
        <w:rPr>
          <w:i/>
        </w:rPr>
        <w:t>C</w:t>
      </w:r>
      <w:r w:rsidRPr="00666A9C">
        <w:rPr>
          <w:i/>
        </w:rPr>
        <w:t>ommissie I&amp;M</w:t>
      </w:r>
      <w:r>
        <w:t xml:space="preserve"> verderop in deze notitie</w:t>
      </w:r>
      <w:r w:rsidRPr="00021664">
        <w:t xml:space="preserve">). </w:t>
      </w:r>
      <w:r w:rsidRPr="007F39F7" w:rsidR="007F39F7">
        <w:rPr>
          <w:szCs w:val="18"/>
        </w:rPr>
        <w:t xml:space="preserve">Tijdens de aanstaande Milieuraad d.d. 26 oktober zal een eerste bespreking plaatsvinden van het voorstel voor de herziening van het </w:t>
      </w:r>
      <w:r w:rsidRPr="007F39F7" w:rsidR="00680438">
        <w:rPr>
          <w:szCs w:val="18"/>
        </w:rPr>
        <w:t xml:space="preserve">EU-ETS. </w:t>
      </w:r>
    </w:p>
    <w:p w:rsidR="002B3BCE" w:rsidP="00993C3B" w:rsidRDefault="002B3BCE">
      <w:pPr>
        <w:spacing w:after="200"/>
        <w:rPr>
          <w:szCs w:val="18"/>
        </w:rPr>
      </w:pPr>
      <w:r>
        <w:t xml:space="preserve">Op 26 november a.s. is er </w:t>
      </w:r>
      <w:r w:rsidR="007F39F7">
        <w:t xml:space="preserve">vervolgens </w:t>
      </w:r>
      <w:r>
        <w:t>een Energieraad, waar de eerste ‘State of the Energy Union’</w:t>
      </w:r>
      <w:r w:rsidR="00C57FB5">
        <w:t xml:space="preserve"> </w:t>
      </w:r>
      <w:r w:rsidR="00245667">
        <w:t xml:space="preserve">zal worden besproken </w:t>
      </w:r>
      <w:r w:rsidR="00C57FB5">
        <w:t xml:space="preserve">die </w:t>
      </w:r>
      <w:r w:rsidR="00B008B8">
        <w:t>geagendeerd staat voor publicatie op 18 november</w:t>
      </w:r>
      <w:r w:rsidR="00245667">
        <w:t xml:space="preserve">. </w:t>
      </w:r>
      <w:r>
        <w:t>De raadsc</w:t>
      </w:r>
      <w:r w:rsidR="00C57FB5">
        <w:t>onclusies van 8 juni vormen hier</w:t>
      </w:r>
      <w:r>
        <w:t xml:space="preserve">voor de basis. </w:t>
      </w:r>
      <w:r>
        <w:rPr>
          <w:szCs w:val="18"/>
        </w:rPr>
        <w:t xml:space="preserve">Tenslotte komt de Commissie in het vierde kwartaal van 2015 met een meer </w:t>
      </w:r>
      <w:r w:rsidR="00680438">
        <w:rPr>
          <w:szCs w:val="18"/>
        </w:rPr>
        <w:t>gedetailleerde</w:t>
      </w:r>
      <w:r>
        <w:rPr>
          <w:szCs w:val="18"/>
        </w:rPr>
        <w:t xml:space="preserve"> mededeling over de </w:t>
      </w:r>
      <w:r>
        <w:rPr>
          <w:i/>
          <w:iCs/>
          <w:szCs w:val="18"/>
        </w:rPr>
        <w:t xml:space="preserve">governance </w:t>
      </w:r>
      <w:r>
        <w:rPr>
          <w:iCs/>
          <w:szCs w:val="18"/>
        </w:rPr>
        <w:t>van de Energie-Unie</w:t>
      </w:r>
      <w:r>
        <w:rPr>
          <w:szCs w:val="18"/>
        </w:rPr>
        <w:t>.</w:t>
      </w:r>
    </w:p>
    <w:p w:rsidR="00C57FB5" w:rsidP="00993C3B" w:rsidRDefault="0077298B">
      <w:pPr>
        <w:spacing w:after="200"/>
        <w:rPr>
          <w:szCs w:val="18"/>
        </w:rPr>
      </w:pPr>
      <w:r>
        <w:rPr>
          <w:szCs w:val="18"/>
        </w:rPr>
        <w:t>H</w:t>
      </w:r>
      <w:r w:rsidR="00C57FB5">
        <w:rPr>
          <w:szCs w:val="18"/>
        </w:rPr>
        <w:t>ieronder bespreken we achtereenvolgens de prioritaire onderwerpen voor de commissies EZ (</w:t>
      </w:r>
      <w:r w:rsidR="00D84905">
        <w:rPr>
          <w:szCs w:val="18"/>
        </w:rPr>
        <w:t>A</w:t>
      </w:r>
      <w:r w:rsidR="00680438">
        <w:rPr>
          <w:szCs w:val="18"/>
        </w:rPr>
        <w:t>: de</w:t>
      </w:r>
      <w:r w:rsidR="00D84905">
        <w:rPr>
          <w:szCs w:val="18"/>
        </w:rPr>
        <w:t xml:space="preserve"> inrichting van de </w:t>
      </w:r>
      <w:r w:rsidRPr="00C57FB5" w:rsidR="00680438">
        <w:rPr>
          <w:i/>
          <w:szCs w:val="18"/>
        </w:rPr>
        <w:t>governance</w:t>
      </w:r>
      <w:r w:rsidR="00680438">
        <w:rPr>
          <w:i/>
          <w:szCs w:val="18"/>
        </w:rPr>
        <w:t xml:space="preserve"> </w:t>
      </w:r>
      <w:r w:rsidR="00680438">
        <w:rPr>
          <w:szCs w:val="18"/>
        </w:rPr>
        <w:t>van</w:t>
      </w:r>
      <w:r w:rsidR="00D84905">
        <w:rPr>
          <w:szCs w:val="18"/>
        </w:rPr>
        <w:t xml:space="preserve"> de Energie-Unie</w:t>
      </w:r>
      <w:r w:rsidR="00C57FB5">
        <w:rPr>
          <w:szCs w:val="18"/>
        </w:rPr>
        <w:t xml:space="preserve"> en </w:t>
      </w:r>
      <w:r w:rsidR="00D84905">
        <w:rPr>
          <w:szCs w:val="18"/>
        </w:rPr>
        <w:t xml:space="preserve">de </w:t>
      </w:r>
      <w:r w:rsidR="00C57FB5">
        <w:rPr>
          <w:szCs w:val="18"/>
        </w:rPr>
        <w:t xml:space="preserve">gezamenlijke aankoop van gas) en </w:t>
      </w:r>
      <w:r w:rsidR="009827E9">
        <w:rPr>
          <w:szCs w:val="18"/>
        </w:rPr>
        <w:t>IenM</w:t>
      </w:r>
      <w:r w:rsidR="00680438">
        <w:rPr>
          <w:szCs w:val="18"/>
        </w:rPr>
        <w:t>.</w:t>
      </w:r>
      <w:r w:rsidR="00C57FB5">
        <w:rPr>
          <w:szCs w:val="18"/>
        </w:rPr>
        <w:t xml:space="preserve"> (</w:t>
      </w:r>
      <w:r w:rsidR="00680438">
        <w:rPr>
          <w:szCs w:val="18"/>
        </w:rPr>
        <w:t>B: herziening</w:t>
      </w:r>
      <w:r w:rsidR="00C57FB5">
        <w:rPr>
          <w:szCs w:val="18"/>
        </w:rPr>
        <w:t xml:space="preserve"> EU-ETS). </w:t>
      </w:r>
    </w:p>
    <w:p w:rsidR="00666A9C" w:rsidP="00993C3B" w:rsidRDefault="007A2E4B">
      <w:pPr>
        <w:pStyle w:val="Lijstalinea"/>
        <w:numPr>
          <w:ilvl w:val="0"/>
          <w:numId w:val="2"/>
        </w:numPr>
        <w:spacing w:after="200"/>
        <w:rPr>
          <w:b/>
          <w:i/>
          <w:sz w:val="22"/>
          <w:u w:val="single"/>
        </w:rPr>
      </w:pPr>
      <w:r w:rsidRPr="00724A1E">
        <w:rPr>
          <w:b/>
          <w:i/>
          <w:sz w:val="22"/>
          <w:u w:val="single"/>
        </w:rPr>
        <w:t>Prioritaire o</w:t>
      </w:r>
      <w:r w:rsidRPr="00724A1E" w:rsidR="00666A9C">
        <w:rPr>
          <w:b/>
          <w:i/>
          <w:sz w:val="22"/>
          <w:u w:val="single"/>
        </w:rPr>
        <w:t>nderwerpen commissie EZ</w:t>
      </w:r>
    </w:p>
    <w:p w:rsidRPr="00724A1E" w:rsidR="00DA3FE1" w:rsidP="00993C3B" w:rsidRDefault="00DA3FE1">
      <w:pPr>
        <w:pStyle w:val="Lijstalinea"/>
        <w:spacing w:after="200"/>
        <w:rPr>
          <w:b/>
          <w:i/>
          <w:sz w:val="22"/>
          <w:u w:val="single"/>
        </w:rPr>
      </w:pPr>
    </w:p>
    <w:p w:rsidRPr="00DA3FE1" w:rsidR="00666A9C" w:rsidP="00993C3B" w:rsidRDefault="00021664">
      <w:pPr>
        <w:pStyle w:val="Lijstalinea"/>
        <w:numPr>
          <w:ilvl w:val="0"/>
          <w:numId w:val="5"/>
        </w:numPr>
        <w:spacing w:after="200"/>
        <w:ind w:left="426" w:hanging="426"/>
        <w:rPr>
          <w:b/>
          <w:sz w:val="20"/>
          <w:szCs w:val="20"/>
        </w:rPr>
      </w:pPr>
      <w:r w:rsidRPr="00DA3FE1">
        <w:rPr>
          <w:b/>
          <w:sz w:val="20"/>
          <w:szCs w:val="20"/>
        </w:rPr>
        <w:t>Governance van de Energie-Un</w:t>
      </w:r>
      <w:r w:rsidRPr="00DA3FE1" w:rsidR="00666A9C">
        <w:rPr>
          <w:b/>
          <w:sz w:val="20"/>
          <w:szCs w:val="20"/>
        </w:rPr>
        <w:t>ie: inrichting wordt dit najaar bekend</w:t>
      </w:r>
    </w:p>
    <w:p w:rsidRPr="00724A1E" w:rsidR="00724A1E" w:rsidP="00993C3B" w:rsidRDefault="008E57B3">
      <w:pPr>
        <w:rPr>
          <w:b/>
          <w:szCs w:val="20"/>
        </w:rPr>
      </w:pPr>
      <w:r>
        <w:rPr>
          <w:b/>
          <w:szCs w:val="20"/>
        </w:rPr>
        <w:t>Europese Commissie: doelstellingen en rapportageverplichtingen</w:t>
      </w:r>
    </w:p>
    <w:p w:rsidRPr="00C17BE3" w:rsidR="00D84905" w:rsidP="00245667" w:rsidRDefault="00D84905">
      <w:pPr>
        <w:spacing w:after="200"/>
        <w:rPr>
          <w:szCs w:val="18"/>
        </w:rPr>
      </w:pPr>
      <w:r>
        <w:t>Tijdens</w:t>
      </w:r>
      <w:r w:rsidR="00C57FB5">
        <w:t xml:space="preserve"> de Energieraad van 8 juni </w:t>
      </w:r>
      <w:r w:rsidR="00680438">
        <w:t>jl.</w:t>
      </w:r>
      <w:r w:rsidR="00C57FB5">
        <w:t xml:space="preserve"> </w:t>
      </w:r>
      <w:r>
        <w:t xml:space="preserve">is </w:t>
      </w:r>
      <w:r w:rsidR="00C57FB5">
        <w:t xml:space="preserve">door vicevoorzitter Šefčovič (verantwoordelijk voor de Energie-Unie) </w:t>
      </w:r>
      <w:r>
        <w:t xml:space="preserve">benadrukt dat de </w:t>
      </w:r>
      <w:r w:rsidRPr="00D84905">
        <w:rPr>
          <w:i/>
        </w:rPr>
        <w:t>governance</w:t>
      </w:r>
      <w:r w:rsidR="00C57FB5">
        <w:t xml:space="preserve"> drie doelen dient: (i) implementatie van de 2030 doelen voor CO2 reductie, (ii) het behalen van de doelen voor de interne markt (inclusief interconnectie en regionale samenwerking) en (iii) zorgen voor voldoende zekerheid voor investeerders. Om deze doelen te bereiken is een goede </w:t>
      </w:r>
      <w:r w:rsidR="00A44B73">
        <w:rPr>
          <w:szCs w:val="18"/>
        </w:rPr>
        <w:t>beleidsonderbouwing op basis van betrouwbare data</w:t>
      </w:r>
      <w:r w:rsidR="00C57FB5">
        <w:rPr>
          <w:szCs w:val="18"/>
        </w:rPr>
        <w:t xml:space="preserve"> noodzakelijk, evenals een heldere rapportage</w:t>
      </w:r>
      <w:r w:rsidR="00A44B73">
        <w:rPr>
          <w:szCs w:val="18"/>
        </w:rPr>
        <w:t>structuur</w:t>
      </w:r>
      <w:r w:rsidR="00C57FB5">
        <w:rPr>
          <w:szCs w:val="18"/>
        </w:rPr>
        <w:t xml:space="preserve"> en een nauwe samenwerking tussen de lidstaten, de Commissie, de Raad en het Europees </w:t>
      </w:r>
      <w:r w:rsidR="00680438">
        <w:rPr>
          <w:szCs w:val="18"/>
        </w:rPr>
        <w:t>Parlement</w:t>
      </w:r>
      <w:r w:rsidR="00C17BE3">
        <w:rPr>
          <w:szCs w:val="18"/>
        </w:rPr>
        <w:t xml:space="preserve">. </w:t>
      </w:r>
      <w:r w:rsidR="00C57FB5">
        <w:rPr>
          <w:szCs w:val="18"/>
        </w:rPr>
        <w:t xml:space="preserve">De </w:t>
      </w:r>
      <w:r w:rsidRPr="00C17BE3" w:rsidR="00680438">
        <w:rPr>
          <w:szCs w:val="18"/>
        </w:rPr>
        <w:t>Commissaris</w:t>
      </w:r>
      <w:r w:rsidRPr="00C17BE3" w:rsidR="00C57FB5">
        <w:rPr>
          <w:szCs w:val="18"/>
        </w:rPr>
        <w:t xml:space="preserve"> heeft voorgesteld de huidige rapportageverplichtingen in dit licht te herzien. </w:t>
      </w:r>
    </w:p>
    <w:p w:rsidR="00D84905" w:rsidP="00245667" w:rsidRDefault="00D84905">
      <w:pPr>
        <w:spacing w:after="200"/>
      </w:pPr>
      <w:r>
        <w:t>Het is inmiddels duidelijk</w:t>
      </w:r>
      <w:r w:rsidRPr="00021664">
        <w:t xml:space="preserve"> dat de lidstaten nationale klimaat- en energieplannen zullen gaan inleveren, </w:t>
      </w:r>
      <w:r w:rsidR="00EB5706">
        <w:t xml:space="preserve">waarbij de Europese Commissie voorstelt om deze te bundelen tot één jaarlijkse rapportage. Nederland staat in principe positief ten opzichte van de stroomlijning van rapportageverplichtingen en het terugdringen van administratieve lasten. Het is echter nog niet duidelijk </w:t>
      </w:r>
      <w:r w:rsidRPr="00021664">
        <w:t>precies</w:t>
      </w:r>
      <w:r w:rsidR="00EB5706">
        <w:t xml:space="preserve"> in deze rapportage</w:t>
      </w:r>
      <w:r w:rsidRPr="00021664">
        <w:t xml:space="preserve"> moet staan en of - en zo ja hoe – naar analogie van het Europees Semester de naleving van deze plannen zal worden gecontroleerd en eventueel afgedwongen.</w:t>
      </w:r>
      <w:r>
        <w:t xml:space="preserve"> Hierover zal wellicht eind 2015 meer duidelijk worden, als de governance-mededeling wordt gepubliceerd. </w:t>
      </w:r>
    </w:p>
    <w:p w:rsidR="00D84905" w:rsidP="00993C3B" w:rsidRDefault="00D84905">
      <w:pPr>
        <w:spacing w:after="200"/>
      </w:pPr>
      <w:r>
        <w:t>V</w:t>
      </w:r>
      <w:r w:rsidRPr="00021664">
        <w:t xml:space="preserve">ooruitlopend daarop kwam </w:t>
      </w:r>
      <w:r>
        <w:t>op 1 september 2015</w:t>
      </w:r>
      <w:r w:rsidRPr="00021664">
        <w:t xml:space="preserve"> het Luxemburgse EU-voorzitterschap met een discussiestuk in de vorm van concept-raadsconclusies</w:t>
      </w:r>
      <w:r>
        <w:t xml:space="preserve"> voor de Energieraad van 26 november 2015,</w:t>
      </w:r>
      <w:r w:rsidRPr="00021664">
        <w:t xml:space="preserve"> waarin het voorzitterschap zelf al wat contouren van dit systeem schetst (openbaar </w:t>
      </w:r>
      <w:hyperlink w:history="1" r:id="rId19">
        <w:r w:rsidRPr="00021664">
          <w:rPr>
            <w:rStyle w:val="Hyperlink"/>
          </w:rPr>
          <w:t>concept-stuk</w:t>
        </w:r>
      </w:hyperlink>
      <w:r w:rsidRPr="00021664">
        <w:t xml:space="preserve">, </w:t>
      </w:r>
      <w:hyperlink w:history="1" r:id="rId20">
        <w:r w:rsidRPr="00021664">
          <w:rPr>
            <w:rStyle w:val="Hyperlink"/>
          </w:rPr>
          <w:t>artikel Politico</w:t>
        </w:r>
      </w:hyperlink>
      <w:r w:rsidRPr="00021664">
        <w:t xml:space="preserve">). De lidstaatvertegenwoordigers in Brussel hebben tot 15 september de tijd </w:t>
      </w:r>
      <w:r w:rsidR="001E524D">
        <w:t xml:space="preserve">gehad </w:t>
      </w:r>
      <w:r w:rsidRPr="00021664">
        <w:t xml:space="preserve">om hierop te </w:t>
      </w:r>
      <w:r w:rsidRPr="00021664" w:rsidR="00680438">
        <w:t>reageren.</w:t>
      </w:r>
      <w:r w:rsidR="00680438">
        <w:t xml:space="preserve"> </w:t>
      </w:r>
    </w:p>
    <w:p w:rsidR="00724A1E" w:rsidP="00993C3B" w:rsidRDefault="00A44B73">
      <w:pPr>
        <w:spacing w:after="200"/>
      </w:pPr>
      <w:r>
        <w:rPr>
          <w:b/>
          <w:noProof/>
          <w:sz w:val="16"/>
          <w:szCs w:val="16"/>
          <w:lang w:eastAsia="nl-NL"/>
        </w:rPr>
        <w:lastRenderedPageBreak/>
        <mc:AlternateContent>
          <mc:Choice Requires="wps">
            <w:drawing>
              <wp:anchor distT="0" distB="0" distL="114300" distR="114300" simplePos="0" relativeHeight="251667456" behindDoc="0" locked="0" layoutInCell="1" allowOverlap="1" wp14:editId="10AF79C4" wp14:anchorId="0839138B">
                <wp:simplePos x="0" y="0"/>
                <wp:positionH relativeFrom="column">
                  <wp:posOffset>-52070</wp:posOffset>
                </wp:positionH>
                <wp:positionV relativeFrom="paragraph">
                  <wp:posOffset>35560</wp:posOffset>
                </wp:positionV>
                <wp:extent cx="5867400" cy="3400425"/>
                <wp:effectExtent l="0" t="0" r="19050" b="28575"/>
                <wp:wrapNone/>
                <wp:docPr id="1" name="Tekstvak 1"/>
                <wp:cNvGraphicFramePr/>
                <a:graphic xmlns:a="http://schemas.openxmlformats.org/drawingml/2006/main">
                  <a:graphicData uri="http://schemas.microsoft.com/office/word/2010/wordprocessingShape">
                    <wps:wsp>
                      <wps:cNvSpPr txBox="1"/>
                      <wps:spPr>
                        <a:xfrm>
                          <a:off x="0" y="0"/>
                          <a:ext cx="5867400" cy="3400425"/>
                        </a:xfrm>
                        <a:prstGeom prst="rect">
                          <a:avLst/>
                        </a:prstGeom>
                        <a:solidFill>
                          <a:sysClr val="window" lastClr="FFFFFF"/>
                        </a:solidFill>
                        <a:ln w="6350">
                          <a:solidFill>
                            <a:prstClr val="black"/>
                          </a:solidFill>
                        </a:ln>
                        <a:effectLst/>
                      </wps:spPr>
                      <wps:txbx>
                        <w:txbxContent>
                          <w:p w:rsidR="002C4CAF" w:rsidP="00780452" w:rsidRDefault="002C4CAF">
                            <w:pPr>
                              <w:rPr>
                                <w:szCs w:val="18"/>
                              </w:rPr>
                            </w:pPr>
                            <w:r w:rsidRPr="00A44B73">
                              <w:rPr>
                                <w:b/>
                                <w:szCs w:val="18"/>
                              </w:rPr>
                              <w:t>Achtergrond voorstel Luxemburg</w:t>
                            </w:r>
                            <w:r w:rsidRPr="00A44B73">
                              <w:rPr>
                                <w:szCs w:val="18"/>
                              </w:rPr>
                              <w:t xml:space="preserve"> </w:t>
                            </w:r>
                          </w:p>
                          <w:p w:rsidRPr="00A44B73" w:rsidR="002C4CAF" w:rsidP="00780452" w:rsidRDefault="002C4CAF">
                            <w:pPr>
                              <w:rPr>
                                <w:szCs w:val="18"/>
                              </w:rPr>
                            </w:pPr>
                          </w:p>
                          <w:p w:rsidRPr="00A44B73" w:rsidR="002C4CAF" w:rsidP="00780452" w:rsidRDefault="002C4CAF">
                            <w:pPr>
                              <w:rPr>
                                <w:szCs w:val="18"/>
                              </w:rPr>
                            </w:pPr>
                            <w:r w:rsidRPr="00A44B73">
                              <w:rPr>
                                <w:szCs w:val="18"/>
                              </w:rPr>
                              <w:t xml:space="preserve">Volgens het Luxemburgse voorstel (zie punten 2.1 t/m 2.10 van het Luxemburgse conceptstuk) zouden lidstaten Nationale Energie- en Klimaatplannen gaan opstellen, gevolgd door tweejaarlijkse Voortgangsrapportages die moeten worden ingeleverd bij de Europese Commissie. De Commissie zou ook (analoog aan het Europees Semester) aanbevelingen doen die de lidstaten in hun plannen moeten meenemen. De hele governance-cyclus zou moeten gaan dienen als ‘early warning system’ omdat hiermee mogelijke risico’s en achterstanden tijdig gesignaleerd worden. </w:t>
                            </w:r>
                          </w:p>
                          <w:p w:rsidRPr="00A44B73" w:rsidR="002C4CAF" w:rsidP="00780452" w:rsidRDefault="002C4CAF">
                            <w:pPr>
                              <w:rPr>
                                <w:szCs w:val="18"/>
                              </w:rPr>
                            </w:pPr>
                            <w:r w:rsidRPr="00A44B73">
                              <w:rPr>
                                <w:szCs w:val="18"/>
                              </w:rPr>
                              <w:t xml:space="preserve">Zowel de plannen als de rapportages zouden een gestandaardiseerd format gaan volgen. Lidstaten moeten in hun eerste nationale plannen (met ingang van 2018) ingaan op de periode tot 2030, en schetsen welke beleidsplannen en –doelstellingen zij hebben om de EU-klimaat- en energiedoelen voor 2030 te halen, alsmede een vooruitblik geven naar 2050. Lidstaten moeten daarbij een “realistisch tijdpad” aangeven voor de realisering van deze doelen. In de plannen en rapportages zou gebruik gemaakt moeten worden van “key performance indicators” die onderlinge vergelijking van het beleid van de lidstaten mogelijk maken. </w:t>
                            </w:r>
                          </w:p>
                          <w:p w:rsidRPr="00A44B73" w:rsidR="002C4CAF" w:rsidP="00780452" w:rsidRDefault="002C4CAF">
                            <w:pPr>
                              <w:rPr>
                                <w:szCs w:val="18"/>
                              </w:rPr>
                            </w:pPr>
                            <w:r w:rsidRPr="00A44B73">
                              <w:rPr>
                                <w:szCs w:val="18"/>
                              </w:rPr>
                              <w:t xml:space="preserve">Regionale samenwerking (een Nederlands speerpunt) zou ook aan de orde moeten komen in de nationale plannen, bijvoorbeeld in de vorm van een “peer review van de conceptplannen” (waarbij het kennelijk de bedoeling is dat regionaal samenwerkende lidstaten reageren op elkaars conceptplannen). </w:t>
                            </w:r>
                          </w:p>
                          <w:p w:rsidRPr="00A44B73" w:rsidR="002C4CAF" w:rsidP="00780452" w:rsidRDefault="002C4CAF">
                            <w:pPr>
                              <w:rPr>
                                <w:szCs w:val="18"/>
                              </w:rPr>
                            </w:pPr>
                            <w:r w:rsidRPr="00A44B73">
                              <w:rPr>
                                <w:szCs w:val="18"/>
                              </w:rPr>
                              <w:t xml:space="preserve">De Europese Commissie zou de plannen en voortgangsrapportages gaan samenvatten in haar jaarlijkse Staat van de Energie-Unie. Gesteld wordt dat het Europees Parlement en de nationale parlementen (alsmede stakeholders en burgers) betrokken zullen worden bij deze nieuwe Europese governance-cyclus, maar hoe dit concreet vorm zal krijgen blijft </w:t>
                            </w:r>
                            <w:r>
                              <w:rPr>
                                <w:szCs w:val="18"/>
                              </w:rPr>
                              <w:t>voorals</w:t>
                            </w:r>
                            <w:r w:rsidRPr="00A44B73">
                              <w:rPr>
                                <w:szCs w:val="18"/>
                              </w:rPr>
                              <w:t xml:space="preserve">nog onduidelijk.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4.1pt;margin-top:2.8pt;width:462pt;height:26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">
                <v:textbox>
                  <w:txbxContent>
                    <w:p w:rsidR="002C4CAF" w:rsidP="00780452" w:rsidRDefault="002C4CAF">
                      <w:pPr>
                        <w:rPr>
                          <w:szCs w:val="18"/>
                        </w:rPr>
                      </w:pPr>
                      <w:r w:rsidRPr="00A44B73">
                        <w:rPr>
                          <w:b/>
                          <w:szCs w:val="18"/>
                        </w:rPr>
                        <w:t>Achtergrond voorstel Luxemburg</w:t>
                      </w:r>
                      <w:r w:rsidRPr="00A44B73">
                        <w:rPr>
                          <w:szCs w:val="18"/>
                        </w:rPr>
                        <w:t xml:space="preserve"> </w:t>
                      </w:r>
                    </w:p>
                    <w:p w:rsidRPr="00A44B73" w:rsidR="002C4CAF" w:rsidP="00780452" w:rsidRDefault="002C4CAF">
                      <w:pPr>
                        <w:rPr>
                          <w:szCs w:val="18"/>
                        </w:rPr>
                      </w:pPr>
                    </w:p>
                    <w:p w:rsidRPr="00A44B73" w:rsidR="002C4CAF" w:rsidP="00780452" w:rsidRDefault="002C4CAF">
                      <w:pPr>
                        <w:rPr>
                          <w:szCs w:val="18"/>
                        </w:rPr>
                      </w:pPr>
                      <w:r w:rsidRPr="00A44B73">
                        <w:rPr>
                          <w:szCs w:val="18"/>
                        </w:rPr>
                        <w:t>Volgens het Luxemburgse voorstel (zie punten 2.1 t/m 2.10 van het Luxemburgse conceptstuk) zouden lidstaten Nationale Energie- en Klimaatplannen gaan opstellen, gevolgd door tweejaarlijkse Voortgangsrapportages die moeten worden ingeleverd bij de Europese Commissie. De Commissie zou ook (analoog aan het Europees Semester) aanbevelingen doen die de lidstaten in hun plannen moeten meenemen. De hele governance-cyclus zou moeten gaan dienen als ‘</w:t>
                      </w:r>
                      <w:proofErr w:type="spellStart"/>
                      <w:r w:rsidRPr="00A44B73">
                        <w:rPr>
                          <w:szCs w:val="18"/>
                        </w:rPr>
                        <w:t>early</w:t>
                      </w:r>
                      <w:proofErr w:type="spellEnd"/>
                      <w:r w:rsidRPr="00A44B73">
                        <w:rPr>
                          <w:szCs w:val="18"/>
                        </w:rPr>
                        <w:t xml:space="preserve"> </w:t>
                      </w:r>
                      <w:proofErr w:type="spellStart"/>
                      <w:r w:rsidRPr="00A44B73">
                        <w:rPr>
                          <w:szCs w:val="18"/>
                        </w:rPr>
                        <w:t>warning</w:t>
                      </w:r>
                      <w:proofErr w:type="spellEnd"/>
                      <w:r w:rsidRPr="00A44B73">
                        <w:rPr>
                          <w:szCs w:val="18"/>
                        </w:rPr>
                        <w:t xml:space="preserve"> system’ omdat hiermee mogelijke risico’s en achterstanden tijdig gesignaleerd worden. </w:t>
                      </w:r>
                    </w:p>
                    <w:p w:rsidRPr="00A44B73" w:rsidR="002C4CAF" w:rsidP="00780452" w:rsidRDefault="002C4CAF">
                      <w:pPr>
                        <w:rPr>
                          <w:szCs w:val="18"/>
                        </w:rPr>
                      </w:pPr>
                      <w:r w:rsidRPr="00A44B73">
                        <w:rPr>
                          <w:szCs w:val="18"/>
                        </w:rPr>
                        <w:t>Zowel de plannen als de rapportages zouden een gestandaardiseerd format gaan volgen. Lidstaten moeten in hun eerste nationale plannen (met ingang van 2018) ingaan op de periode tot 2030, en schetsen welke beleidsplannen en –doelstellingen zij hebben om de EU-klimaat- en energiedoelen voor 2030 te halen, alsmede een vooruitblik geven naar 2050. Lidstaten moeten daarbij een “realistisch tijdpad” aangeven voor de realisering van deze doelen. In de plannen en rapportages zou gebruik gemaakt moeten worden van “</w:t>
                      </w:r>
                      <w:proofErr w:type="spellStart"/>
                      <w:r w:rsidRPr="00A44B73">
                        <w:rPr>
                          <w:szCs w:val="18"/>
                        </w:rPr>
                        <w:t>key</w:t>
                      </w:r>
                      <w:proofErr w:type="spellEnd"/>
                      <w:r w:rsidRPr="00A44B73">
                        <w:rPr>
                          <w:szCs w:val="18"/>
                        </w:rPr>
                        <w:t xml:space="preserve"> performance indicators” die onderlinge vergelijking van het beleid van de lidstaten mogelijk maken. </w:t>
                      </w:r>
                    </w:p>
                    <w:p w:rsidRPr="00A44B73" w:rsidR="002C4CAF" w:rsidP="00780452" w:rsidRDefault="002C4CAF">
                      <w:pPr>
                        <w:rPr>
                          <w:szCs w:val="18"/>
                        </w:rPr>
                      </w:pPr>
                      <w:r w:rsidRPr="00A44B73">
                        <w:rPr>
                          <w:szCs w:val="18"/>
                        </w:rPr>
                        <w:t xml:space="preserve">Regionale samenwerking (een Nederlands speerpunt) zou ook aan de orde moeten komen in de nationale plannen, bijvoorbeeld in de vorm van een “peer review van de conceptplannen” (waarbij het kennelijk de bedoeling is dat regionaal samenwerkende lidstaten reageren op elkaars conceptplannen). </w:t>
                      </w:r>
                    </w:p>
                    <w:p w:rsidRPr="00A44B73" w:rsidR="002C4CAF" w:rsidP="00780452" w:rsidRDefault="002C4CAF">
                      <w:pPr>
                        <w:rPr>
                          <w:szCs w:val="18"/>
                        </w:rPr>
                      </w:pPr>
                      <w:r w:rsidRPr="00A44B73">
                        <w:rPr>
                          <w:szCs w:val="18"/>
                        </w:rPr>
                        <w:t xml:space="preserve">De Europese Commissie zou de plannen en voortgangsrapportages gaan samenvatten in haar jaarlijkse Staat van de Energie-Unie. Gesteld wordt dat het Europees Parlement en de nationale parlementen (alsmede stakeholders en burgers) betrokken zullen worden bij deze nieuwe Europese governance-cyclus, maar hoe dit concreet vorm zal krijgen blijft </w:t>
                      </w:r>
                      <w:r>
                        <w:rPr>
                          <w:szCs w:val="18"/>
                        </w:rPr>
                        <w:t>voorals</w:t>
                      </w:r>
                      <w:r w:rsidRPr="00A44B73">
                        <w:rPr>
                          <w:szCs w:val="18"/>
                        </w:rPr>
                        <w:t xml:space="preserve">nog onduidelijk. </w:t>
                      </w:r>
                    </w:p>
                  </w:txbxContent>
                </v:textbox>
              </v:shape>
            </w:pict>
          </mc:Fallback>
        </mc:AlternateContent>
      </w:r>
    </w:p>
    <w:p w:rsidR="00724A1E" w:rsidP="00993C3B" w:rsidRDefault="00724A1E">
      <w:pPr>
        <w:spacing w:after="200"/>
        <w:rPr>
          <w:b/>
          <w:sz w:val="16"/>
          <w:szCs w:val="16"/>
        </w:rPr>
      </w:pPr>
    </w:p>
    <w:p w:rsidR="00780452" w:rsidP="00993C3B" w:rsidRDefault="00780452">
      <w:pPr>
        <w:spacing w:after="200"/>
        <w:rPr>
          <w:b/>
          <w:sz w:val="16"/>
          <w:szCs w:val="16"/>
        </w:rPr>
      </w:pPr>
    </w:p>
    <w:p w:rsidR="00780452" w:rsidP="00993C3B" w:rsidRDefault="00780452">
      <w:pPr>
        <w:spacing w:after="200"/>
        <w:rPr>
          <w:b/>
          <w:sz w:val="16"/>
          <w:szCs w:val="16"/>
        </w:rPr>
      </w:pPr>
    </w:p>
    <w:p w:rsidR="00780452" w:rsidP="00993C3B" w:rsidRDefault="00780452">
      <w:pPr>
        <w:spacing w:after="200"/>
        <w:rPr>
          <w:b/>
          <w:sz w:val="16"/>
          <w:szCs w:val="16"/>
        </w:rPr>
      </w:pPr>
    </w:p>
    <w:p w:rsidR="00780452" w:rsidP="00993C3B" w:rsidRDefault="00780452">
      <w:pPr>
        <w:spacing w:after="200"/>
        <w:rPr>
          <w:b/>
          <w:sz w:val="16"/>
          <w:szCs w:val="16"/>
        </w:rPr>
      </w:pPr>
    </w:p>
    <w:p w:rsidR="00780452" w:rsidP="00993C3B" w:rsidRDefault="00780452">
      <w:pPr>
        <w:spacing w:after="200"/>
      </w:pPr>
    </w:p>
    <w:p w:rsidR="00724A1E" w:rsidP="00993C3B" w:rsidRDefault="00724A1E">
      <w:pPr>
        <w:spacing w:after="200"/>
      </w:pPr>
    </w:p>
    <w:p w:rsidR="00724A1E" w:rsidP="00993C3B" w:rsidRDefault="00724A1E">
      <w:pPr>
        <w:spacing w:after="200"/>
      </w:pPr>
    </w:p>
    <w:p w:rsidR="00724A1E" w:rsidP="00993C3B" w:rsidRDefault="00724A1E">
      <w:pPr>
        <w:spacing w:after="200"/>
      </w:pPr>
    </w:p>
    <w:p w:rsidR="00780452" w:rsidP="00993C3B" w:rsidRDefault="00780452">
      <w:pPr>
        <w:rPr>
          <w:b/>
        </w:rPr>
      </w:pPr>
    </w:p>
    <w:p w:rsidRPr="000F0095" w:rsidR="00724A1E" w:rsidP="00993C3B" w:rsidRDefault="00724A1E">
      <w:pPr>
        <w:rPr>
          <w:b/>
          <w:i/>
        </w:rPr>
      </w:pPr>
      <w:r w:rsidRPr="000F0095">
        <w:rPr>
          <w:b/>
          <w:i/>
        </w:rPr>
        <w:t>Krachtenveld Raad</w:t>
      </w:r>
    </w:p>
    <w:p w:rsidR="00A30D86" w:rsidP="00993C3B" w:rsidRDefault="00A30D86">
      <w:pPr>
        <w:spacing w:after="200"/>
      </w:pPr>
    </w:p>
    <w:p w:rsidR="00991ED8" w:rsidP="00993C3B" w:rsidRDefault="00991ED8">
      <w:pPr>
        <w:spacing w:after="200"/>
        <w:rPr>
          <w:b/>
          <w:i/>
        </w:rPr>
      </w:pPr>
    </w:p>
    <w:p w:rsidR="00B008B8" w:rsidP="00993C3B" w:rsidRDefault="00B008B8">
      <w:pPr>
        <w:spacing w:after="200"/>
        <w:rPr>
          <w:b/>
          <w:i/>
        </w:rPr>
      </w:pPr>
    </w:p>
    <w:p w:rsidRPr="00245667" w:rsidR="00A30D86" w:rsidP="00245667" w:rsidRDefault="00991ED8">
      <w:pPr>
        <w:rPr>
          <w:b/>
        </w:rPr>
      </w:pPr>
      <w:r w:rsidRPr="00245667">
        <w:rPr>
          <w:b/>
        </w:rPr>
        <w:t>K</w:t>
      </w:r>
      <w:r w:rsidRPr="00245667" w:rsidR="00A30D86">
        <w:rPr>
          <w:b/>
        </w:rPr>
        <w:t>rachtenveld Raad</w:t>
      </w:r>
    </w:p>
    <w:p w:rsidRPr="00021664" w:rsidR="00160423" w:rsidP="00245667" w:rsidRDefault="00724A1E">
      <w:pPr>
        <w:spacing w:after="100" w:afterAutospacing="1"/>
      </w:pPr>
      <w:r>
        <w:t>B</w:t>
      </w:r>
      <w:r w:rsidR="008E57B3">
        <w:t>innen de Raad heersen</w:t>
      </w:r>
      <w:r w:rsidR="00D84905">
        <w:t xml:space="preserve"> </w:t>
      </w:r>
      <w:r w:rsidR="00160423">
        <w:t>verschillende meningen</w:t>
      </w:r>
      <w:r w:rsidR="00D84905">
        <w:t xml:space="preserve"> over de governance-structuur</w:t>
      </w:r>
      <w:r w:rsidR="00160423">
        <w:t xml:space="preserve">. Zo is Frankrijk voorstander van een “scoreboard-systeem”, naar analogie van het </w:t>
      </w:r>
      <w:hyperlink w:history="1" r:id="rId21">
        <w:r w:rsidRPr="00160423" w:rsidR="00160423">
          <w:rPr>
            <w:rStyle w:val="Hyperlink"/>
          </w:rPr>
          <w:t>scorebord voor de Interne Markt</w:t>
        </w:r>
      </w:hyperlink>
      <w:r w:rsidR="00160423">
        <w:t xml:space="preserve"> waarin per lidstaat alleen wordt aangegeven hoe ver deze gevorderd is met de uitvoering van</w:t>
      </w:r>
      <w:r w:rsidR="00A30D86">
        <w:t xml:space="preserve"> </w:t>
      </w:r>
      <w:r w:rsidR="00160423">
        <w:t xml:space="preserve">Europese wetgeving en doelstellingen. Dit land wil niet dat de governance van de Energie-Unie gaat lijken op die van het </w:t>
      </w:r>
      <w:hyperlink w:history="1" r:id="rId22">
        <w:r w:rsidRPr="00160423" w:rsidR="00160423">
          <w:rPr>
            <w:rStyle w:val="Hyperlink"/>
          </w:rPr>
          <w:t>Europees Semester</w:t>
        </w:r>
      </w:hyperlink>
      <w:r w:rsidR="00160423">
        <w:t xml:space="preserve">, waarbij lidstaten die </w:t>
      </w:r>
      <w:r w:rsidR="00700E88">
        <w:t>onevenwichtigheden in hun</w:t>
      </w:r>
      <w:r w:rsidR="00160423">
        <w:t xml:space="preserve"> economisch beleid </w:t>
      </w:r>
      <w:r w:rsidR="00700E88">
        <w:t>of</w:t>
      </w:r>
      <w:r w:rsidR="00160423">
        <w:t xml:space="preserve"> de begroting </w:t>
      </w:r>
      <w:r w:rsidR="00700E88">
        <w:t xml:space="preserve">ondanks Europese aanbevelingen laten voortbestaan in het </w:t>
      </w:r>
      <w:r w:rsidR="00160423">
        <w:t>uite</w:t>
      </w:r>
      <w:r w:rsidR="00700E88">
        <w:t>rste geval geconfronteerd kunnen worden met boetes. Ook het Verenigd Koninkrijk, Slowakije en Polen hebben al aangegeven dat zij niet willen dat het governance systeem kan ingrijpen op nationale keuzes ten aanzien van de energiemix en kernenergie.</w:t>
      </w:r>
    </w:p>
    <w:p w:rsidRPr="00245667" w:rsidR="00021664" w:rsidP="00993C3B" w:rsidRDefault="00680438">
      <w:pPr>
        <w:spacing w:after="200"/>
        <w:rPr>
          <w:i/>
        </w:rPr>
      </w:pPr>
      <w:r w:rsidRPr="00021664">
        <w:t>In het bijzonder</w:t>
      </w:r>
      <w:r w:rsidRPr="00021664" w:rsidR="00021664">
        <w:t xml:space="preserve"> is onduidelijk hoe nationale parlementen straks greep houden op het eigen energiebeleid wanneer dit via de Energie-Unie op regionaal of Europees niveau wordt gecoördineerd of vastgesteld. Het </w:t>
      </w:r>
      <w:r w:rsidR="00F5306D">
        <w:t xml:space="preserve">Nederlandse </w:t>
      </w:r>
      <w:r w:rsidRPr="00021664" w:rsidR="00021664">
        <w:t xml:space="preserve">kabinet heeft al verschillende keren aangegeven legitimiteit en de rol van nationale parlementen belangrijk te vinden en dat ook als speerpunt te </w:t>
      </w:r>
      <w:r w:rsidRPr="00245667" w:rsidR="00021664">
        <w:rPr>
          <w:i/>
        </w:rPr>
        <w:t xml:space="preserve">zien voor het </w:t>
      </w:r>
      <w:r w:rsidRPr="00245667" w:rsidR="000337AA">
        <w:rPr>
          <w:i/>
        </w:rPr>
        <w:t>Nederlandse EU-voorzitterschap.</w:t>
      </w:r>
    </w:p>
    <w:p w:rsidRPr="00245667" w:rsidR="008E57B3" w:rsidP="00993C3B" w:rsidRDefault="008E57B3">
      <w:pPr>
        <w:rPr>
          <w:b/>
        </w:rPr>
      </w:pPr>
      <w:r w:rsidRPr="00245667">
        <w:rPr>
          <w:b/>
        </w:rPr>
        <w:t>Behandeling in Europees Parlement</w:t>
      </w:r>
    </w:p>
    <w:p w:rsidR="009C58E6" w:rsidP="00993C3B" w:rsidRDefault="009C58E6">
      <w:pPr>
        <w:spacing w:after="200"/>
      </w:pPr>
      <w:r>
        <w:t xml:space="preserve">In het Europees Parlement heeft de commissie ITRE (Industrie, Onderzoek en Energie) het voortouw bij de behandeling van de Energie-Unie. Rapporteur is de Poolse Europarlementariër Marek Jozef </w:t>
      </w:r>
      <w:r w:rsidRPr="009C58E6">
        <w:t>G</w:t>
      </w:r>
      <w:r>
        <w:t xml:space="preserve">róbarczyk (Recht en Gerechtigheid, groep van de Europese Conservatieven en Hervormers) (meer informatie over betrokken Europarlementariërs en EP-commissies in het </w:t>
      </w:r>
      <w:hyperlink w:history="1" w:anchor="tab-0" r:id="rId23">
        <w:r w:rsidRPr="009C58E6">
          <w:rPr>
            <w:rStyle w:val="Hyperlink"/>
          </w:rPr>
          <w:t>Oeil-fiche</w:t>
        </w:r>
      </w:hyperlink>
      <w:r>
        <w:t>).</w:t>
      </w:r>
    </w:p>
    <w:p w:rsidR="008D40CB" w:rsidP="00993C3B" w:rsidRDefault="00680438">
      <w:pPr>
        <w:spacing w:after="200"/>
      </w:pPr>
      <w:r>
        <w:t xml:space="preserve">Naast </w:t>
      </w:r>
      <w:r w:rsidR="008E57B3">
        <w:t xml:space="preserve">de prioritaire dossiers zijn er nog drie andere voorstellen die in juli zijn gepubliceerd en die </w:t>
      </w:r>
      <w:r w:rsidRPr="00021664" w:rsidR="00021664">
        <w:t>onder het voortouw van de commissie EZ</w:t>
      </w:r>
      <w:r w:rsidR="008E57B3">
        <w:t xml:space="preserve"> vallen. Deze zijn niet als prioritair </w:t>
      </w:r>
      <w:r w:rsidRPr="00021664" w:rsidR="00021664">
        <w:t xml:space="preserve">aangemerkt bij uw behandeling van het </w:t>
      </w:r>
      <w:hyperlink w:history="1" r:id="rId24">
        <w:r w:rsidRPr="00021664" w:rsidR="00021664">
          <w:rPr>
            <w:rStyle w:val="Hyperlink"/>
          </w:rPr>
          <w:t>plan van aanpak</w:t>
        </w:r>
      </w:hyperlink>
      <w:r w:rsidRPr="00021664" w:rsidR="00021664">
        <w:t xml:space="preserve"> van de rapporteur Energie-Unie van uw commissie. Het betreft </w:t>
      </w:r>
      <w:r w:rsidR="008D40CB">
        <w:t>de volgende v</w:t>
      </w:r>
      <w:r w:rsidRPr="00021664" w:rsidR="00021664">
        <w:t>oorstel</w:t>
      </w:r>
      <w:r w:rsidR="008D40CB">
        <w:t>len:</w:t>
      </w:r>
    </w:p>
    <w:p w:rsidR="008D40CB" w:rsidP="00993C3B" w:rsidRDefault="008D40CB">
      <w:pPr>
        <w:pStyle w:val="Lijstalinea"/>
        <w:numPr>
          <w:ilvl w:val="0"/>
          <w:numId w:val="1"/>
        </w:numPr>
        <w:spacing w:after="200"/>
      </w:pPr>
      <w:r>
        <w:t>H</w:t>
      </w:r>
      <w:r w:rsidRPr="00021664" w:rsidR="00021664">
        <w:t xml:space="preserve">erziening van de </w:t>
      </w:r>
      <w:r w:rsidR="009C58E6">
        <w:t>Verordening</w:t>
      </w:r>
      <w:r w:rsidRPr="00021664" w:rsidR="00021664">
        <w:t xml:space="preserve"> energie-</w:t>
      </w:r>
      <w:r w:rsidR="00A2428E">
        <w:t>efficiëntie-</w:t>
      </w:r>
      <w:r w:rsidRPr="00021664" w:rsidR="00021664">
        <w:t>etikettering (</w:t>
      </w:r>
      <w:hyperlink w:history="1" r:id="rId25">
        <w:r w:rsidR="009C58E6">
          <w:rPr>
            <w:rStyle w:val="Hyperlink"/>
          </w:rPr>
          <w:t>Verordening-voorstel</w:t>
        </w:r>
      </w:hyperlink>
      <w:r w:rsidRPr="009C58E6" w:rsidR="00021664">
        <w:t>,</w:t>
      </w:r>
      <w:r w:rsidR="009C58E6">
        <w:t xml:space="preserve"> </w:t>
      </w:r>
      <w:hyperlink w:history="1" r:id="rId26">
        <w:r w:rsidRPr="009C58E6" w:rsidR="009C58E6">
          <w:rPr>
            <w:rStyle w:val="Hyperlink"/>
          </w:rPr>
          <w:t>meer informatie</w:t>
        </w:r>
      </w:hyperlink>
      <w:r>
        <w:t>).</w:t>
      </w:r>
      <w:r w:rsidR="00B404C0">
        <w:t xml:space="preserve"> </w:t>
      </w:r>
    </w:p>
    <w:p w:rsidRPr="00277DBC" w:rsidR="008D40CB" w:rsidP="00993C3B" w:rsidRDefault="008D40CB">
      <w:pPr>
        <w:pStyle w:val="Lijstalinea"/>
        <w:numPr>
          <w:ilvl w:val="0"/>
          <w:numId w:val="1"/>
        </w:numPr>
        <w:spacing w:after="200"/>
      </w:pPr>
      <w:r>
        <w:t>M</w:t>
      </w:r>
      <w:r w:rsidRPr="00021664" w:rsidR="00021664">
        <w:t>ededeling over een ‘new deal’ voor energieconsumenten (</w:t>
      </w:r>
      <w:hyperlink w:history="1" r:id="rId27">
        <w:r w:rsidRPr="00021664" w:rsidR="00021664">
          <w:rPr>
            <w:rStyle w:val="Hyperlink"/>
          </w:rPr>
          <w:t>Mededeling</w:t>
        </w:r>
      </w:hyperlink>
      <w:r w:rsidRPr="00021664" w:rsidR="00021664">
        <w:t xml:space="preserve">, </w:t>
      </w:r>
      <w:hyperlink w:history="1" r:id="rId28">
        <w:r w:rsidRPr="00021664" w:rsidR="00021664">
          <w:rPr>
            <w:rStyle w:val="Hyperlink"/>
          </w:rPr>
          <w:t>overige gerelateerde documenten</w:t>
        </w:r>
      </w:hyperlink>
      <w:r w:rsidRPr="00021664" w:rsidR="00021664">
        <w:t>)</w:t>
      </w:r>
      <w:r>
        <w:t>.</w:t>
      </w:r>
      <w:r w:rsidR="00F45D40">
        <w:t xml:space="preserve"> </w:t>
      </w:r>
    </w:p>
    <w:p w:rsidR="00F45D40" w:rsidP="00993C3B" w:rsidRDefault="008D40CB">
      <w:pPr>
        <w:pStyle w:val="Lijstalinea"/>
        <w:numPr>
          <w:ilvl w:val="0"/>
          <w:numId w:val="1"/>
        </w:numPr>
        <w:spacing w:after="200"/>
      </w:pPr>
      <w:r>
        <w:t>L</w:t>
      </w:r>
      <w:r w:rsidRPr="00021664" w:rsidR="00021664">
        <w:t>ancering van een openbare raadpleging over hoe de nieuwe opzet van de elektriciteitsmarkt eruit moet zien (</w:t>
      </w:r>
      <w:hyperlink w:history="1" r:id="rId29">
        <w:r w:rsidRPr="00021664" w:rsidR="00021664">
          <w:rPr>
            <w:rStyle w:val="Hyperlink"/>
          </w:rPr>
          <w:t>Mededeling</w:t>
        </w:r>
      </w:hyperlink>
      <w:r w:rsidRPr="00021664" w:rsidR="00021664">
        <w:t xml:space="preserve">, </w:t>
      </w:r>
      <w:hyperlink w:history="1" r:id="rId30">
        <w:r w:rsidRPr="00021664" w:rsidR="00021664">
          <w:rPr>
            <w:rStyle w:val="Hyperlink"/>
          </w:rPr>
          <w:t>overige gerelateerde documenten</w:t>
        </w:r>
      </w:hyperlink>
      <w:r w:rsidRPr="00021664" w:rsidR="00021664">
        <w:t xml:space="preserve">). </w:t>
      </w:r>
    </w:p>
    <w:p w:rsidRPr="00021664" w:rsidR="00021664" w:rsidP="00993C3B" w:rsidRDefault="00245667">
      <w:pPr>
        <w:spacing w:after="200"/>
      </w:pPr>
      <w:r>
        <w:lastRenderedPageBreak/>
        <w:t xml:space="preserve">Het </w:t>
      </w:r>
      <w:hyperlink w:history="1" r:id="rId31">
        <w:r w:rsidRPr="00F82A62" w:rsidR="00281BEC">
          <w:rPr>
            <w:rStyle w:val="Hyperlink"/>
          </w:rPr>
          <w:t>BNC-</w:t>
        </w:r>
        <w:r w:rsidRPr="00F82A62">
          <w:rPr>
            <w:rStyle w:val="Hyperlink"/>
          </w:rPr>
          <w:t>fiche</w:t>
        </w:r>
      </w:hyperlink>
      <w:r>
        <w:t xml:space="preserve"> over </w:t>
      </w:r>
      <w:r w:rsidRPr="00021664">
        <w:t xml:space="preserve">de </w:t>
      </w:r>
      <w:r>
        <w:t>Verordening</w:t>
      </w:r>
      <w:r w:rsidRPr="00021664">
        <w:t xml:space="preserve"> energie-</w:t>
      </w:r>
      <w:r>
        <w:t>efficiëntie-</w:t>
      </w:r>
      <w:r w:rsidRPr="00021664">
        <w:t>etikettering</w:t>
      </w:r>
      <w:r>
        <w:t xml:space="preserve"> is inmiddels verschenen. </w:t>
      </w:r>
    </w:p>
    <w:p w:rsidR="005F16C0" w:rsidP="00993C3B" w:rsidRDefault="005F16C0">
      <w:pPr>
        <w:rPr>
          <w:b/>
          <w:sz w:val="20"/>
          <w:szCs w:val="20"/>
        </w:rPr>
      </w:pPr>
    </w:p>
    <w:p w:rsidRPr="00DA3FE1" w:rsidR="00445B6F" w:rsidP="00993C3B" w:rsidRDefault="005F16C0">
      <w:pPr>
        <w:pStyle w:val="Lijstalinea"/>
        <w:numPr>
          <w:ilvl w:val="0"/>
          <w:numId w:val="5"/>
        </w:numPr>
        <w:spacing w:after="200"/>
        <w:ind w:left="284" w:hanging="284"/>
        <w:rPr>
          <w:b/>
          <w:sz w:val="20"/>
          <w:szCs w:val="20"/>
        </w:rPr>
      </w:pPr>
      <w:r w:rsidRPr="00DA3FE1">
        <w:rPr>
          <w:b/>
          <w:sz w:val="20"/>
          <w:szCs w:val="20"/>
        </w:rPr>
        <w:t>G</w:t>
      </w:r>
      <w:r w:rsidRPr="00DA3FE1" w:rsidR="00445B6F">
        <w:rPr>
          <w:b/>
          <w:sz w:val="20"/>
          <w:szCs w:val="20"/>
        </w:rPr>
        <w:t>ezamenlijke aankoop van gas</w:t>
      </w:r>
      <w:r w:rsidR="00DA3FE1">
        <w:rPr>
          <w:b/>
          <w:sz w:val="20"/>
          <w:szCs w:val="20"/>
        </w:rPr>
        <w:t>: studie en voorstel nog in de pijplijn</w:t>
      </w:r>
    </w:p>
    <w:p w:rsidR="00021664" w:rsidP="00993C3B" w:rsidRDefault="0043519C">
      <w:pPr>
        <w:spacing w:after="200"/>
      </w:pPr>
      <w:r>
        <w:t>Het tweede prioritaire dossier dat afkomstig is uit het pakket maatregelen van de  Energie-Unie betreft de ‘</w:t>
      </w:r>
      <w:r w:rsidR="00021664">
        <w:t xml:space="preserve">Herziening </w:t>
      </w:r>
      <w:r>
        <w:t xml:space="preserve">van de </w:t>
      </w:r>
      <w:r w:rsidR="00021664">
        <w:t xml:space="preserve">Verordening </w:t>
      </w:r>
      <w:r>
        <w:t xml:space="preserve">inzake de </w:t>
      </w:r>
      <w:r w:rsidR="00021664">
        <w:t xml:space="preserve">veiligstelling </w:t>
      </w:r>
      <w:r>
        <w:t xml:space="preserve">van de </w:t>
      </w:r>
      <w:r w:rsidR="00021664">
        <w:t>aardgasvoorzienin</w:t>
      </w:r>
      <w:r>
        <w:t>g’. Onderdeel hiervan vormt een</w:t>
      </w:r>
      <w:r w:rsidR="00E02EF3">
        <w:t xml:space="preserve"> studie </w:t>
      </w:r>
      <w:r>
        <w:t xml:space="preserve">van de </w:t>
      </w:r>
      <w:r w:rsidR="00E02EF3">
        <w:t>Europese Commissie</w:t>
      </w:r>
      <w:r w:rsidR="00021664">
        <w:t xml:space="preserve"> </w:t>
      </w:r>
      <w:r>
        <w:t xml:space="preserve">naar de </w:t>
      </w:r>
      <w:r w:rsidR="00021664">
        <w:t>mogeli</w:t>
      </w:r>
      <w:r w:rsidR="00D00D10">
        <w:t xml:space="preserve">jkheden </w:t>
      </w:r>
      <w:r>
        <w:t xml:space="preserve">voor de </w:t>
      </w:r>
      <w:r w:rsidR="00D00D10">
        <w:t xml:space="preserve">gezamenlijke inkoop </w:t>
      </w:r>
      <w:r>
        <w:t xml:space="preserve">van </w:t>
      </w:r>
      <w:r w:rsidR="00D00D10">
        <w:t>gas</w:t>
      </w:r>
      <w:r>
        <w:t>, die dit najaar (vierde kwartaal) gepubliceerd zal worden</w:t>
      </w:r>
      <w:r w:rsidR="00D00D10">
        <w:t>.</w:t>
      </w:r>
      <w:r>
        <w:t xml:space="preserve"> Een voorstel voor de herziening van de Verordening komt waarschijnlijk in dezelfde periode uit, wat betekent dat de onderhandelingen zullen doorlopen tijdens het Nederlandse </w:t>
      </w:r>
      <w:r w:rsidR="00680438">
        <w:t xml:space="preserve">voorzitterschap. </w:t>
      </w:r>
    </w:p>
    <w:p w:rsidR="00275F14" w:rsidP="00993C3B" w:rsidRDefault="00275F14">
      <w:pPr>
        <w:pStyle w:val="Lijstalinea"/>
        <w:spacing w:after="200"/>
        <w:rPr>
          <w:b/>
          <w:i/>
          <w:sz w:val="22"/>
          <w:u w:val="single"/>
        </w:rPr>
      </w:pPr>
    </w:p>
    <w:p w:rsidRPr="008E57B3" w:rsidR="00BA5052" w:rsidP="00993C3B" w:rsidRDefault="00BA5052">
      <w:pPr>
        <w:pStyle w:val="Lijstalinea"/>
        <w:numPr>
          <w:ilvl w:val="0"/>
          <w:numId w:val="2"/>
        </w:numPr>
        <w:spacing w:after="200"/>
        <w:rPr>
          <w:b/>
          <w:i/>
          <w:sz w:val="22"/>
          <w:u w:val="single"/>
        </w:rPr>
      </w:pPr>
      <w:r w:rsidRPr="008E57B3">
        <w:rPr>
          <w:b/>
          <w:i/>
          <w:sz w:val="22"/>
          <w:u w:val="single"/>
        </w:rPr>
        <w:t>Onderwerpen commissie I&amp;M</w:t>
      </w:r>
    </w:p>
    <w:p w:rsidR="00BA5052" w:rsidP="00993C3B" w:rsidRDefault="00BA5052">
      <w:pPr>
        <w:pStyle w:val="Lijstalinea"/>
        <w:spacing w:after="200"/>
        <w:rPr>
          <w:szCs w:val="17"/>
        </w:rPr>
      </w:pPr>
    </w:p>
    <w:p w:rsidRPr="00DC782F" w:rsidR="00BA5052" w:rsidP="00993C3B" w:rsidRDefault="00BA5052">
      <w:pPr>
        <w:pStyle w:val="Lijstalinea"/>
        <w:numPr>
          <w:ilvl w:val="0"/>
          <w:numId w:val="14"/>
        </w:numPr>
        <w:spacing w:after="200"/>
        <w:rPr>
          <w:szCs w:val="17"/>
          <w:u w:val="single"/>
        </w:rPr>
      </w:pPr>
      <w:r w:rsidRPr="00DC782F">
        <w:rPr>
          <w:szCs w:val="17"/>
          <w:u w:val="single"/>
        </w:rPr>
        <w:t>EU-</w:t>
      </w:r>
      <w:r w:rsidRPr="00DC782F" w:rsidR="00680438">
        <w:rPr>
          <w:szCs w:val="17"/>
          <w:u w:val="single"/>
        </w:rPr>
        <w:t>voorstel</w:t>
      </w:r>
      <w:r w:rsidRPr="00DC782F">
        <w:rPr>
          <w:szCs w:val="17"/>
          <w:u w:val="single"/>
        </w:rPr>
        <w:t xml:space="preserve"> herziening EU-ETS (2021-2030)</w:t>
      </w:r>
    </w:p>
    <w:p w:rsidRPr="00FE1B30" w:rsidR="00BA5052" w:rsidP="00993C3B" w:rsidRDefault="00BA5052">
      <w:pPr>
        <w:spacing w:after="200"/>
        <w:rPr>
          <w:szCs w:val="17"/>
        </w:rPr>
      </w:pPr>
      <w:r>
        <w:rPr>
          <w:szCs w:val="17"/>
        </w:rPr>
        <w:t xml:space="preserve">Met het </w:t>
      </w:r>
      <w:r w:rsidRPr="00DB5D54">
        <w:rPr>
          <w:szCs w:val="17"/>
        </w:rPr>
        <w:t xml:space="preserve">EU-voorstel voor de herziening van het </w:t>
      </w:r>
      <w:r>
        <w:rPr>
          <w:szCs w:val="17"/>
        </w:rPr>
        <w:t xml:space="preserve">EU-ETS </w:t>
      </w:r>
      <w:r w:rsidRPr="00DB5D54">
        <w:rPr>
          <w:szCs w:val="17"/>
        </w:rPr>
        <w:t>voor de periode 2021-2030</w:t>
      </w:r>
      <w:r>
        <w:rPr>
          <w:szCs w:val="17"/>
        </w:rPr>
        <w:t xml:space="preserve"> stelt de Europese Commissie een aantal aanpassingen voor van de huidige werking van het EU-emissiehandelssyteem. </w:t>
      </w:r>
      <w:r w:rsidRPr="00FE1B30">
        <w:rPr>
          <w:szCs w:val="17"/>
        </w:rPr>
        <w:t xml:space="preserve">Zie volgende </w:t>
      </w:r>
      <w:hyperlink w:history="1" r:id="rId32">
        <w:r w:rsidRPr="00FE1B30">
          <w:rPr>
            <w:rStyle w:val="Hyperlink"/>
            <w:szCs w:val="17"/>
          </w:rPr>
          <w:t>persbericht</w:t>
        </w:r>
      </w:hyperlink>
      <w:r>
        <w:rPr>
          <w:szCs w:val="17"/>
        </w:rPr>
        <w:t xml:space="preserve"> en </w:t>
      </w:r>
      <w:hyperlink w:history="1" r:id="rId33">
        <w:r w:rsidRPr="00FE1B30">
          <w:rPr>
            <w:rStyle w:val="Hyperlink"/>
            <w:szCs w:val="17"/>
          </w:rPr>
          <w:t>factsheet</w:t>
        </w:r>
      </w:hyperlink>
      <w:r>
        <w:rPr>
          <w:szCs w:val="17"/>
        </w:rPr>
        <w:t>.</w:t>
      </w:r>
    </w:p>
    <w:p w:rsidR="00BA5052" w:rsidP="00993C3B" w:rsidRDefault="00BA5052">
      <w:pPr>
        <w:spacing w:after="200"/>
        <w:rPr>
          <w:szCs w:val="17"/>
        </w:rPr>
      </w:pPr>
      <w:r>
        <w:rPr>
          <w:szCs w:val="17"/>
        </w:rPr>
        <w:t xml:space="preserve">Tijdens de Europese Raad van 23-24 oktober 2014 hebben de Europese regeringsleiders conclusies over dit pakket aangenomen en onder meer besloten tot een unilaterale, bindende emissiereductiedoelstelling voor de EU van 40% in 2030 t.o.v. </w:t>
      </w:r>
      <w:r w:rsidR="00680438">
        <w:rPr>
          <w:szCs w:val="17"/>
        </w:rPr>
        <w:t>ijk jaar</w:t>
      </w:r>
      <w:r>
        <w:rPr>
          <w:szCs w:val="17"/>
        </w:rPr>
        <w:t xml:space="preserve"> 1990. Om dit percentage te bereiken, zouden de sectoren die onder het EU-ETS vallen hun uitstoot van broeikasgassen in de periode 2012-2030 met 43% moeten </w:t>
      </w:r>
      <w:r w:rsidR="00680438">
        <w:rPr>
          <w:szCs w:val="17"/>
        </w:rPr>
        <w:t xml:space="preserve">verlagen. </w:t>
      </w:r>
      <w:r>
        <w:rPr>
          <w:szCs w:val="17"/>
        </w:rPr>
        <w:t xml:space="preserve">Het op 15 juli jl. gepubliceerde voorstel vormt in feite de uitwerking van dit eerder genomen politieke besluit in een concreet wetgevingsvoorstel voor de herziening van het </w:t>
      </w:r>
      <w:r w:rsidR="00680438">
        <w:rPr>
          <w:szCs w:val="17"/>
        </w:rPr>
        <w:t xml:space="preserve">EU-ETS. </w:t>
      </w:r>
    </w:p>
    <w:p w:rsidR="00BA5052" w:rsidP="00993C3B" w:rsidRDefault="00BA5052">
      <w:pPr>
        <w:spacing w:after="200"/>
        <w:rPr>
          <w:szCs w:val="17"/>
        </w:rPr>
      </w:pPr>
      <w:r>
        <w:rPr>
          <w:szCs w:val="17"/>
        </w:rPr>
        <w:t xml:space="preserve">De </w:t>
      </w:r>
      <w:r w:rsidRPr="005D5522">
        <w:rPr>
          <w:b/>
          <w:szCs w:val="17"/>
        </w:rPr>
        <w:t>drie kernelementen</w:t>
      </w:r>
      <w:r w:rsidRPr="00FE1B30">
        <w:rPr>
          <w:szCs w:val="17"/>
        </w:rPr>
        <w:t xml:space="preserve"> van het voorstel </w:t>
      </w:r>
      <w:r>
        <w:rPr>
          <w:szCs w:val="17"/>
        </w:rPr>
        <w:t xml:space="preserve">voor de herziening van het EU-ETS </w:t>
      </w:r>
      <w:r w:rsidRPr="00FE1B30">
        <w:rPr>
          <w:szCs w:val="17"/>
        </w:rPr>
        <w:t>zijn:</w:t>
      </w:r>
    </w:p>
    <w:p w:rsidRPr="005D5522" w:rsidR="00BA5052" w:rsidP="00993C3B" w:rsidRDefault="00BA5052">
      <w:pPr>
        <w:pStyle w:val="Lijstalinea"/>
        <w:numPr>
          <w:ilvl w:val="0"/>
          <w:numId w:val="4"/>
        </w:numPr>
        <w:spacing w:after="200"/>
        <w:rPr>
          <w:szCs w:val="17"/>
          <w:u w:val="single"/>
        </w:rPr>
      </w:pPr>
      <w:r>
        <w:rPr>
          <w:szCs w:val="17"/>
        </w:rPr>
        <w:t xml:space="preserve">Jaarlijkse </w:t>
      </w:r>
      <w:r w:rsidRPr="00A91990">
        <w:rPr>
          <w:b/>
          <w:szCs w:val="17"/>
        </w:rPr>
        <w:t>verlaging van de emissieplafonds</w:t>
      </w:r>
      <w:r w:rsidRPr="005D5522">
        <w:rPr>
          <w:szCs w:val="17"/>
        </w:rPr>
        <w:t xml:space="preserve"> (‘</w:t>
      </w:r>
      <w:r w:rsidRPr="005D5522">
        <w:rPr>
          <w:i/>
          <w:szCs w:val="17"/>
        </w:rPr>
        <w:t>caps</w:t>
      </w:r>
      <w:r w:rsidRPr="005D5522">
        <w:rPr>
          <w:szCs w:val="17"/>
        </w:rPr>
        <w:t>’) voor de sectoren binnen het EU-ETS met 2,2</w:t>
      </w:r>
      <w:r>
        <w:rPr>
          <w:szCs w:val="17"/>
        </w:rPr>
        <w:t>%</w:t>
      </w:r>
      <w:r w:rsidRPr="005D5522">
        <w:rPr>
          <w:szCs w:val="17"/>
        </w:rPr>
        <w:t>, zodat deze sectoren in 2030 samen 43</w:t>
      </w:r>
      <w:r>
        <w:rPr>
          <w:szCs w:val="17"/>
        </w:rPr>
        <w:t>%</w:t>
      </w:r>
      <w:r w:rsidRPr="005D5522">
        <w:rPr>
          <w:szCs w:val="17"/>
        </w:rPr>
        <w:t xml:space="preserve"> minder uitstoten (circa 556 miljoen ton CO</w:t>
      </w:r>
      <w:r w:rsidRPr="00A836E7">
        <w:rPr>
          <w:szCs w:val="16"/>
          <w:vertAlign w:val="subscript"/>
        </w:rPr>
        <w:t>2</w:t>
      </w:r>
      <w:r>
        <w:rPr>
          <w:szCs w:val="17"/>
        </w:rPr>
        <w:t>-</w:t>
      </w:r>
      <w:r w:rsidRPr="005D5522">
        <w:rPr>
          <w:szCs w:val="17"/>
        </w:rPr>
        <w:t>equivalent) ten opzichte van het jaar 2005 (</w:t>
      </w:r>
      <w:r>
        <w:rPr>
          <w:szCs w:val="17"/>
        </w:rPr>
        <w:t>de eerste, proefperiode van h</w:t>
      </w:r>
      <w:r w:rsidRPr="005D5522">
        <w:rPr>
          <w:szCs w:val="17"/>
        </w:rPr>
        <w:t>et EU-ETS</w:t>
      </w:r>
      <w:r>
        <w:rPr>
          <w:szCs w:val="17"/>
        </w:rPr>
        <w:t xml:space="preserve">). </w:t>
      </w:r>
    </w:p>
    <w:p w:rsidR="00BA5052" w:rsidP="00993C3B" w:rsidRDefault="00BA5052">
      <w:pPr>
        <w:pStyle w:val="Lijstalinea"/>
        <w:numPr>
          <w:ilvl w:val="0"/>
          <w:numId w:val="4"/>
        </w:numPr>
        <w:spacing w:after="200"/>
        <w:rPr>
          <w:szCs w:val="17"/>
        </w:rPr>
      </w:pPr>
      <w:r w:rsidRPr="005D5522">
        <w:rPr>
          <w:szCs w:val="17"/>
        </w:rPr>
        <w:t xml:space="preserve">Aangepaste EU-regels voor het </w:t>
      </w:r>
      <w:r w:rsidRPr="00A91990">
        <w:rPr>
          <w:b/>
          <w:szCs w:val="17"/>
        </w:rPr>
        <w:t>gratis verstrekken van emissierechten</w:t>
      </w:r>
      <w:r w:rsidRPr="005D5522">
        <w:rPr>
          <w:szCs w:val="17"/>
        </w:rPr>
        <w:t xml:space="preserve"> (‘</w:t>
      </w:r>
      <w:r w:rsidRPr="002C7658">
        <w:rPr>
          <w:i/>
          <w:szCs w:val="17"/>
        </w:rPr>
        <w:t>free allowances’</w:t>
      </w:r>
      <w:r>
        <w:rPr>
          <w:szCs w:val="17"/>
        </w:rPr>
        <w:t>).</w:t>
      </w:r>
    </w:p>
    <w:p w:rsidRPr="009664A2" w:rsidR="00BA5052" w:rsidP="00993C3B" w:rsidRDefault="00BA5052">
      <w:pPr>
        <w:pStyle w:val="Lijstalinea"/>
        <w:numPr>
          <w:ilvl w:val="0"/>
          <w:numId w:val="4"/>
        </w:numPr>
        <w:spacing w:after="200"/>
        <w:rPr>
          <w:szCs w:val="17"/>
        </w:rPr>
      </w:pPr>
      <w:r w:rsidRPr="009664A2">
        <w:rPr>
          <w:b/>
          <w:szCs w:val="17"/>
        </w:rPr>
        <w:t>Nieuwe financieringsinstrumenten</w:t>
      </w:r>
      <w:r>
        <w:rPr>
          <w:b/>
          <w:szCs w:val="17"/>
        </w:rPr>
        <w:t>.</w:t>
      </w:r>
    </w:p>
    <w:p w:rsidR="00BA5052" w:rsidP="00993C3B" w:rsidRDefault="00BA5052">
      <w:pPr>
        <w:spacing w:after="200"/>
        <w:rPr>
          <w:szCs w:val="17"/>
          <w:u w:val="single"/>
        </w:rPr>
      </w:pPr>
      <w:r>
        <w:t xml:space="preserve">Voor een uitgebreide samenvatting van het voorstel, zie de </w:t>
      </w:r>
      <w:hyperlink w:history="1" r:id="rId34">
        <w:r w:rsidRPr="00AD49F7">
          <w:rPr>
            <w:rStyle w:val="Hyperlink"/>
          </w:rPr>
          <w:t xml:space="preserve">notitie van co-rapporteur Dijkstra mede namens het Lid Van Veldhoven  </w:t>
        </w:r>
        <w:r w:rsidRPr="00AD49F7" w:rsidR="00680438">
          <w:rPr>
            <w:rStyle w:val="Hyperlink"/>
          </w:rPr>
          <w:t xml:space="preserve">d.d. </w:t>
        </w:r>
        <w:r w:rsidRPr="00AD49F7">
          <w:rPr>
            <w:rStyle w:val="Hyperlink"/>
          </w:rPr>
          <w:t>1 september 2015.</w:t>
        </w:r>
      </w:hyperlink>
    </w:p>
    <w:p w:rsidRPr="00381668" w:rsidR="00BA5052" w:rsidP="00381668" w:rsidRDefault="00BA5052">
      <w:pPr>
        <w:rPr>
          <w:b/>
          <w:szCs w:val="17"/>
        </w:rPr>
      </w:pPr>
      <w:r w:rsidRPr="00381668">
        <w:rPr>
          <w:b/>
          <w:szCs w:val="17"/>
        </w:rPr>
        <w:t>Reactie kabinet</w:t>
      </w:r>
    </w:p>
    <w:p w:rsidRPr="00C32FA9" w:rsidR="0081492D" w:rsidP="00993C3B" w:rsidRDefault="00BA5052">
      <w:pPr>
        <w:spacing w:after="200"/>
        <w:rPr>
          <w:szCs w:val="17"/>
        </w:rPr>
      </w:pPr>
      <w:r w:rsidRPr="002B1039">
        <w:rPr>
          <w:szCs w:val="17"/>
        </w:rPr>
        <w:t xml:space="preserve">Het BNC-fiche </w:t>
      </w:r>
      <w:r>
        <w:rPr>
          <w:szCs w:val="17"/>
        </w:rPr>
        <w:t xml:space="preserve">met de eerste appreciatie van het kabinet van het EU-voorstel is </w:t>
      </w:r>
      <w:r w:rsidR="0081492D">
        <w:rPr>
          <w:szCs w:val="17"/>
        </w:rPr>
        <w:t>op 18 september jl. door de Kamer ontvangen en staat geagendeerd voor het AO Milieuraad d.d. 15 oktober 2015.</w:t>
      </w:r>
    </w:p>
    <w:p w:rsidR="00BA5052" w:rsidP="00993C3B" w:rsidRDefault="00BA5052">
      <w:pPr>
        <w:spacing w:after="200"/>
        <w:rPr>
          <w:szCs w:val="18"/>
        </w:rPr>
      </w:pPr>
      <w:r w:rsidRPr="005928E1">
        <w:rPr>
          <w:szCs w:val="18"/>
        </w:rPr>
        <w:t xml:space="preserve">Eerder had het kabinet de </w:t>
      </w:r>
      <w:hyperlink w:history="1" r:id="rId35">
        <w:r w:rsidRPr="005928E1">
          <w:rPr>
            <w:rStyle w:val="Hyperlink"/>
            <w:color w:val="auto"/>
            <w:szCs w:val="18"/>
          </w:rPr>
          <w:t>Nederlandse input voor de consultatie van de Europese Commissie over het onderwerp ‘</w:t>
        </w:r>
        <w:r w:rsidRPr="005928E1">
          <w:rPr>
            <w:rStyle w:val="Hyperlink"/>
            <w:i/>
            <w:color w:val="auto"/>
            <w:szCs w:val="18"/>
          </w:rPr>
          <w:t>carbon leakage</w:t>
        </w:r>
      </w:hyperlink>
      <w:r w:rsidRPr="005928E1">
        <w:rPr>
          <w:szCs w:val="18"/>
        </w:rPr>
        <w:t xml:space="preserve">’ op 28 oktober 2014 naar de Kamer gestuurd. Deze brief is betrokken bij het plenaire debat op 3 december 2014 over de eventuele gevolgen van het IPCC-rapport voor het Nederlandse beleid. </w:t>
      </w:r>
    </w:p>
    <w:p w:rsidRPr="003C2691" w:rsidR="00BA5052" w:rsidP="00993C3B" w:rsidRDefault="00BA5052">
      <w:pPr>
        <w:spacing w:after="200"/>
        <w:rPr>
          <w:szCs w:val="18"/>
        </w:rPr>
      </w:pPr>
      <w:r>
        <w:rPr>
          <w:szCs w:val="17"/>
        </w:rPr>
        <w:t xml:space="preserve">Verder volgde op 23 april jl. de </w:t>
      </w:r>
      <w:hyperlink w:history="1" r:id="rId36">
        <w:r w:rsidRPr="0013629A">
          <w:rPr>
            <w:rStyle w:val="Hyperlink"/>
            <w:szCs w:val="17"/>
          </w:rPr>
          <w:t>Nederlandse input voor de consultatie over de herziening van het EU-emissiehandelssysteem</w:t>
        </w:r>
      </w:hyperlink>
      <w:r>
        <w:rPr>
          <w:szCs w:val="17"/>
        </w:rPr>
        <w:t xml:space="preserve">. Deze brief stond op de agenda van het SO Milieuraad d.d. 3 juni jl. </w:t>
      </w:r>
    </w:p>
    <w:p w:rsidR="00BA5052" w:rsidP="00993C3B" w:rsidRDefault="00BA5052">
      <w:pPr>
        <w:spacing w:after="200"/>
        <w:rPr>
          <w:szCs w:val="17"/>
        </w:rPr>
      </w:pPr>
      <w:r>
        <w:rPr>
          <w:szCs w:val="17"/>
        </w:rPr>
        <w:t xml:space="preserve">Tot slot is op 23 juni jl. de </w:t>
      </w:r>
      <w:hyperlink w:history="1" r:id="rId37">
        <w:r w:rsidRPr="004E05E2">
          <w:rPr>
            <w:rStyle w:val="Hyperlink"/>
            <w:szCs w:val="17"/>
          </w:rPr>
          <w:t>kabinetsappreciatie van het onderzoek van de Nederlandse Emissieautoriteit (NEa)</w:t>
        </w:r>
      </w:hyperlink>
      <w:r>
        <w:rPr>
          <w:szCs w:val="17"/>
        </w:rPr>
        <w:t xml:space="preserve"> naar de Kamer gestuurd. Het onderzoek zoomt in op een aantal vereenvoudigingsopties voor het bestaande </w:t>
      </w:r>
      <w:r w:rsidR="00680438">
        <w:rPr>
          <w:szCs w:val="17"/>
        </w:rPr>
        <w:t xml:space="preserve">EU-opties. </w:t>
      </w:r>
    </w:p>
    <w:p w:rsidR="009827E9" w:rsidP="00993C3B" w:rsidRDefault="009827E9">
      <w:pPr>
        <w:spacing w:after="200"/>
        <w:rPr>
          <w:b/>
          <w:i/>
          <w:szCs w:val="17"/>
        </w:rPr>
      </w:pPr>
    </w:p>
    <w:p w:rsidR="009827E9" w:rsidP="00993C3B" w:rsidRDefault="009827E9">
      <w:pPr>
        <w:spacing w:after="200"/>
        <w:rPr>
          <w:b/>
          <w:i/>
          <w:szCs w:val="17"/>
        </w:rPr>
      </w:pPr>
    </w:p>
    <w:p w:rsidRPr="00381668" w:rsidR="00BA5052" w:rsidP="00381668" w:rsidRDefault="00BA5052">
      <w:pPr>
        <w:rPr>
          <w:b/>
          <w:szCs w:val="17"/>
        </w:rPr>
      </w:pPr>
      <w:r w:rsidRPr="00381668">
        <w:rPr>
          <w:b/>
          <w:szCs w:val="17"/>
        </w:rPr>
        <w:lastRenderedPageBreak/>
        <w:t>Planning behandeling Milieuraad</w:t>
      </w:r>
    </w:p>
    <w:p w:rsidR="00BA5052" w:rsidP="00381668" w:rsidRDefault="00BA5052">
      <w:pPr>
        <w:rPr>
          <w:szCs w:val="17"/>
        </w:rPr>
      </w:pPr>
      <w:r w:rsidRPr="00381668">
        <w:rPr>
          <w:szCs w:val="17"/>
        </w:rPr>
        <w:t>Onder huidig Luxemburgs EU-Voorzitterschap zal de Milieuraad beginnen met de behandeling van het EU-voorstel voor</w:t>
      </w:r>
      <w:r>
        <w:rPr>
          <w:szCs w:val="17"/>
        </w:rPr>
        <w:t xml:space="preserve"> de herziening van het EU-ETS. Het voorstel staat geagendeerd voor:</w:t>
      </w:r>
    </w:p>
    <w:p w:rsidR="00BA5052" w:rsidP="004E72EB" w:rsidRDefault="00BA5052">
      <w:pPr>
        <w:pStyle w:val="Lijstalinea"/>
        <w:numPr>
          <w:ilvl w:val="0"/>
          <w:numId w:val="12"/>
        </w:numPr>
        <w:spacing w:after="200"/>
        <w:ind w:hanging="294"/>
        <w:rPr>
          <w:szCs w:val="17"/>
        </w:rPr>
      </w:pPr>
      <w:r>
        <w:rPr>
          <w:szCs w:val="17"/>
        </w:rPr>
        <w:t>Milieuraad 26 oktober 2015</w:t>
      </w:r>
      <w:r>
        <w:rPr>
          <w:szCs w:val="17"/>
        </w:rPr>
        <w:tab/>
        <w:t>: oriënterend debat</w:t>
      </w:r>
    </w:p>
    <w:p w:rsidRPr="00EA053C" w:rsidR="00BA5052" w:rsidP="004E72EB" w:rsidRDefault="00BA5052">
      <w:pPr>
        <w:pStyle w:val="Lijstalinea"/>
        <w:numPr>
          <w:ilvl w:val="0"/>
          <w:numId w:val="12"/>
        </w:numPr>
        <w:spacing w:after="200"/>
        <w:ind w:hanging="294"/>
        <w:rPr>
          <w:szCs w:val="17"/>
        </w:rPr>
      </w:pPr>
      <w:r>
        <w:rPr>
          <w:szCs w:val="17"/>
        </w:rPr>
        <w:t>Milieuraad 16 december 2015</w:t>
      </w:r>
      <w:r>
        <w:rPr>
          <w:szCs w:val="17"/>
        </w:rPr>
        <w:tab/>
        <w:t xml:space="preserve">: voortgangsrapportage </w:t>
      </w:r>
    </w:p>
    <w:p w:rsidR="00BA5052" w:rsidP="00993C3B" w:rsidRDefault="00BA5052">
      <w:pPr>
        <w:spacing w:after="200"/>
        <w:rPr>
          <w:szCs w:val="17"/>
        </w:rPr>
      </w:pPr>
      <w:r>
        <w:rPr>
          <w:szCs w:val="17"/>
        </w:rPr>
        <w:t xml:space="preserve">In de eerste helft van 2016 worden deze onderhandelingen onder </w:t>
      </w:r>
      <w:r w:rsidRPr="00674F2E">
        <w:rPr>
          <w:szCs w:val="17"/>
        </w:rPr>
        <w:t>Nederlands EU-Voorzitterschap</w:t>
      </w:r>
      <w:r>
        <w:rPr>
          <w:szCs w:val="17"/>
        </w:rPr>
        <w:t xml:space="preserve"> voortgezet:</w:t>
      </w:r>
    </w:p>
    <w:p w:rsidR="00BA5052" w:rsidP="004E72EB" w:rsidRDefault="00BA5052">
      <w:pPr>
        <w:pStyle w:val="Lijstalinea"/>
        <w:numPr>
          <w:ilvl w:val="0"/>
          <w:numId w:val="13"/>
        </w:numPr>
        <w:spacing w:after="200"/>
        <w:ind w:firstLine="66"/>
        <w:rPr>
          <w:szCs w:val="17"/>
        </w:rPr>
      </w:pPr>
      <w:r>
        <w:rPr>
          <w:szCs w:val="17"/>
        </w:rPr>
        <w:t>Milieuraad 4 maart 2016</w:t>
      </w:r>
      <w:r>
        <w:rPr>
          <w:szCs w:val="17"/>
        </w:rPr>
        <w:tab/>
      </w:r>
      <w:r>
        <w:rPr>
          <w:szCs w:val="17"/>
        </w:rPr>
        <w:tab/>
        <w:t>: geen debat voorzien</w:t>
      </w:r>
    </w:p>
    <w:p w:rsidR="0064311A" w:rsidP="004E72EB" w:rsidRDefault="00BA5052">
      <w:pPr>
        <w:pStyle w:val="Lijstalinea"/>
        <w:numPr>
          <w:ilvl w:val="0"/>
          <w:numId w:val="13"/>
        </w:numPr>
        <w:spacing w:after="200"/>
        <w:ind w:firstLine="66"/>
        <w:rPr>
          <w:szCs w:val="17"/>
        </w:rPr>
      </w:pPr>
      <w:r w:rsidRPr="0064311A">
        <w:rPr>
          <w:szCs w:val="17"/>
        </w:rPr>
        <w:t>Milieuraad 20 juni 2016</w:t>
      </w:r>
      <w:r w:rsidRPr="0064311A">
        <w:rPr>
          <w:szCs w:val="17"/>
        </w:rPr>
        <w:tab/>
      </w:r>
      <w:r w:rsidRPr="0064311A">
        <w:rPr>
          <w:szCs w:val="17"/>
        </w:rPr>
        <w:tab/>
        <w:t xml:space="preserve">: </w:t>
      </w:r>
      <w:r w:rsidR="006B5BC1">
        <w:rPr>
          <w:szCs w:val="17"/>
        </w:rPr>
        <w:t xml:space="preserve">(mogelijk) </w:t>
      </w:r>
      <w:r w:rsidRPr="0064311A">
        <w:rPr>
          <w:szCs w:val="17"/>
        </w:rPr>
        <w:t xml:space="preserve">beleidsdebat </w:t>
      </w:r>
    </w:p>
    <w:p w:rsidR="0064311A" w:rsidP="00993C3B" w:rsidRDefault="0064311A">
      <w:pPr>
        <w:pStyle w:val="Lijstalinea"/>
        <w:spacing w:after="200"/>
        <w:rPr>
          <w:szCs w:val="17"/>
          <w:u w:val="single"/>
        </w:rPr>
      </w:pPr>
    </w:p>
    <w:p w:rsidRPr="00B5406B" w:rsidR="00BA5052" w:rsidP="00993C3B" w:rsidRDefault="00BA5052">
      <w:pPr>
        <w:pStyle w:val="Lijstalinea"/>
        <w:numPr>
          <w:ilvl w:val="0"/>
          <w:numId w:val="14"/>
        </w:numPr>
        <w:spacing w:after="200"/>
        <w:rPr>
          <w:szCs w:val="17"/>
          <w:u w:val="single"/>
        </w:rPr>
      </w:pPr>
      <w:r w:rsidRPr="00B5406B">
        <w:rPr>
          <w:szCs w:val="17"/>
          <w:u w:val="single"/>
        </w:rPr>
        <w:t>EU-</w:t>
      </w:r>
      <w:r w:rsidRPr="00B5406B" w:rsidR="00680438">
        <w:rPr>
          <w:szCs w:val="17"/>
          <w:u w:val="single"/>
        </w:rPr>
        <w:t>voorstel</w:t>
      </w:r>
      <w:r w:rsidRPr="00B5406B">
        <w:rPr>
          <w:szCs w:val="17"/>
          <w:u w:val="single"/>
        </w:rPr>
        <w:t xml:space="preserve"> met verplichte nationale </w:t>
      </w:r>
      <w:r w:rsidRPr="00B5406B" w:rsidR="00680438">
        <w:rPr>
          <w:szCs w:val="17"/>
          <w:u w:val="single"/>
        </w:rPr>
        <w:t>emissiereducties</w:t>
      </w:r>
      <w:r w:rsidRPr="00B5406B">
        <w:rPr>
          <w:szCs w:val="17"/>
          <w:u w:val="single"/>
        </w:rPr>
        <w:t xml:space="preserve"> voor sectoren die buiten EU-emissiehandel vallen (</w:t>
      </w:r>
      <w:r w:rsidRPr="00B5406B">
        <w:rPr>
          <w:i/>
          <w:szCs w:val="17"/>
          <w:u w:val="single"/>
        </w:rPr>
        <w:t>effort sharing</w:t>
      </w:r>
      <w:r w:rsidRPr="00B5406B">
        <w:rPr>
          <w:szCs w:val="17"/>
          <w:u w:val="single"/>
        </w:rPr>
        <w:t>)</w:t>
      </w:r>
    </w:p>
    <w:p w:rsidR="00BA5052" w:rsidP="00993C3B" w:rsidRDefault="0064311A">
      <w:pPr>
        <w:rPr>
          <w:szCs w:val="17"/>
        </w:rPr>
      </w:pPr>
      <w:r>
        <w:rPr>
          <w:szCs w:val="17"/>
        </w:rPr>
        <w:t xml:space="preserve">De Europese Commissie komt in het tweede semester van 2016 met een voorstel voor de reductie </w:t>
      </w:r>
      <w:r w:rsidR="00BA5052">
        <w:rPr>
          <w:szCs w:val="17"/>
        </w:rPr>
        <w:t>van broeikasgasemissies in sectoren die buiten het EU-ETS vallen (zoals transport en landbouw)</w:t>
      </w:r>
      <w:r>
        <w:rPr>
          <w:szCs w:val="17"/>
        </w:rPr>
        <w:t>. D</w:t>
      </w:r>
      <w:r w:rsidR="00BA5052">
        <w:rPr>
          <w:szCs w:val="17"/>
        </w:rPr>
        <w:t xml:space="preserve">it voorstel wordt het </w:t>
      </w:r>
      <w:r w:rsidR="00680438">
        <w:rPr>
          <w:szCs w:val="17"/>
        </w:rPr>
        <w:t>zogeheten</w:t>
      </w:r>
      <w:r w:rsidR="00BA5052">
        <w:rPr>
          <w:szCs w:val="17"/>
        </w:rPr>
        <w:t xml:space="preserve"> ‘effort sharing’ voorstel genoemd. </w:t>
      </w:r>
      <w:r>
        <w:rPr>
          <w:szCs w:val="17"/>
        </w:rPr>
        <w:t xml:space="preserve">Eerder had de Europese Commissie aangegeven de voorstellen </w:t>
      </w:r>
      <w:r w:rsidR="00680438">
        <w:rPr>
          <w:szCs w:val="17"/>
        </w:rPr>
        <w:t>al</w:t>
      </w:r>
      <w:r>
        <w:rPr>
          <w:szCs w:val="17"/>
        </w:rPr>
        <w:t xml:space="preserve"> begin 2016 te publiceren. </w:t>
      </w:r>
    </w:p>
    <w:p w:rsidR="00C228D8" w:rsidP="00993C3B" w:rsidRDefault="00C228D8">
      <w:pPr>
        <w:pStyle w:val="Lijstalinea"/>
        <w:rPr>
          <w:szCs w:val="17"/>
          <w:u w:val="single"/>
        </w:rPr>
      </w:pPr>
    </w:p>
    <w:p w:rsidRPr="00BD01A4" w:rsidR="00BA5052" w:rsidP="00993C3B" w:rsidRDefault="00BA5052">
      <w:pPr>
        <w:pStyle w:val="Lijstalinea"/>
        <w:numPr>
          <w:ilvl w:val="0"/>
          <w:numId w:val="14"/>
        </w:numPr>
        <w:rPr>
          <w:szCs w:val="17"/>
          <w:u w:val="single"/>
        </w:rPr>
      </w:pPr>
      <w:r w:rsidRPr="00BD01A4">
        <w:rPr>
          <w:szCs w:val="17"/>
          <w:u w:val="single"/>
        </w:rPr>
        <w:t>European Transport Area</w:t>
      </w:r>
    </w:p>
    <w:p w:rsidR="00C228D8" w:rsidP="00993C3B" w:rsidRDefault="00C228D8">
      <w:pPr>
        <w:ind w:left="360"/>
        <w:rPr>
          <w:szCs w:val="17"/>
        </w:rPr>
      </w:pPr>
    </w:p>
    <w:p w:rsidR="00BA5052" w:rsidP="00993C3B" w:rsidRDefault="00BA5052">
      <w:pPr>
        <w:rPr>
          <w:szCs w:val="17"/>
        </w:rPr>
      </w:pPr>
      <w:r>
        <w:rPr>
          <w:szCs w:val="17"/>
        </w:rPr>
        <w:t xml:space="preserve">Gelet op de bijdrage van de transportsector aan de totale broeikasgasemissies, is in de Kaderstrategie Energie- Unie ook de publicatie </w:t>
      </w:r>
      <w:r w:rsidRPr="00AA4260">
        <w:rPr>
          <w:szCs w:val="17"/>
        </w:rPr>
        <w:t>de Strategie voor Eén Gezamenlijke EU Transportzone (</w:t>
      </w:r>
      <w:r w:rsidRPr="00AA4260">
        <w:rPr>
          <w:i/>
          <w:szCs w:val="17"/>
        </w:rPr>
        <w:t>Single European Transport Area</w:t>
      </w:r>
      <w:r>
        <w:rPr>
          <w:szCs w:val="17"/>
        </w:rPr>
        <w:t>) aangekondigd.</w:t>
      </w:r>
    </w:p>
    <w:p w:rsidR="00BA5052" w:rsidP="00993C3B" w:rsidRDefault="00BA5052">
      <w:pPr>
        <w:rPr>
          <w:b/>
          <w:szCs w:val="17"/>
        </w:rPr>
      </w:pPr>
      <w:r>
        <w:rPr>
          <w:szCs w:val="17"/>
        </w:rPr>
        <w:t xml:space="preserve">Eurocommissaris Violeta Bulc werkt daar momenteel aan. </w:t>
      </w:r>
      <w:r w:rsidR="00DD1D9A">
        <w:rPr>
          <w:szCs w:val="17"/>
        </w:rPr>
        <w:t xml:space="preserve">Het voorstel wordt in het tweede semester van 2016 verwacht. </w:t>
      </w:r>
    </w:p>
    <w:p w:rsidR="00BA5052" w:rsidP="00993C3B" w:rsidRDefault="00BA5052">
      <w:pPr>
        <w:rPr>
          <w:b/>
          <w:szCs w:val="17"/>
        </w:rPr>
      </w:pPr>
    </w:p>
    <w:p w:rsidR="00BA5052" w:rsidP="00993C3B" w:rsidRDefault="00BA5052">
      <w:pPr>
        <w:rPr>
          <w:b/>
          <w:szCs w:val="17"/>
        </w:rPr>
      </w:pPr>
    </w:p>
    <w:p w:rsidR="00BA5052" w:rsidP="00993C3B" w:rsidRDefault="00BA5052">
      <w:pPr>
        <w:rPr>
          <w:b/>
          <w:szCs w:val="17"/>
        </w:rPr>
      </w:pPr>
    </w:p>
    <w:p w:rsidR="00BA5052" w:rsidP="00993C3B" w:rsidRDefault="00BA5052">
      <w:pPr>
        <w:rPr>
          <w:b/>
          <w:szCs w:val="17"/>
        </w:rPr>
      </w:pPr>
    </w:p>
    <w:p w:rsidR="00BA5052" w:rsidP="00993C3B" w:rsidRDefault="00BA5052">
      <w:pPr>
        <w:rPr>
          <w:b/>
          <w:szCs w:val="17"/>
        </w:rPr>
      </w:pPr>
    </w:p>
    <w:p w:rsidR="006B7934" w:rsidP="00993C3B" w:rsidRDefault="006B7934">
      <w:pPr>
        <w:rPr>
          <w:b/>
          <w:szCs w:val="17"/>
        </w:rPr>
      </w:pPr>
    </w:p>
    <w:sectPr w:rsidR="006B7934" w:rsidSect="00EA0108">
      <w:headerReference w:type="default" r:id="rId38"/>
      <w:footerReference w:type="default" r:id="rId39"/>
      <w:pgSz w:w="11906" w:h="16838"/>
      <w:pgMar w:top="2269" w:right="1417" w:bottom="1134" w:left="1417" w:header="1247"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AF" w:rsidRDefault="002C4CAF">
      <w:r>
        <w:separator/>
      </w:r>
    </w:p>
  </w:endnote>
  <w:endnote w:type="continuationSeparator" w:id="0">
    <w:p w:rsidR="002C4CAF" w:rsidRDefault="002C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134099"/>
      <w:docPartObj>
        <w:docPartGallery w:val="Page Numbers (Bottom of Page)"/>
        <w:docPartUnique/>
      </w:docPartObj>
    </w:sdtPr>
    <w:sdtEndPr/>
    <w:sdtContent>
      <w:p w:rsidR="002C4CAF" w:rsidRDefault="002C4CAF">
        <w:pPr>
          <w:pStyle w:val="Voettekst"/>
          <w:jc w:val="center"/>
        </w:pPr>
        <w:r>
          <w:fldChar w:fldCharType="begin"/>
        </w:r>
        <w:r>
          <w:instrText>PAGE   \* MERGEFORMAT</w:instrText>
        </w:r>
        <w:r>
          <w:fldChar w:fldCharType="separate"/>
        </w:r>
        <w:r w:rsidR="006D0341">
          <w:rPr>
            <w:noProof/>
          </w:rPr>
          <w:t>1</w:t>
        </w:r>
        <w:r>
          <w:fldChar w:fldCharType="end"/>
        </w:r>
      </w:p>
    </w:sdtContent>
  </w:sdt>
  <w:p w:rsidR="002C4CAF" w:rsidRDefault="002C4CA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AF" w:rsidRDefault="002C4CAF">
      <w:r>
        <w:separator/>
      </w:r>
    </w:p>
  </w:footnote>
  <w:footnote w:type="continuationSeparator" w:id="0">
    <w:p w:rsidR="002C4CAF" w:rsidRDefault="002C4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CAF" w:rsidRDefault="002C4CAF">
    <w:pPr>
      <w:pStyle w:val="Koptekst"/>
    </w:pPr>
    <w:r>
      <w:rPr>
        <w:noProof/>
        <w:lang w:eastAsia="nl-NL"/>
      </w:rPr>
      <w:drawing>
        <wp:anchor distT="0" distB="0" distL="114300" distR="114300" simplePos="0" relativeHeight="251672064" behindDoc="1" locked="0" layoutInCell="1" allowOverlap="1" wp14:anchorId="30EE0A59" wp14:editId="370FCB34">
          <wp:simplePos x="0" y="0"/>
          <wp:positionH relativeFrom="page">
            <wp:posOffset>626745</wp:posOffset>
          </wp:positionH>
          <wp:positionV relativeFrom="page">
            <wp:posOffset>374650</wp:posOffset>
          </wp:positionV>
          <wp:extent cx="432000" cy="1238400"/>
          <wp:effectExtent l="0" t="0" r="635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5F35"/>
    <w:multiLevelType w:val="hybridMultilevel"/>
    <w:tmpl w:val="54ACD0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B406075"/>
    <w:multiLevelType w:val="hybridMultilevel"/>
    <w:tmpl w:val="669E46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E8F589F"/>
    <w:multiLevelType w:val="hybridMultilevel"/>
    <w:tmpl w:val="E81C3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52E6EE4"/>
    <w:multiLevelType w:val="hybridMultilevel"/>
    <w:tmpl w:val="A74CA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66D436C"/>
    <w:multiLevelType w:val="hybridMultilevel"/>
    <w:tmpl w:val="8294D1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1853F7E"/>
    <w:multiLevelType w:val="hybridMultilevel"/>
    <w:tmpl w:val="848086BA"/>
    <w:lvl w:ilvl="0" w:tplc="2C16C03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1E80806"/>
    <w:multiLevelType w:val="hybridMultilevel"/>
    <w:tmpl w:val="86120974"/>
    <w:lvl w:ilvl="0" w:tplc="F5F68B5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4E819FC"/>
    <w:multiLevelType w:val="hybridMultilevel"/>
    <w:tmpl w:val="18D8A09C"/>
    <w:lvl w:ilvl="0" w:tplc="4A20264A">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B4E081E"/>
    <w:multiLevelType w:val="hybridMultilevel"/>
    <w:tmpl w:val="46C8B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C5D2450"/>
    <w:multiLevelType w:val="hybridMultilevel"/>
    <w:tmpl w:val="A7641A62"/>
    <w:lvl w:ilvl="0" w:tplc="4A20264A">
      <w:numFmt w:val="bullet"/>
      <w:lvlText w:val="-"/>
      <w:lvlJc w:val="left"/>
      <w:pPr>
        <w:ind w:left="397" w:hanging="397"/>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F0D4C99"/>
    <w:multiLevelType w:val="hybridMultilevel"/>
    <w:tmpl w:val="F440C258"/>
    <w:lvl w:ilvl="0" w:tplc="0413000F">
      <w:start w:val="1"/>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61E48BA"/>
    <w:multiLevelType w:val="hybridMultilevel"/>
    <w:tmpl w:val="72A0D4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nsid w:val="6BFD06B6"/>
    <w:multiLevelType w:val="hybridMultilevel"/>
    <w:tmpl w:val="721402FC"/>
    <w:lvl w:ilvl="0" w:tplc="4A20264A">
      <w:numFmt w:val="bullet"/>
      <w:lvlText w:val="-"/>
      <w:lvlJc w:val="left"/>
      <w:pPr>
        <w:ind w:left="397" w:hanging="397"/>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DF81536"/>
    <w:multiLevelType w:val="hybridMultilevel"/>
    <w:tmpl w:val="C6449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50926AA"/>
    <w:multiLevelType w:val="hybridMultilevel"/>
    <w:tmpl w:val="0F908484"/>
    <w:lvl w:ilvl="0" w:tplc="170C7BFC">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5"/>
  </w:num>
  <w:num w:numId="4">
    <w:abstractNumId w:val="10"/>
  </w:num>
  <w:num w:numId="5">
    <w:abstractNumId w:val="0"/>
  </w:num>
  <w:num w:numId="6">
    <w:abstractNumId w:val="7"/>
  </w:num>
  <w:num w:numId="7">
    <w:abstractNumId w:val="4"/>
  </w:num>
  <w:num w:numId="8">
    <w:abstractNumId w:val="9"/>
  </w:num>
  <w:num w:numId="9">
    <w:abstractNumId w:val="2"/>
  </w:num>
  <w:num w:numId="10">
    <w:abstractNumId w:val="1"/>
  </w:num>
  <w:num w:numId="11">
    <w:abstractNumId w:val="13"/>
  </w:num>
  <w:num w:numId="12">
    <w:abstractNumId w:val="8"/>
  </w:num>
  <w:num w:numId="13">
    <w:abstractNumId w:val="11"/>
  </w:num>
  <w:num w:numId="14">
    <w:abstractNumId w:val="3"/>
  </w:num>
  <w:num w:numId="1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9DB"/>
    <w:rsid w:val="000033E5"/>
    <w:rsid w:val="0001201F"/>
    <w:rsid w:val="00012151"/>
    <w:rsid w:val="0001561F"/>
    <w:rsid w:val="00021664"/>
    <w:rsid w:val="00022CF4"/>
    <w:rsid w:val="00024CB3"/>
    <w:rsid w:val="00030C6E"/>
    <w:rsid w:val="000337AA"/>
    <w:rsid w:val="00036AFB"/>
    <w:rsid w:val="0003765D"/>
    <w:rsid w:val="00041255"/>
    <w:rsid w:val="00041CED"/>
    <w:rsid w:val="00044F16"/>
    <w:rsid w:val="00046619"/>
    <w:rsid w:val="000522CB"/>
    <w:rsid w:val="00052AA7"/>
    <w:rsid w:val="0006193A"/>
    <w:rsid w:val="00063064"/>
    <w:rsid w:val="00063767"/>
    <w:rsid w:val="000647AC"/>
    <w:rsid w:val="00077D08"/>
    <w:rsid w:val="0008103C"/>
    <w:rsid w:val="00081D45"/>
    <w:rsid w:val="00086E10"/>
    <w:rsid w:val="0008777A"/>
    <w:rsid w:val="000A140A"/>
    <w:rsid w:val="000A18CF"/>
    <w:rsid w:val="000A211E"/>
    <w:rsid w:val="000A21BD"/>
    <w:rsid w:val="000A60C0"/>
    <w:rsid w:val="000A7D65"/>
    <w:rsid w:val="000B6CC2"/>
    <w:rsid w:val="000B73BE"/>
    <w:rsid w:val="000B790D"/>
    <w:rsid w:val="000C0783"/>
    <w:rsid w:val="000D08B3"/>
    <w:rsid w:val="000D1228"/>
    <w:rsid w:val="000D1765"/>
    <w:rsid w:val="000D39B8"/>
    <w:rsid w:val="000D39DB"/>
    <w:rsid w:val="000D7A35"/>
    <w:rsid w:val="000E0ED1"/>
    <w:rsid w:val="000F0095"/>
    <w:rsid w:val="000F00F7"/>
    <w:rsid w:val="00100A53"/>
    <w:rsid w:val="00105C0C"/>
    <w:rsid w:val="001172CB"/>
    <w:rsid w:val="00121458"/>
    <w:rsid w:val="00123A0E"/>
    <w:rsid w:val="00131D07"/>
    <w:rsid w:val="00133E5C"/>
    <w:rsid w:val="00142FB1"/>
    <w:rsid w:val="0015350D"/>
    <w:rsid w:val="00160423"/>
    <w:rsid w:val="00170401"/>
    <w:rsid w:val="001842E4"/>
    <w:rsid w:val="00185E0D"/>
    <w:rsid w:val="00187B93"/>
    <w:rsid w:val="0019120A"/>
    <w:rsid w:val="001922D1"/>
    <w:rsid w:val="00193A79"/>
    <w:rsid w:val="001B090D"/>
    <w:rsid w:val="001B5C08"/>
    <w:rsid w:val="001C00E9"/>
    <w:rsid w:val="001C04E5"/>
    <w:rsid w:val="001D4185"/>
    <w:rsid w:val="001E0683"/>
    <w:rsid w:val="001E524D"/>
    <w:rsid w:val="001F3022"/>
    <w:rsid w:val="001F3E09"/>
    <w:rsid w:val="001F7660"/>
    <w:rsid w:val="0020340A"/>
    <w:rsid w:val="002039FE"/>
    <w:rsid w:val="00214EC9"/>
    <w:rsid w:val="00215DF9"/>
    <w:rsid w:val="002240D8"/>
    <w:rsid w:val="00226B19"/>
    <w:rsid w:val="00226EC2"/>
    <w:rsid w:val="00230376"/>
    <w:rsid w:val="002343A5"/>
    <w:rsid w:val="00237753"/>
    <w:rsid w:val="00245667"/>
    <w:rsid w:val="00271594"/>
    <w:rsid w:val="00273CDF"/>
    <w:rsid w:val="00275BD1"/>
    <w:rsid w:val="00275F14"/>
    <w:rsid w:val="00276A98"/>
    <w:rsid w:val="00277DBC"/>
    <w:rsid w:val="00280C0D"/>
    <w:rsid w:val="00281BEC"/>
    <w:rsid w:val="00286646"/>
    <w:rsid w:val="00292D3D"/>
    <w:rsid w:val="002A2B50"/>
    <w:rsid w:val="002A6423"/>
    <w:rsid w:val="002A6F16"/>
    <w:rsid w:val="002B3BCE"/>
    <w:rsid w:val="002B497A"/>
    <w:rsid w:val="002C4CAF"/>
    <w:rsid w:val="002C7E3A"/>
    <w:rsid w:val="002D12AC"/>
    <w:rsid w:val="002D1612"/>
    <w:rsid w:val="002D288E"/>
    <w:rsid w:val="002D3410"/>
    <w:rsid w:val="002D4F6B"/>
    <w:rsid w:val="002D5755"/>
    <w:rsid w:val="002D6866"/>
    <w:rsid w:val="002F18C5"/>
    <w:rsid w:val="00301BAD"/>
    <w:rsid w:val="00304F71"/>
    <w:rsid w:val="003126D4"/>
    <w:rsid w:val="00313C5E"/>
    <w:rsid w:val="003163A9"/>
    <w:rsid w:val="00316637"/>
    <w:rsid w:val="00320013"/>
    <w:rsid w:val="003247DE"/>
    <w:rsid w:val="003309AD"/>
    <w:rsid w:val="0033115A"/>
    <w:rsid w:val="00337BB2"/>
    <w:rsid w:val="00351733"/>
    <w:rsid w:val="00352778"/>
    <w:rsid w:val="0035424F"/>
    <w:rsid w:val="0035484F"/>
    <w:rsid w:val="00356BEF"/>
    <w:rsid w:val="00365647"/>
    <w:rsid w:val="00366CCA"/>
    <w:rsid w:val="00366F54"/>
    <w:rsid w:val="00367975"/>
    <w:rsid w:val="003705FD"/>
    <w:rsid w:val="00380735"/>
    <w:rsid w:val="003814ED"/>
    <w:rsid w:val="00381668"/>
    <w:rsid w:val="00382EE9"/>
    <w:rsid w:val="00382F58"/>
    <w:rsid w:val="00384AAF"/>
    <w:rsid w:val="003923FB"/>
    <w:rsid w:val="003A62E9"/>
    <w:rsid w:val="003A666A"/>
    <w:rsid w:val="003B4DCB"/>
    <w:rsid w:val="003C1851"/>
    <w:rsid w:val="003C2841"/>
    <w:rsid w:val="003C3EDC"/>
    <w:rsid w:val="003C5957"/>
    <w:rsid w:val="003D0433"/>
    <w:rsid w:val="003D104E"/>
    <w:rsid w:val="003D1733"/>
    <w:rsid w:val="003E1C77"/>
    <w:rsid w:val="003E37B9"/>
    <w:rsid w:val="003E3964"/>
    <w:rsid w:val="003E7681"/>
    <w:rsid w:val="003E76A0"/>
    <w:rsid w:val="003F021A"/>
    <w:rsid w:val="003F5835"/>
    <w:rsid w:val="003F69A2"/>
    <w:rsid w:val="003F6E47"/>
    <w:rsid w:val="003F753D"/>
    <w:rsid w:val="0040271B"/>
    <w:rsid w:val="00405849"/>
    <w:rsid w:val="004212DC"/>
    <w:rsid w:val="00423A30"/>
    <w:rsid w:val="00424253"/>
    <w:rsid w:val="004253B2"/>
    <w:rsid w:val="00430629"/>
    <w:rsid w:val="0043519C"/>
    <w:rsid w:val="0044438F"/>
    <w:rsid w:val="00445B6F"/>
    <w:rsid w:val="0045714A"/>
    <w:rsid w:val="004578C8"/>
    <w:rsid w:val="0046510C"/>
    <w:rsid w:val="004671FF"/>
    <w:rsid w:val="00475F7D"/>
    <w:rsid w:val="0047698B"/>
    <w:rsid w:val="004805AB"/>
    <w:rsid w:val="00480C20"/>
    <w:rsid w:val="004916DB"/>
    <w:rsid w:val="00492856"/>
    <w:rsid w:val="00493D30"/>
    <w:rsid w:val="00496CD0"/>
    <w:rsid w:val="0049747C"/>
    <w:rsid w:val="004A0604"/>
    <w:rsid w:val="004A45B4"/>
    <w:rsid w:val="004A4B7F"/>
    <w:rsid w:val="004B09D0"/>
    <w:rsid w:val="004B44C1"/>
    <w:rsid w:val="004C71AD"/>
    <w:rsid w:val="004D36F1"/>
    <w:rsid w:val="004D44BB"/>
    <w:rsid w:val="004D67BD"/>
    <w:rsid w:val="004E0C39"/>
    <w:rsid w:val="004E3AFD"/>
    <w:rsid w:val="004E54F4"/>
    <w:rsid w:val="004E72EB"/>
    <w:rsid w:val="004E77AD"/>
    <w:rsid w:val="004F6751"/>
    <w:rsid w:val="004F7393"/>
    <w:rsid w:val="00501600"/>
    <w:rsid w:val="00501A24"/>
    <w:rsid w:val="00501B8B"/>
    <w:rsid w:val="00502BA2"/>
    <w:rsid w:val="00503180"/>
    <w:rsid w:val="005033EF"/>
    <w:rsid w:val="00504ACD"/>
    <w:rsid w:val="00507531"/>
    <w:rsid w:val="00513F96"/>
    <w:rsid w:val="00521541"/>
    <w:rsid w:val="00521B1D"/>
    <w:rsid w:val="005268E0"/>
    <w:rsid w:val="00527700"/>
    <w:rsid w:val="00531B81"/>
    <w:rsid w:val="005350AE"/>
    <w:rsid w:val="005359AD"/>
    <w:rsid w:val="00535B1B"/>
    <w:rsid w:val="00545539"/>
    <w:rsid w:val="0055036D"/>
    <w:rsid w:val="00556437"/>
    <w:rsid w:val="00556A98"/>
    <w:rsid w:val="00557B9E"/>
    <w:rsid w:val="0056275F"/>
    <w:rsid w:val="00563BB1"/>
    <w:rsid w:val="00564178"/>
    <w:rsid w:val="00570CD6"/>
    <w:rsid w:val="005719C8"/>
    <w:rsid w:val="00572225"/>
    <w:rsid w:val="00573B34"/>
    <w:rsid w:val="005904B2"/>
    <w:rsid w:val="0059348B"/>
    <w:rsid w:val="005968D3"/>
    <w:rsid w:val="005A0F1C"/>
    <w:rsid w:val="005A2A68"/>
    <w:rsid w:val="005A3537"/>
    <w:rsid w:val="005A47A3"/>
    <w:rsid w:val="005A54B0"/>
    <w:rsid w:val="005B20B8"/>
    <w:rsid w:val="005D0577"/>
    <w:rsid w:val="005D3F7C"/>
    <w:rsid w:val="005D4AE8"/>
    <w:rsid w:val="005E1E0E"/>
    <w:rsid w:val="005E4CCA"/>
    <w:rsid w:val="005E5F98"/>
    <w:rsid w:val="005E61A2"/>
    <w:rsid w:val="005E6DB7"/>
    <w:rsid w:val="005E7110"/>
    <w:rsid w:val="005F16C0"/>
    <w:rsid w:val="005F5474"/>
    <w:rsid w:val="005F5A5D"/>
    <w:rsid w:val="005F5B43"/>
    <w:rsid w:val="0060121B"/>
    <w:rsid w:val="00601690"/>
    <w:rsid w:val="006064F8"/>
    <w:rsid w:val="00607475"/>
    <w:rsid w:val="00610BB2"/>
    <w:rsid w:val="00611521"/>
    <w:rsid w:val="006120AC"/>
    <w:rsid w:val="00623D7E"/>
    <w:rsid w:val="006244E9"/>
    <w:rsid w:val="006268AE"/>
    <w:rsid w:val="006300D3"/>
    <w:rsid w:val="0063558D"/>
    <w:rsid w:val="00641842"/>
    <w:rsid w:val="0064311A"/>
    <w:rsid w:val="006466A1"/>
    <w:rsid w:val="006501A9"/>
    <w:rsid w:val="00651600"/>
    <w:rsid w:val="00654256"/>
    <w:rsid w:val="00655C7A"/>
    <w:rsid w:val="006560DE"/>
    <w:rsid w:val="006625EE"/>
    <w:rsid w:val="00663912"/>
    <w:rsid w:val="00663EF8"/>
    <w:rsid w:val="00666A9C"/>
    <w:rsid w:val="0066751D"/>
    <w:rsid w:val="0067173A"/>
    <w:rsid w:val="00672601"/>
    <w:rsid w:val="00680438"/>
    <w:rsid w:val="00680718"/>
    <w:rsid w:val="00682BA9"/>
    <w:rsid w:val="00687C77"/>
    <w:rsid w:val="00690420"/>
    <w:rsid w:val="00692C52"/>
    <w:rsid w:val="006932A3"/>
    <w:rsid w:val="00694154"/>
    <w:rsid w:val="006955C7"/>
    <w:rsid w:val="006B07B6"/>
    <w:rsid w:val="006B1135"/>
    <w:rsid w:val="006B16C6"/>
    <w:rsid w:val="006B1749"/>
    <w:rsid w:val="006B4CBF"/>
    <w:rsid w:val="006B5BC1"/>
    <w:rsid w:val="006B7934"/>
    <w:rsid w:val="006D0341"/>
    <w:rsid w:val="006D4F95"/>
    <w:rsid w:val="006D73FD"/>
    <w:rsid w:val="006E0491"/>
    <w:rsid w:val="006E66FD"/>
    <w:rsid w:val="006E6E43"/>
    <w:rsid w:val="006F0D1A"/>
    <w:rsid w:val="006F31BE"/>
    <w:rsid w:val="006F52B8"/>
    <w:rsid w:val="00700E88"/>
    <w:rsid w:val="00711B91"/>
    <w:rsid w:val="00724A1E"/>
    <w:rsid w:val="007279DD"/>
    <w:rsid w:val="00732288"/>
    <w:rsid w:val="007405EC"/>
    <w:rsid w:val="007409C1"/>
    <w:rsid w:val="00746A64"/>
    <w:rsid w:val="00750077"/>
    <w:rsid w:val="00750905"/>
    <w:rsid w:val="00752C4D"/>
    <w:rsid w:val="00756252"/>
    <w:rsid w:val="00756AFD"/>
    <w:rsid w:val="00763C2E"/>
    <w:rsid w:val="007644A8"/>
    <w:rsid w:val="00766D17"/>
    <w:rsid w:val="007728F6"/>
    <w:rsid w:val="0077298B"/>
    <w:rsid w:val="00773E12"/>
    <w:rsid w:val="00775D7F"/>
    <w:rsid w:val="00775EB2"/>
    <w:rsid w:val="00775FE5"/>
    <w:rsid w:val="007777A8"/>
    <w:rsid w:val="00777DD4"/>
    <w:rsid w:val="00780452"/>
    <w:rsid w:val="007824AD"/>
    <w:rsid w:val="00786538"/>
    <w:rsid w:val="007901CA"/>
    <w:rsid w:val="00795AB1"/>
    <w:rsid w:val="007A2112"/>
    <w:rsid w:val="007A2142"/>
    <w:rsid w:val="007A2E4B"/>
    <w:rsid w:val="007A3844"/>
    <w:rsid w:val="007A4CFA"/>
    <w:rsid w:val="007A5CEF"/>
    <w:rsid w:val="007B3B6C"/>
    <w:rsid w:val="007B48EC"/>
    <w:rsid w:val="007B76E0"/>
    <w:rsid w:val="007C7189"/>
    <w:rsid w:val="007D17FF"/>
    <w:rsid w:val="007D7AD4"/>
    <w:rsid w:val="007E13F7"/>
    <w:rsid w:val="007E63E3"/>
    <w:rsid w:val="007E6764"/>
    <w:rsid w:val="007E7409"/>
    <w:rsid w:val="007E7B39"/>
    <w:rsid w:val="007F39F7"/>
    <w:rsid w:val="007F72CB"/>
    <w:rsid w:val="007F7CCE"/>
    <w:rsid w:val="008020EC"/>
    <w:rsid w:val="00803CAA"/>
    <w:rsid w:val="00807198"/>
    <w:rsid w:val="00810B81"/>
    <w:rsid w:val="00813009"/>
    <w:rsid w:val="0081492D"/>
    <w:rsid w:val="00820ED6"/>
    <w:rsid w:val="00824C42"/>
    <w:rsid w:val="00831CE9"/>
    <w:rsid w:val="00835C89"/>
    <w:rsid w:val="00836F75"/>
    <w:rsid w:val="0084084B"/>
    <w:rsid w:val="00842A29"/>
    <w:rsid w:val="00843B2D"/>
    <w:rsid w:val="008458BA"/>
    <w:rsid w:val="00847798"/>
    <w:rsid w:val="00856C58"/>
    <w:rsid w:val="008570ED"/>
    <w:rsid w:val="0086136E"/>
    <w:rsid w:val="008643F0"/>
    <w:rsid w:val="008754D1"/>
    <w:rsid w:val="00882B15"/>
    <w:rsid w:val="00883CF0"/>
    <w:rsid w:val="008844C5"/>
    <w:rsid w:val="0088590A"/>
    <w:rsid w:val="0089176B"/>
    <w:rsid w:val="008A1817"/>
    <w:rsid w:val="008A37EF"/>
    <w:rsid w:val="008A62D2"/>
    <w:rsid w:val="008B07A5"/>
    <w:rsid w:val="008C3D91"/>
    <w:rsid w:val="008C45E9"/>
    <w:rsid w:val="008C61D8"/>
    <w:rsid w:val="008D4064"/>
    <w:rsid w:val="008D40CB"/>
    <w:rsid w:val="008D4995"/>
    <w:rsid w:val="008D6F18"/>
    <w:rsid w:val="008E093D"/>
    <w:rsid w:val="008E1539"/>
    <w:rsid w:val="008E5299"/>
    <w:rsid w:val="008E57B3"/>
    <w:rsid w:val="008F24D6"/>
    <w:rsid w:val="008F3053"/>
    <w:rsid w:val="008F3116"/>
    <w:rsid w:val="009005A2"/>
    <w:rsid w:val="00901026"/>
    <w:rsid w:val="009057CC"/>
    <w:rsid w:val="009062AB"/>
    <w:rsid w:val="009102F8"/>
    <w:rsid w:val="009108AE"/>
    <w:rsid w:val="00921744"/>
    <w:rsid w:val="0092366B"/>
    <w:rsid w:val="00925854"/>
    <w:rsid w:val="00925E8B"/>
    <w:rsid w:val="00930507"/>
    <w:rsid w:val="00930E0B"/>
    <w:rsid w:val="009376A9"/>
    <w:rsid w:val="009444DA"/>
    <w:rsid w:val="009465D7"/>
    <w:rsid w:val="00951543"/>
    <w:rsid w:val="00955BBA"/>
    <w:rsid w:val="009609C1"/>
    <w:rsid w:val="009664A2"/>
    <w:rsid w:val="00971208"/>
    <w:rsid w:val="009721BB"/>
    <w:rsid w:val="0097431D"/>
    <w:rsid w:val="00974B62"/>
    <w:rsid w:val="009753A8"/>
    <w:rsid w:val="009827E9"/>
    <w:rsid w:val="009862D3"/>
    <w:rsid w:val="00991ED8"/>
    <w:rsid w:val="00993C3B"/>
    <w:rsid w:val="009972CA"/>
    <w:rsid w:val="00997D61"/>
    <w:rsid w:val="009A097C"/>
    <w:rsid w:val="009A1360"/>
    <w:rsid w:val="009A5C37"/>
    <w:rsid w:val="009B1359"/>
    <w:rsid w:val="009C1C9E"/>
    <w:rsid w:val="009C1D2B"/>
    <w:rsid w:val="009C58E6"/>
    <w:rsid w:val="009C7076"/>
    <w:rsid w:val="009D0B86"/>
    <w:rsid w:val="009D27DD"/>
    <w:rsid w:val="009D41BA"/>
    <w:rsid w:val="009D4F50"/>
    <w:rsid w:val="009E0206"/>
    <w:rsid w:val="009E0477"/>
    <w:rsid w:val="009E2012"/>
    <w:rsid w:val="009F1027"/>
    <w:rsid w:val="009F5819"/>
    <w:rsid w:val="009F60DE"/>
    <w:rsid w:val="009F6B3F"/>
    <w:rsid w:val="009F7D9F"/>
    <w:rsid w:val="00A0059E"/>
    <w:rsid w:val="00A07340"/>
    <w:rsid w:val="00A073FE"/>
    <w:rsid w:val="00A20F33"/>
    <w:rsid w:val="00A20F50"/>
    <w:rsid w:val="00A2428E"/>
    <w:rsid w:val="00A264A8"/>
    <w:rsid w:val="00A26BD3"/>
    <w:rsid w:val="00A27BE9"/>
    <w:rsid w:val="00A30D86"/>
    <w:rsid w:val="00A318D3"/>
    <w:rsid w:val="00A31BCD"/>
    <w:rsid w:val="00A32BE3"/>
    <w:rsid w:val="00A336F7"/>
    <w:rsid w:val="00A44B73"/>
    <w:rsid w:val="00A4643E"/>
    <w:rsid w:val="00A46865"/>
    <w:rsid w:val="00A46E86"/>
    <w:rsid w:val="00A46EC8"/>
    <w:rsid w:val="00A47ED4"/>
    <w:rsid w:val="00A50180"/>
    <w:rsid w:val="00A5079D"/>
    <w:rsid w:val="00A55583"/>
    <w:rsid w:val="00A601F5"/>
    <w:rsid w:val="00A65FF9"/>
    <w:rsid w:val="00A66ECF"/>
    <w:rsid w:val="00A7653B"/>
    <w:rsid w:val="00A81317"/>
    <w:rsid w:val="00A82F28"/>
    <w:rsid w:val="00A867A0"/>
    <w:rsid w:val="00A9089A"/>
    <w:rsid w:val="00A96CBD"/>
    <w:rsid w:val="00AA4260"/>
    <w:rsid w:val="00AA61D5"/>
    <w:rsid w:val="00AA6225"/>
    <w:rsid w:val="00AB0B7D"/>
    <w:rsid w:val="00AB15E8"/>
    <w:rsid w:val="00AB1644"/>
    <w:rsid w:val="00AB2B9E"/>
    <w:rsid w:val="00AB50B8"/>
    <w:rsid w:val="00AC0DEB"/>
    <w:rsid w:val="00AC7C13"/>
    <w:rsid w:val="00AD392F"/>
    <w:rsid w:val="00AD45CB"/>
    <w:rsid w:val="00AD49F7"/>
    <w:rsid w:val="00AD518F"/>
    <w:rsid w:val="00AF07DF"/>
    <w:rsid w:val="00AF6634"/>
    <w:rsid w:val="00B004E8"/>
    <w:rsid w:val="00B008B8"/>
    <w:rsid w:val="00B13B8D"/>
    <w:rsid w:val="00B14760"/>
    <w:rsid w:val="00B179D3"/>
    <w:rsid w:val="00B2134E"/>
    <w:rsid w:val="00B23058"/>
    <w:rsid w:val="00B3122B"/>
    <w:rsid w:val="00B36367"/>
    <w:rsid w:val="00B37961"/>
    <w:rsid w:val="00B404C0"/>
    <w:rsid w:val="00B421AC"/>
    <w:rsid w:val="00B5060F"/>
    <w:rsid w:val="00B5132A"/>
    <w:rsid w:val="00B51425"/>
    <w:rsid w:val="00B53CF0"/>
    <w:rsid w:val="00B5406B"/>
    <w:rsid w:val="00B555FE"/>
    <w:rsid w:val="00B5579D"/>
    <w:rsid w:val="00B6186F"/>
    <w:rsid w:val="00B623EB"/>
    <w:rsid w:val="00B73701"/>
    <w:rsid w:val="00B83D23"/>
    <w:rsid w:val="00B86DEA"/>
    <w:rsid w:val="00B90A02"/>
    <w:rsid w:val="00B91860"/>
    <w:rsid w:val="00B975E1"/>
    <w:rsid w:val="00BA11CA"/>
    <w:rsid w:val="00BA5052"/>
    <w:rsid w:val="00BA6533"/>
    <w:rsid w:val="00BB2B52"/>
    <w:rsid w:val="00BD01A4"/>
    <w:rsid w:val="00BD0ACA"/>
    <w:rsid w:val="00BD0BFC"/>
    <w:rsid w:val="00BD54A5"/>
    <w:rsid w:val="00BD77C3"/>
    <w:rsid w:val="00BE2881"/>
    <w:rsid w:val="00C03FA8"/>
    <w:rsid w:val="00C04466"/>
    <w:rsid w:val="00C0610A"/>
    <w:rsid w:val="00C13208"/>
    <w:rsid w:val="00C136B8"/>
    <w:rsid w:val="00C13A9E"/>
    <w:rsid w:val="00C17BE3"/>
    <w:rsid w:val="00C213D1"/>
    <w:rsid w:val="00C228D8"/>
    <w:rsid w:val="00C252DF"/>
    <w:rsid w:val="00C2596F"/>
    <w:rsid w:val="00C32795"/>
    <w:rsid w:val="00C32FA9"/>
    <w:rsid w:val="00C406F0"/>
    <w:rsid w:val="00C460FC"/>
    <w:rsid w:val="00C461C4"/>
    <w:rsid w:val="00C516FD"/>
    <w:rsid w:val="00C51BF6"/>
    <w:rsid w:val="00C578CB"/>
    <w:rsid w:val="00C57FB5"/>
    <w:rsid w:val="00C600C6"/>
    <w:rsid w:val="00C62FA0"/>
    <w:rsid w:val="00C707A2"/>
    <w:rsid w:val="00C70D5B"/>
    <w:rsid w:val="00C716B5"/>
    <w:rsid w:val="00C72CD5"/>
    <w:rsid w:val="00C72D1F"/>
    <w:rsid w:val="00C90855"/>
    <w:rsid w:val="00C956DB"/>
    <w:rsid w:val="00CA0F7C"/>
    <w:rsid w:val="00CA14C0"/>
    <w:rsid w:val="00CA3528"/>
    <w:rsid w:val="00CA522A"/>
    <w:rsid w:val="00CA7190"/>
    <w:rsid w:val="00CB2A2E"/>
    <w:rsid w:val="00CB2C74"/>
    <w:rsid w:val="00CB3E71"/>
    <w:rsid w:val="00CB5716"/>
    <w:rsid w:val="00CB65FD"/>
    <w:rsid w:val="00CC1E0C"/>
    <w:rsid w:val="00CC5ABD"/>
    <w:rsid w:val="00CC68DA"/>
    <w:rsid w:val="00CD5482"/>
    <w:rsid w:val="00CE225D"/>
    <w:rsid w:val="00CE4F66"/>
    <w:rsid w:val="00CE70AD"/>
    <w:rsid w:val="00CF552B"/>
    <w:rsid w:val="00CF640C"/>
    <w:rsid w:val="00D00044"/>
    <w:rsid w:val="00D00D10"/>
    <w:rsid w:val="00D0447B"/>
    <w:rsid w:val="00D04A6B"/>
    <w:rsid w:val="00D059DA"/>
    <w:rsid w:val="00D05C73"/>
    <w:rsid w:val="00D1340C"/>
    <w:rsid w:val="00D16B30"/>
    <w:rsid w:val="00D17E31"/>
    <w:rsid w:val="00D21B6F"/>
    <w:rsid w:val="00D22FEC"/>
    <w:rsid w:val="00D340D2"/>
    <w:rsid w:val="00D3475A"/>
    <w:rsid w:val="00D34AD4"/>
    <w:rsid w:val="00D37222"/>
    <w:rsid w:val="00D46E21"/>
    <w:rsid w:val="00D4730A"/>
    <w:rsid w:val="00D54112"/>
    <w:rsid w:val="00D63A18"/>
    <w:rsid w:val="00D7223A"/>
    <w:rsid w:val="00D73CBB"/>
    <w:rsid w:val="00D81945"/>
    <w:rsid w:val="00D81F3E"/>
    <w:rsid w:val="00D82AAD"/>
    <w:rsid w:val="00D84905"/>
    <w:rsid w:val="00D95C8D"/>
    <w:rsid w:val="00DA03CB"/>
    <w:rsid w:val="00DA3FE1"/>
    <w:rsid w:val="00DA3FEA"/>
    <w:rsid w:val="00DB6269"/>
    <w:rsid w:val="00DB6783"/>
    <w:rsid w:val="00DC42FD"/>
    <w:rsid w:val="00DC442D"/>
    <w:rsid w:val="00DC782F"/>
    <w:rsid w:val="00DD1D9A"/>
    <w:rsid w:val="00DD5F62"/>
    <w:rsid w:val="00DD7367"/>
    <w:rsid w:val="00DE2E50"/>
    <w:rsid w:val="00DF1D64"/>
    <w:rsid w:val="00DF2BFB"/>
    <w:rsid w:val="00DF44B4"/>
    <w:rsid w:val="00DF45E7"/>
    <w:rsid w:val="00DF6F1E"/>
    <w:rsid w:val="00E001DC"/>
    <w:rsid w:val="00E029DE"/>
    <w:rsid w:val="00E02EF3"/>
    <w:rsid w:val="00E03E66"/>
    <w:rsid w:val="00E20262"/>
    <w:rsid w:val="00E20573"/>
    <w:rsid w:val="00E23FC6"/>
    <w:rsid w:val="00E25605"/>
    <w:rsid w:val="00E25F4B"/>
    <w:rsid w:val="00E34F63"/>
    <w:rsid w:val="00E40F04"/>
    <w:rsid w:val="00E511D7"/>
    <w:rsid w:val="00E52D60"/>
    <w:rsid w:val="00E54658"/>
    <w:rsid w:val="00E54AFE"/>
    <w:rsid w:val="00E65834"/>
    <w:rsid w:val="00E65A9B"/>
    <w:rsid w:val="00E71D65"/>
    <w:rsid w:val="00E748FB"/>
    <w:rsid w:val="00E7649A"/>
    <w:rsid w:val="00E80602"/>
    <w:rsid w:val="00E8681E"/>
    <w:rsid w:val="00E92FCB"/>
    <w:rsid w:val="00E93F2C"/>
    <w:rsid w:val="00E95DB4"/>
    <w:rsid w:val="00EA0108"/>
    <w:rsid w:val="00EA1F51"/>
    <w:rsid w:val="00EB02CC"/>
    <w:rsid w:val="00EB5706"/>
    <w:rsid w:val="00EC2F2C"/>
    <w:rsid w:val="00ED2F10"/>
    <w:rsid w:val="00ED3785"/>
    <w:rsid w:val="00ED47E7"/>
    <w:rsid w:val="00EE2261"/>
    <w:rsid w:val="00EE477C"/>
    <w:rsid w:val="00EE4CBA"/>
    <w:rsid w:val="00EF1E0B"/>
    <w:rsid w:val="00EF4DD1"/>
    <w:rsid w:val="00EF6A66"/>
    <w:rsid w:val="00F06D78"/>
    <w:rsid w:val="00F105F1"/>
    <w:rsid w:val="00F31781"/>
    <w:rsid w:val="00F34EF1"/>
    <w:rsid w:val="00F37B15"/>
    <w:rsid w:val="00F45D40"/>
    <w:rsid w:val="00F46185"/>
    <w:rsid w:val="00F5306D"/>
    <w:rsid w:val="00F5471A"/>
    <w:rsid w:val="00F667DA"/>
    <w:rsid w:val="00F70A63"/>
    <w:rsid w:val="00F73949"/>
    <w:rsid w:val="00F754F0"/>
    <w:rsid w:val="00F82A62"/>
    <w:rsid w:val="00F82B70"/>
    <w:rsid w:val="00F83906"/>
    <w:rsid w:val="00F83E87"/>
    <w:rsid w:val="00F84DC0"/>
    <w:rsid w:val="00F917E3"/>
    <w:rsid w:val="00F92709"/>
    <w:rsid w:val="00F93698"/>
    <w:rsid w:val="00F9748D"/>
    <w:rsid w:val="00FA0BDF"/>
    <w:rsid w:val="00FA5D63"/>
    <w:rsid w:val="00FB2093"/>
    <w:rsid w:val="00FB3C4E"/>
    <w:rsid w:val="00FB4C38"/>
    <w:rsid w:val="00FC12E2"/>
    <w:rsid w:val="00FC16C8"/>
    <w:rsid w:val="00FC251F"/>
    <w:rsid w:val="00FD117D"/>
    <w:rsid w:val="00FD273F"/>
    <w:rsid w:val="00FD33DD"/>
    <w:rsid w:val="00FD6BEA"/>
    <w:rsid w:val="00FE604A"/>
    <w:rsid w:val="00FE7C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iPriority w:val="99"/>
    <w:semiHidden/>
    <w:unhideWhenUsed/>
    <w:rsid w:val="00AB1644"/>
    <w:rPr>
      <w:sz w:val="20"/>
      <w:szCs w:val="20"/>
    </w:rPr>
  </w:style>
  <w:style w:type="character" w:customStyle="1" w:styleId="VoetnoottekstChar">
    <w:name w:val="Voetnoottekst Char"/>
    <w:basedOn w:val="Standaardalinea-lettertype"/>
    <w:link w:val="Voetnoottekst"/>
    <w:uiPriority w:val="99"/>
    <w:semiHidden/>
    <w:rsid w:val="00AB1644"/>
    <w:rPr>
      <w:rFonts w:ascii="Verdana" w:hAnsi="Verdana"/>
      <w:lang w:eastAsia="en-US"/>
    </w:rPr>
  </w:style>
  <w:style w:type="character" w:styleId="Voetnootmarkering">
    <w:name w:val="footnote reference"/>
    <w:basedOn w:val="Standaardalinea-lettertype"/>
    <w:uiPriority w:val="99"/>
    <w:semiHidden/>
    <w:unhideWhenUsed/>
    <w:rsid w:val="00AB1644"/>
    <w:rPr>
      <w:vertAlign w:val="superscript"/>
    </w:rPr>
  </w:style>
  <w:style w:type="paragraph" w:customStyle="1" w:styleId="Default">
    <w:name w:val="Default"/>
    <w:rsid w:val="007A2E4B"/>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character" w:styleId="Verwijzingopmerking">
    <w:name w:val="annotation reference"/>
    <w:basedOn w:val="Standaardalinea-lettertype"/>
    <w:uiPriority w:val="99"/>
    <w:semiHidden/>
    <w:unhideWhenUsed/>
    <w:rsid w:val="00974B62"/>
    <w:rPr>
      <w:sz w:val="16"/>
      <w:szCs w:val="16"/>
    </w:rPr>
  </w:style>
  <w:style w:type="paragraph" w:styleId="Tekstopmerking">
    <w:name w:val="annotation text"/>
    <w:basedOn w:val="Standaard"/>
    <w:link w:val="TekstopmerkingChar"/>
    <w:uiPriority w:val="99"/>
    <w:semiHidden/>
    <w:unhideWhenUsed/>
    <w:rsid w:val="00974B62"/>
    <w:rPr>
      <w:sz w:val="20"/>
      <w:szCs w:val="20"/>
    </w:rPr>
  </w:style>
  <w:style w:type="character" w:customStyle="1" w:styleId="TekstopmerkingChar">
    <w:name w:val="Tekst opmerking Char"/>
    <w:basedOn w:val="Standaardalinea-lettertype"/>
    <w:link w:val="Tekstopmerking"/>
    <w:uiPriority w:val="99"/>
    <w:semiHidden/>
    <w:rsid w:val="00974B6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74B62"/>
    <w:rPr>
      <w:b/>
      <w:bCs/>
    </w:rPr>
  </w:style>
  <w:style w:type="character" w:customStyle="1" w:styleId="OnderwerpvanopmerkingChar">
    <w:name w:val="Onderwerp van opmerking Char"/>
    <w:basedOn w:val="TekstopmerkingChar"/>
    <w:link w:val="Onderwerpvanopmerking"/>
    <w:uiPriority w:val="99"/>
    <w:semiHidden/>
    <w:rsid w:val="00974B62"/>
    <w:rPr>
      <w:rFonts w:ascii="Verdana" w:hAnsi="Verdana"/>
      <w:b/>
      <w:bCs/>
      <w:lang w:eastAsia="en-US"/>
    </w:rPr>
  </w:style>
  <w:style w:type="paragraph" w:styleId="Lijstalinea">
    <w:name w:val="List Paragraph"/>
    <w:basedOn w:val="Standaard"/>
    <w:uiPriority w:val="34"/>
    <w:qFormat/>
    <w:rsid w:val="004E0C39"/>
    <w:pPr>
      <w:ind w:left="720"/>
      <w:contextualSpacing/>
    </w:pPr>
  </w:style>
  <w:style w:type="character" w:styleId="Hyperlink">
    <w:name w:val="Hyperlink"/>
    <w:basedOn w:val="Standaardalinea-lettertype"/>
    <w:unhideWhenUsed/>
    <w:rsid w:val="00304F71"/>
    <w:rPr>
      <w:color w:val="0000FF" w:themeColor="hyperlink"/>
      <w:u w:val="single"/>
    </w:rPr>
  </w:style>
  <w:style w:type="character" w:styleId="GevolgdeHyperlink">
    <w:name w:val="FollowedHyperlink"/>
    <w:basedOn w:val="Standaardalinea-lettertype"/>
    <w:uiPriority w:val="99"/>
    <w:semiHidden/>
    <w:unhideWhenUsed/>
    <w:rsid w:val="003C2841"/>
    <w:rPr>
      <w:color w:val="800080" w:themeColor="followedHyperlink"/>
      <w:u w:val="single"/>
    </w:rPr>
  </w:style>
  <w:style w:type="paragraph" w:customStyle="1" w:styleId="Text1">
    <w:name w:val="Text 1"/>
    <w:basedOn w:val="Standaard"/>
    <w:link w:val="Text1Char"/>
    <w:rsid w:val="00ED2F10"/>
    <w:pPr>
      <w:spacing w:after="240"/>
      <w:ind w:left="482"/>
      <w:jc w:val="both"/>
    </w:pPr>
    <w:rPr>
      <w:rFonts w:ascii="Times New Roman" w:eastAsia="Times New Roman" w:hAnsi="Times New Roman"/>
      <w:sz w:val="24"/>
      <w:szCs w:val="20"/>
      <w:lang w:val="en-GB"/>
    </w:rPr>
  </w:style>
  <w:style w:type="character" w:customStyle="1" w:styleId="Text1Char">
    <w:name w:val="Text 1 Char"/>
    <w:link w:val="Text1"/>
    <w:rsid w:val="00ED2F10"/>
    <w:rPr>
      <w:rFonts w:ascii="Times New Roman" w:eastAsia="Times New Roman" w:hAnsi="Times New Roman"/>
      <w:sz w:val="24"/>
      <w:lang w:val="en-GB" w:eastAsia="en-US"/>
    </w:rPr>
  </w:style>
  <w:style w:type="paragraph" w:styleId="Voetnoottekst">
    <w:name w:val="footnote text"/>
    <w:basedOn w:val="Standaard"/>
    <w:link w:val="VoetnoottekstChar"/>
    <w:uiPriority w:val="99"/>
    <w:semiHidden/>
    <w:unhideWhenUsed/>
    <w:rsid w:val="00AB1644"/>
    <w:rPr>
      <w:sz w:val="20"/>
      <w:szCs w:val="20"/>
    </w:rPr>
  </w:style>
  <w:style w:type="character" w:customStyle="1" w:styleId="VoetnoottekstChar">
    <w:name w:val="Voetnoottekst Char"/>
    <w:basedOn w:val="Standaardalinea-lettertype"/>
    <w:link w:val="Voetnoottekst"/>
    <w:uiPriority w:val="99"/>
    <w:semiHidden/>
    <w:rsid w:val="00AB1644"/>
    <w:rPr>
      <w:rFonts w:ascii="Verdana" w:hAnsi="Verdana"/>
      <w:lang w:eastAsia="en-US"/>
    </w:rPr>
  </w:style>
  <w:style w:type="character" w:styleId="Voetnootmarkering">
    <w:name w:val="footnote reference"/>
    <w:basedOn w:val="Standaardalinea-lettertype"/>
    <w:uiPriority w:val="99"/>
    <w:semiHidden/>
    <w:unhideWhenUsed/>
    <w:rsid w:val="00AB1644"/>
    <w:rPr>
      <w:vertAlign w:val="superscript"/>
    </w:rPr>
  </w:style>
  <w:style w:type="paragraph" w:customStyle="1" w:styleId="Default">
    <w:name w:val="Default"/>
    <w:rsid w:val="007A2E4B"/>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07572">
      <w:bodyDiv w:val="1"/>
      <w:marLeft w:val="0"/>
      <w:marRight w:val="0"/>
      <w:marTop w:val="0"/>
      <w:marBottom w:val="0"/>
      <w:divBdr>
        <w:top w:val="none" w:sz="0" w:space="0" w:color="auto"/>
        <w:left w:val="none" w:sz="0" w:space="0" w:color="auto"/>
        <w:bottom w:val="none" w:sz="0" w:space="0" w:color="auto"/>
        <w:right w:val="none" w:sz="0" w:space="0" w:color="auto"/>
      </w:divBdr>
    </w:div>
    <w:div w:id="710230798">
      <w:bodyDiv w:val="1"/>
      <w:marLeft w:val="0"/>
      <w:marRight w:val="0"/>
      <w:marTop w:val="0"/>
      <w:marBottom w:val="0"/>
      <w:divBdr>
        <w:top w:val="none" w:sz="0" w:space="0" w:color="auto"/>
        <w:left w:val="none" w:sz="0" w:space="0" w:color="auto"/>
        <w:bottom w:val="none" w:sz="0" w:space="0" w:color="auto"/>
        <w:right w:val="none" w:sz="0" w:space="0" w:color="auto"/>
      </w:divBdr>
    </w:div>
    <w:div w:id="788669529">
      <w:bodyDiv w:val="1"/>
      <w:marLeft w:val="0"/>
      <w:marRight w:val="0"/>
      <w:marTop w:val="0"/>
      <w:marBottom w:val="0"/>
      <w:divBdr>
        <w:top w:val="none" w:sz="0" w:space="0" w:color="auto"/>
        <w:left w:val="none" w:sz="0" w:space="0" w:color="auto"/>
        <w:bottom w:val="none" w:sz="0" w:space="0" w:color="auto"/>
        <w:right w:val="none" w:sz="0" w:space="0" w:color="auto"/>
      </w:divBdr>
    </w:div>
    <w:div w:id="831064729">
      <w:bodyDiv w:val="1"/>
      <w:marLeft w:val="0"/>
      <w:marRight w:val="0"/>
      <w:marTop w:val="0"/>
      <w:marBottom w:val="0"/>
      <w:divBdr>
        <w:top w:val="none" w:sz="0" w:space="0" w:color="auto"/>
        <w:left w:val="none" w:sz="0" w:space="0" w:color="auto"/>
        <w:bottom w:val="none" w:sz="0" w:space="0" w:color="auto"/>
        <w:right w:val="none" w:sz="0" w:space="0" w:color="auto"/>
      </w:divBdr>
    </w:div>
    <w:div w:id="13169081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966499857">
      <w:bodyDiv w:val="1"/>
      <w:marLeft w:val="0"/>
      <w:marRight w:val="0"/>
      <w:marTop w:val="0"/>
      <w:marBottom w:val="0"/>
      <w:divBdr>
        <w:top w:val="none" w:sz="0" w:space="0" w:color="auto"/>
        <w:left w:val="none" w:sz="0" w:space="0" w:color="auto"/>
        <w:bottom w:val="none" w:sz="0" w:space="0" w:color="auto"/>
        <w:right w:val="none" w:sz="0" w:space="0" w:color="auto"/>
      </w:divBdr>
    </w:div>
    <w:div w:id="208105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ec.europa.eu/smart-regulation/impact/ia_carried_out/docs/ia_2014/swd_2014_0015_en.pdf" TargetMode="External" Id="rId13" /><Relationship Type="http://schemas.openxmlformats.org/officeDocument/2006/relationships/hyperlink" Target="http://parlisweb/parlis/zaak.aspx?id=f6683825-4109-49cc-b4d8-2ef849c33979" TargetMode="External" Id="rId18" /><Relationship Type="http://schemas.openxmlformats.org/officeDocument/2006/relationships/hyperlink" Target="http://ec.europa.eu/energy/en/news/new-electricity-market-consumers" TargetMode="External" Id="rId26" /><Relationship Type="http://schemas.openxmlformats.org/officeDocument/2006/relationships/footer" Target="footer1.xml" Id="rId39" /><Relationship Type="http://schemas.openxmlformats.org/officeDocument/2006/relationships/hyperlink" Target="http://ec.europa.eu/internal_market/scoreboard/performance_overview/index_en.htm" TargetMode="External" Id="rId21" /><Relationship Type="http://schemas.openxmlformats.org/officeDocument/2006/relationships/hyperlink" Target="http://parlisweb/parlis/zaak.aspx?id=f6683825-4109-49cc-b4d8-2ef849c33979" TargetMode="External" Id="rId34" /><Relationship Type="http://schemas.openxmlformats.org/officeDocument/2006/relationships/webSettings" Target="webSettings.xml" Id="rId7" /><Relationship Type="http://schemas.openxmlformats.org/officeDocument/2006/relationships/hyperlink" Target="http://carbonmarketwatch.org/myth-buster/" TargetMode="External" Id="rId16" /><Relationship Type="http://schemas.openxmlformats.org/officeDocument/2006/relationships/hyperlink" Target="http://www.politico.eu/article/renewables-energy-union-2030-climate-eu/" TargetMode="External" Id="rId20" /><Relationship Type="http://schemas.openxmlformats.org/officeDocument/2006/relationships/hyperlink" Target="http://ec.europa.eu/energy/sites/ener/files/documents/1_EN_ACT_part1_v11.pdf" TargetMode="External" Id="rId29" /><Relationship Type="http://schemas.openxmlformats.org/officeDocument/2006/relationships/theme" Target="theme/theme1.xml" Id="rId41" /><Relationship Type="http://schemas.openxmlformats.org/officeDocument/2006/relationships/settings" Target="settings.xml" Id="rId6" /><Relationship Type="http://schemas.openxmlformats.org/officeDocument/2006/relationships/hyperlink" Target="http://parlisweb/parlis/zaak.aspx?id=f6683825-4109-49cc-b4d8-2ef849c33979" TargetMode="External" Id="rId11" /><Relationship Type="http://schemas.openxmlformats.org/officeDocument/2006/relationships/hyperlink" Target="http://parlisweb/parlis/zaak.aspx?id=c732044a-c9ef-4ef6-8b21-17c6c1507d66" TargetMode="External" Id="rId24" /><Relationship Type="http://schemas.openxmlformats.org/officeDocument/2006/relationships/hyperlink" Target="http://europa.eu/rapid/press-release_IP-15-5358_en.htm" TargetMode="External" Id="rId32" /><Relationship Type="http://schemas.openxmlformats.org/officeDocument/2006/relationships/hyperlink" Target="http://parlisweb/parlis/document.aspx?id=b7d35396-652e-454e-bf6c-89882760afc1" TargetMode="External" Id="rId37" /><Relationship Type="http://schemas.openxmlformats.org/officeDocument/2006/relationships/fontTable" Target="fontTable.xml" Id="rId40" /><Relationship Type="http://schemas.microsoft.com/office/2007/relationships/stylesWithEffects" Target="stylesWithEffects.xml" Id="rId5" /><Relationship Type="http://schemas.openxmlformats.org/officeDocument/2006/relationships/hyperlink" Target="http://carbonmarketwatch.org/category/eu-climate-policy/eu-ets/" TargetMode="External" Id="rId15" /><Relationship Type="http://schemas.openxmlformats.org/officeDocument/2006/relationships/hyperlink" Target="http://www.europarl.europa.eu/oeil/popups/ficheprocedure.do?lang=en&amp;reference=COM%282015%290080" TargetMode="External" Id="rId23" /><Relationship Type="http://schemas.openxmlformats.org/officeDocument/2006/relationships/hyperlink" Target="https://ec.europa.eu/energy/en/news/new-electricity-market-consumers" TargetMode="External" Id="rId28" /><Relationship Type="http://schemas.openxmlformats.org/officeDocument/2006/relationships/hyperlink" Target="http://parlisweb/parlis/zaak.aspx?id=1a6e2109-da29-4f8a-8dd2-1540a9afe66e" TargetMode="External" Id="rId36" /><Relationship Type="http://schemas.openxmlformats.org/officeDocument/2006/relationships/image" Target="media/image1.png" Id="rId10" /><Relationship Type="http://schemas.openxmlformats.org/officeDocument/2006/relationships/hyperlink" Target="http://data.consilium.europa.eu/doc/document/ST-11531-2015-INIT/en/pdf" TargetMode="External" Id="rId19" /><Relationship Type="http://schemas.openxmlformats.org/officeDocument/2006/relationships/hyperlink" Target="https://zoek.officielebekendmakingen.nl/kst-22112-1999.html?zoekcriteria=%3fzkt%3dUitgebreid%26pst%3dTractatenblad%257CStaatsblad%257CStaatscourant%257CGemeenteblad%257CProvinciaalblad%257CWaterschapsblad%257CBladGemeenschappelijkeRegeling%257CParlementaireDocumenten%26vrt%3denergielabelling%26zkd%3dInDeGeheleText%26dpr%3dAlle%26spd%3d20151007%26epd%3d20151007%26sdt%3dDatumPublicatie%26ap%3d%26pnr%3d1%26rpp%3d10&amp;resultIndex=1&amp;sorttype=1&amp;sortorder=4" TargetMode="External" Id="rId31"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yperlink" Target="http://www.wwf.eu/?uNewsID=205333" TargetMode="External" Id="rId14" /><Relationship Type="http://schemas.openxmlformats.org/officeDocument/2006/relationships/hyperlink" Target="http://ec.europa.eu/europe2020/making-it-happen/index_nl.htm" TargetMode="External" Id="rId22" /><Relationship Type="http://schemas.openxmlformats.org/officeDocument/2006/relationships/hyperlink" Target="https://ec.europa.eu/energy/sites/ener/files/documents/1_EN_ACT_part1_v8.pdf" TargetMode="External" Id="rId27" /><Relationship Type="http://schemas.openxmlformats.org/officeDocument/2006/relationships/hyperlink" Target="https://ec.europa.eu/energy/en/news/new-electricity-market-consumers" TargetMode="External" Id="rId30" /><Relationship Type="http://schemas.openxmlformats.org/officeDocument/2006/relationships/hyperlink" Target="http://parlisweb/parlis/document.aspx?id=cf8f9a72-c2a0-435e-a938-ce1e537c671d" TargetMode="External" Id="rId35" /><Relationship Type="http://schemas.openxmlformats.org/officeDocument/2006/relationships/footnotes" Target="footnotes.xml" Id="rId8" /><Relationship Type="http://schemas.openxmlformats.org/officeDocument/2006/relationships/numbering" Target="numbering.xml" Id="rId3" /><Relationship Type="http://schemas.openxmlformats.org/officeDocument/2006/relationships/hyperlink" Target="http://parlisweb/parlis/zaak.aspx?id=bd715498-9770-4698-bfbb-0d9e5483c74d" TargetMode="External" Id="rId12" /><Relationship Type="http://schemas.openxmlformats.org/officeDocument/2006/relationships/hyperlink" Target="http://europa.eu/rapid/press-release_IP-15-5358_nl.htm" TargetMode="External" Id="rId17" /><Relationship Type="http://schemas.openxmlformats.org/officeDocument/2006/relationships/hyperlink" Target="http://ec.europa.eu/energy/sites/ener/files/documents/1_EN_ACT_part1_v6.pdf" TargetMode="External" Id="rId25" /><Relationship Type="http://schemas.openxmlformats.org/officeDocument/2006/relationships/hyperlink" Target="http://europa.eu/rapid/press-release_MEMO-15-5352_en.htm" TargetMode="External" Id="rId33" /><Relationship Type="http://schemas.openxmlformats.org/officeDocument/2006/relationships/header" Target="header1.xml" Id="rId3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6200</ap:Words>
  <ap:Characters>34104</ap:Characters>
  <ap:DocSecurity>4</ap:DocSecurity>
  <ap:Lines>284</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2015-09-16T10:56:00.0000000Z</lastPrinted>
  <dcterms:created xsi:type="dcterms:W3CDTF">2015-10-09T15:50:00.0000000Z</dcterms:created>
  <dcterms:modified xsi:type="dcterms:W3CDTF">2015-10-09T15:50:00.0000000Z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0x0101005A0F4830616AB0488144597481028D28</vt:lpwstr>
  </property>
</Properties>
</file>