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00BA4" w:rsidR="00A00BA4" w:rsidRDefault="00A00BA4">
      <w:pPr>
        <w:rPr>
          <w:rFonts w:ascii="Times New Roman" w:hAnsi="Times New Roman"/>
        </w:rPr>
      </w:pPr>
      <w:r>
        <w:rPr>
          <w:rFonts w:ascii="Times New Roman" w:hAnsi="Times New Roman"/>
        </w:rPr>
        <w:t>Bijgewerkt t/m nr. 5 (</w:t>
      </w:r>
      <w:proofErr w:type="spellStart"/>
      <w:r>
        <w:rPr>
          <w:rFonts w:ascii="Times New Roman" w:hAnsi="Times New Roman"/>
        </w:rPr>
        <w:t>NvW</w:t>
      </w:r>
      <w:proofErr w:type="spellEnd"/>
      <w:r>
        <w:rPr>
          <w:rFonts w:ascii="Times New Roman" w:hAnsi="Times New Roman"/>
        </w:rPr>
        <w:t xml:space="preserve"> d.d. 22/9/2015)</w:t>
      </w:r>
    </w:p>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168F4" w:rsidR="00253EAF" w:rsidTr="006D5EF5">
        <w:tc>
          <w:tcPr>
            <w:tcW w:w="2552" w:type="dxa"/>
            <w:tcBorders>
              <w:top w:val="nil"/>
              <w:left w:val="nil"/>
              <w:bottom w:val="nil"/>
              <w:right w:val="nil"/>
            </w:tcBorders>
          </w:tcPr>
          <w:p w:rsidRPr="002A727C" w:rsidR="00253EAF" w:rsidP="006D5EF5" w:rsidRDefault="00253EAF">
            <w:pPr>
              <w:rPr>
                <w:rFonts w:ascii="Times New Roman" w:hAnsi="Times New Roman"/>
                <w:b/>
                <w:sz w:val="24"/>
              </w:rPr>
            </w:pPr>
            <w:r>
              <w:rPr>
                <w:rFonts w:ascii="Times New Roman" w:hAnsi="Times New Roman"/>
                <w:b/>
                <w:sz w:val="24"/>
              </w:rPr>
              <w:t xml:space="preserve">34 </w:t>
            </w:r>
            <w:r w:rsidR="00A636A5">
              <w:rPr>
                <w:rFonts w:ascii="Times New Roman" w:hAnsi="Times New Roman"/>
                <w:b/>
                <w:sz w:val="24"/>
              </w:rPr>
              <w:t>3</w:t>
            </w:r>
            <w:r>
              <w:rPr>
                <w:rFonts w:ascii="Times New Roman" w:hAnsi="Times New Roman"/>
                <w:b/>
                <w:sz w:val="24"/>
              </w:rPr>
              <w:t>00 I</w:t>
            </w:r>
            <w:r w:rsidR="00A636A5">
              <w:rPr>
                <w:rFonts w:ascii="Times New Roman" w:hAnsi="Times New Roman"/>
                <w:b/>
                <w:sz w:val="24"/>
              </w:rPr>
              <w:t>X</w:t>
            </w:r>
          </w:p>
        </w:tc>
        <w:tc>
          <w:tcPr>
            <w:tcW w:w="6590" w:type="dxa"/>
            <w:tcBorders>
              <w:top w:val="nil"/>
              <w:left w:val="nil"/>
              <w:bottom w:val="nil"/>
              <w:right w:val="nil"/>
            </w:tcBorders>
          </w:tcPr>
          <w:p w:rsidRPr="00221266" w:rsidR="00253EAF" w:rsidP="006D5EF5" w:rsidRDefault="00A636A5">
            <w:r w:rsidRPr="00A636A5">
              <w:rPr>
                <w:rFonts w:ascii="Times New Roman" w:hAnsi="Times New Roman"/>
                <w:b/>
                <w:sz w:val="24"/>
              </w:rPr>
              <w:t>Vaststelling van de begrotingsstaat van het Ministerie van Financiën (IXB) en de begrotingsstaat van Nationale Schuld (IXA) voor het jaar 2016</w:t>
            </w:r>
          </w:p>
          <w:p w:rsidRPr="0045614C" w:rsidR="00253EAF" w:rsidP="006D5EF5" w:rsidRDefault="00253EAF">
            <w:pPr>
              <w:rPr>
                <w:rFonts w:ascii="Times New Roman" w:hAnsi="Times New Roman"/>
                <w:b/>
                <w:sz w:val="24"/>
              </w:rPr>
            </w:pPr>
          </w:p>
        </w:tc>
      </w:tr>
      <w:tr w:rsidRPr="002168F4" w:rsidR="00253EAF" w:rsidTr="006D5EF5">
        <w:tc>
          <w:tcPr>
            <w:tcW w:w="2552" w:type="dxa"/>
            <w:tcBorders>
              <w:top w:val="nil"/>
              <w:left w:val="nil"/>
              <w:bottom w:val="nil"/>
              <w:right w:val="nil"/>
            </w:tcBorders>
          </w:tcPr>
          <w:p w:rsidRPr="002168F4" w:rsidR="00253EAF" w:rsidP="006D5EF5" w:rsidRDefault="00253EAF">
            <w:pPr>
              <w:pStyle w:val="Amendement"/>
              <w:rPr>
                <w:rFonts w:ascii="Times New Roman" w:hAnsi="Times New Roman" w:cs="Times New Roman"/>
              </w:rPr>
            </w:pPr>
          </w:p>
        </w:tc>
        <w:tc>
          <w:tcPr>
            <w:tcW w:w="6590" w:type="dxa"/>
            <w:tcBorders>
              <w:top w:val="nil"/>
              <w:left w:val="nil"/>
              <w:bottom w:val="nil"/>
              <w:right w:val="nil"/>
            </w:tcBorders>
          </w:tcPr>
          <w:p w:rsidRPr="002168F4" w:rsidR="00253EAF" w:rsidP="006D5EF5" w:rsidRDefault="00253EAF">
            <w:pPr>
              <w:pStyle w:val="Amendement"/>
              <w:rPr>
                <w:rFonts w:ascii="Times New Roman" w:hAnsi="Times New Roman" w:cs="Times New Roman"/>
              </w:rPr>
            </w:pPr>
          </w:p>
        </w:tc>
      </w:tr>
      <w:tr w:rsidRPr="002168F4" w:rsidR="00253EAF" w:rsidTr="006D5EF5">
        <w:tc>
          <w:tcPr>
            <w:tcW w:w="2552" w:type="dxa"/>
            <w:tcBorders>
              <w:top w:val="nil"/>
              <w:left w:val="nil"/>
              <w:bottom w:val="nil"/>
              <w:right w:val="nil"/>
            </w:tcBorders>
          </w:tcPr>
          <w:p w:rsidRPr="002168F4" w:rsidR="00253EAF" w:rsidP="006D5EF5" w:rsidRDefault="00253EAF">
            <w:pPr>
              <w:pStyle w:val="Amendement"/>
              <w:rPr>
                <w:rFonts w:ascii="Times New Roman" w:hAnsi="Times New Roman" w:cs="Times New Roman"/>
              </w:rPr>
            </w:pPr>
          </w:p>
        </w:tc>
        <w:tc>
          <w:tcPr>
            <w:tcW w:w="6590" w:type="dxa"/>
            <w:tcBorders>
              <w:top w:val="nil"/>
              <w:left w:val="nil"/>
              <w:bottom w:val="nil"/>
              <w:right w:val="nil"/>
            </w:tcBorders>
          </w:tcPr>
          <w:p w:rsidRPr="002168F4" w:rsidR="00253EAF" w:rsidP="006D5EF5" w:rsidRDefault="00253EAF">
            <w:pPr>
              <w:pStyle w:val="Amendement"/>
              <w:rPr>
                <w:rFonts w:ascii="Times New Roman" w:hAnsi="Times New Roman" w:cs="Times New Roman"/>
              </w:rPr>
            </w:pPr>
          </w:p>
        </w:tc>
      </w:tr>
      <w:tr w:rsidRPr="002168F4" w:rsidR="00253EAF" w:rsidTr="006D5EF5">
        <w:tc>
          <w:tcPr>
            <w:tcW w:w="2552" w:type="dxa"/>
            <w:tcBorders>
              <w:top w:val="nil"/>
              <w:left w:val="nil"/>
              <w:bottom w:val="nil"/>
              <w:right w:val="nil"/>
            </w:tcBorders>
          </w:tcPr>
          <w:p w:rsidRPr="002168F4" w:rsidR="00253EAF" w:rsidP="006D5EF5" w:rsidRDefault="00253EAF">
            <w:pPr>
              <w:pStyle w:val="Amendement"/>
              <w:rPr>
                <w:rFonts w:ascii="Times New Roman" w:hAnsi="Times New Roman" w:cs="Times New Roman"/>
              </w:rPr>
            </w:pPr>
            <w:r w:rsidRPr="002168F4">
              <w:rPr>
                <w:rFonts w:ascii="Times New Roman" w:hAnsi="Times New Roman" w:cs="Times New Roman"/>
              </w:rPr>
              <w:t xml:space="preserve">Nr. </w:t>
            </w:r>
            <w:r w:rsidR="00A636A5">
              <w:rPr>
                <w:rFonts w:ascii="Times New Roman" w:hAnsi="Times New Roman" w:cs="Times New Roman"/>
              </w:rPr>
              <w:t>1</w:t>
            </w:r>
          </w:p>
        </w:tc>
        <w:tc>
          <w:tcPr>
            <w:tcW w:w="6590" w:type="dxa"/>
            <w:tcBorders>
              <w:top w:val="nil"/>
              <w:left w:val="nil"/>
              <w:bottom w:val="nil"/>
              <w:right w:val="nil"/>
            </w:tcBorders>
          </w:tcPr>
          <w:p w:rsidRPr="002168F4" w:rsidR="00253EAF" w:rsidP="006D5EF5" w:rsidRDefault="00253EAF">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253EAF" w:rsidTr="006D5EF5">
        <w:tc>
          <w:tcPr>
            <w:tcW w:w="2552" w:type="dxa"/>
            <w:tcBorders>
              <w:top w:val="nil"/>
              <w:left w:val="nil"/>
              <w:bottom w:val="nil"/>
              <w:right w:val="nil"/>
            </w:tcBorders>
          </w:tcPr>
          <w:p w:rsidRPr="002168F4" w:rsidR="00253EAF" w:rsidP="006D5EF5" w:rsidRDefault="00253EAF">
            <w:pPr>
              <w:pStyle w:val="Amendement"/>
              <w:rPr>
                <w:rFonts w:ascii="Times New Roman" w:hAnsi="Times New Roman" w:cs="Times New Roman"/>
              </w:rPr>
            </w:pPr>
          </w:p>
        </w:tc>
        <w:tc>
          <w:tcPr>
            <w:tcW w:w="6590" w:type="dxa"/>
            <w:tcBorders>
              <w:top w:val="nil"/>
              <w:left w:val="nil"/>
              <w:bottom w:val="nil"/>
              <w:right w:val="nil"/>
            </w:tcBorders>
          </w:tcPr>
          <w:p w:rsidRPr="00867370" w:rsidR="00253EAF" w:rsidP="006D5EF5" w:rsidRDefault="00A636A5">
            <w:pPr>
              <w:pStyle w:val="Amendement"/>
              <w:rPr>
                <w:rFonts w:ascii="Times New Roman" w:hAnsi="Times New Roman" w:cs="Times New Roman"/>
                <w:b w:val="0"/>
              </w:rPr>
            </w:pPr>
            <w:r>
              <w:rPr>
                <w:rFonts w:ascii="Times New Roman" w:hAnsi="Times New Roman" w:cs="Times New Roman"/>
                <w:b w:val="0"/>
              </w:rPr>
              <w:t xml:space="preserve">15 september </w:t>
            </w:r>
            <w:r w:rsidR="00253EAF">
              <w:rPr>
                <w:rFonts w:ascii="Times New Roman" w:hAnsi="Times New Roman" w:cs="Times New Roman"/>
                <w:b w:val="0"/>
              </w:rPr>
              <w:t>2015</w:t>
            </w:r>
          </w:p>
        </w:tc>
      </w:tr>
      <w:tr w:rsidRPr="002168F4" w:rsidR="00253EAF" w:rsidTr="006D5EF5">
        <w:tc>
          <w:tcPr>
            <w:tcW w:w="2552" w:type="dxa"/>
            <w:tcBorders>
              <w:top w:val="nil"/>
              <w:left w:val="nil"/>
              <w:bottom w:val="nil"/>
              <w:right w:val="nil"/>
            </w:tcBorders>
          </w:tcPr>
          <w:p w:rsidRPr="002168F4" w:rsidR="00253EAF" w:rsidP="006D5EF5" w:rsidRDefault="00253EAF">
            <w:pPr>
              <w:pStyle w:val="Amendement"/>
              <w:rPr>
                <w:rFonts w:ascii="Times New Roman" w:hAnsi="Times New Roman" w:cs="Times New Roman"/>
              </w:rPr>
            </w:pPr>
          </w:p>
        </w:tc>
        <w:tc>
          <w:tcPr>
            <w:tcW w:w="6590" w:type="dxa"/>
            <w:tcBorders>
              <w:top w:val="nil"/>
              <w:left w:val="nil"/>
              <w:bottom w:val="nil"/>
              <w:right w:val="nil"/>
            </w:tcBorders>
          </w:tcPr>
          <w:p w:rsidRPr="002168F4" w:rsidR="00253EAF" w:rsidP="006D5EF5" w:rsidRDefault="00253EAF">
            <w:pPr>
              <w:pStyle w:val="Amendement"/>
              <w:rPr>
                <w:rFonts w:ascii="Times New Roman" w:hAnsi="Times New Roman" w:cs="Times New Roman"/>
              </w:rPr>
            </w:pPr>
          </w:p>
        </w:tc>
      </w:tr>
    </w:tbl>
    <w:p w:rsidRPr="00DA3453" w:rsidR="00DA3453" w:rsidP="00DA3453" w:rsidRDefault="00DA3453">
      <w:pPr>
        <w:pStyle w:val="Basis"/>
        <w:spacing w:before="213"/>
        <w:ind w:firstLine="187"/>
        <w:rPr>
          <w:rFonts w:ascii="Times New Roman" w:hAnsi="Times New Roman" w:cs="Times New Roman"/>
          <w:sz w:val="24"/>
          <w:szCs w:val="24"/>
        </w:rPr>
      </w:pPr>
      <w:r w:rsidRPr="00DA3453">
        <w:rPr>
          <w:rFonts w:ascii="Times New Roman" w:hAnsi="Times New Roman" w:cs="Times New Roman"/>
          <w:sz w:val="24"/>
          <w:szCs w:val="24"/>
        </w:rPr>
        <w:t>Wij Willem-Alexander, bij de gratie Gods, Koning der Nederlanden, Prins van Oranje-Nassau, enz. enz. enz.</w:t>
      </w:r>
    </w:p>
    <w:p w:rsidRPr="00DA3453" w:rsidR="00DA3453" w:rsidP="00DA3453" w:rsidRDefault="00DA3453">
      <w:pPr>
        <w:pStyle w:val="Basis"/>
        <w:spacing w:before="213"/>
        <w:ind w:firstLine="187"/>
        <w:rPr>
          <w:rFonts w:ascii="Times New Roman" w:hAnsi="Times New Roman" w:cs="Times New Roman"/>
          <w:sz w:val="24"/>
          <w:szCs w:val="24"/>
        </w:rPr>
      </w:pPr>
      <w:r w:rsidRPr="00DA3453">
        <w:rPr>
          <w:rFonts w:ascii="Times New Roman" w:hAnsi="Times New Roman" w:cs="Times New Roman"/>
          <w:sz w:val="24"/>
          <w:szCs w:val="24"/>
        </w:rPr>
        <w:t>Allen, die deze zullen zien of horen lezen, saluut! doen te weten:</w:t>
      </w:r>
    </w:p>
    <w:p w:rsidR="00A00BA4" w:rsidP="00A00BA4" w:rsidRDefault="00DA3453">
      <w:pPr>
        <w:pStyle w:val="Basis"/>
        <w:ind w:firstLine="187"/>
        <w:rPr>
          <w:rFonts w:ascii="Times New Roman" w:hAnsi="Times New Roman" w:cs="Times New Roman"/>
          <w:sz w:val="24"/>
          <w:szCs w:val="24"/>
        </w:rPr>
      </w:pPr>
      <w:r w:rsidRPr="00DA3453">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DA3453" w:rsidR="00DA3453" w:rsidP="00A00BA4" w:rsidRDefault="00DA3453">
      <w:pPr>
        <w:pStyle w:val="Basis"/>
        <w:ind w:firstLine="187"/>
        <w:rPr>
          <w:rFonts w:ascii="Times New Roman" w:hAnsi="Times New Roman" w:cs="Times New Roman"/>
          <w:sz w:val="24"/>
          <w:szCs w:val="24"/>
        </w:rPr>
      </w:pPr>
      <w:bookmarkStart w:name="_GoBack" w:id="0"/>
      <w:bookmarkEnd w:id="0"/>
      <w:r w:rsidRPr="00DA3453">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DA3453" w:rsidR="00DA3453" w:rsidP="00DA3453" w:rsidRDefault="00DA3453">
      <w:pPr>
        <w:pStyle w:val="Basis"/>
        <w:keepNext/>
        <w:spacing w:before="288"/>
        <w:outlineLvl w:val="1"/>
        <w:rPr>
          <w:rFonts w:ascii="Times New Roman" w:hAnsi="Times New Roman" w:cs="Times New Roman"/>
          <w:b/>
          <w:sz w:val="24"/>
          <w:szCs w:val="24"/>
        </w:rPr>
      </w:pPr>
      <w:r w:rsidRPr="00DA3453">
        <w:rPr>
          <w:rFonts w:ascii="Times New Roman" w:hAnsi="Times New Roman" w:cs="Times New Roman"/>
          <w:b/>
          <w:sz w:val="24"/>
          <w:szCs w:val="24"/>
        </w:rPr>
        <w:t xml:space="preserve">Artikel 1 </w:t>
      </w:r>
    </w:p>
    <w:p w:rsidRPr="00DA3453" w:rsidR="00DA3453" w:rsidP="00DA3453" w:rsidRDefault="00DA3453">
      <w:pPr>
        <w:pStyle w:val="Basis"/>
        <w:spacing w:before="240"/>
        <w:ind w:firstLine="187"/>
        <w:rPr>
          <w:rFonts w:ascii="Times New Roman" w:hAnsi="Times New Roman" w:cs="Times New Roman"/>
          <w:sz w:val="24"/>
          <w:szCs w:val="24"/>
        </w:rPr>
      </w:pPr>
      <w:r w:rsidRPr="00DA3453">
        <w:rPr>
          <w:rFonts w:ascii="Times New Roman" w:hAnsi="Times New Roman" w:cs="Times New Roman"/>
          <w:sz w:val="24"/>
          <w:szCs w:val="24"/>
        </w:rPr>
        <w:t>De bij deze wet behorende departementale begrotingsstaat van het Ministerie van Financiën (IXB) voor het jaar 2016 wordt vastgesteld.</w:t>
      </w:r>
    </w:p>
    <w:p w:rsidRPr="00DA3453" w:rsidR="00DA3453" w:rsidP="00DA3453" w:rsidRDefault="00DA3453">
      <w:pPr>
        <w:pStyle w:val="Basis"/>
        <w:keepNext/>
        <w:spacing w:before="288"/>
        <w:outlineLvl w:val="1"/>
        <w:rPr>
          <w:rFonts w:ascii="Times New Roman" w:hAnsi="Times New Roman" w:cs="Times New Roman"/>
          <w:b/>
          <w:sz w:val="24"/>
          <w:szCs w:val="24"/>
        </w:rPr>
      </w:pPr>
      <w:r w:rsidRPr="00DA3453">
        <w:rPr>
          <w:rFonts w:ascii="Times New Roman" w:hAnsi="Times New Roman" w:cs="Times New Roman"/>
          <w:b/>
          <w:sz w:val="24"/>
          <w:szCs w:val="24"/>
        </w:rPr>
        <w:t xml:space="preserve">Artikel 2 </w:t>
      </w:r>
    </w:p>
    <w:p w:rsidRPr="00DA3453" w:rsidR="00DA3453" w:rsidP="00DA3453" w:rsidRDefault="00DA3453">
      <w:pPr>
        <w:pStyle w:val="Basis"/>
        <w:spacing w:before="240"/>
        <w:ind w:firstLine="187"/>
        <w:rPr>
          <w:rFonts w:ascii="Times New Roman" w:hAnsi="Times New Roman" w:cs="Times New Roman"/>
          <w:sz w:val="24"/>
          <w:szCs w:val="24"/>
        </w:rPr>
      </w:pPr>
      <w:r w:rsidRPr="00DA3453">
        <w:rPr>
          <w:rFonts w:ascii="Times New Roman" w:hAnsi="Times New Roman" w:cs="Times New Roman"/>
          <w:sz w:val="24"/>
          <w:szCs w:val="24"/>
        </w:rPr>
        <w:t>De bij deze wet behorende begrotingsstaat van Nationale Schuld (IXA) voor het jaar 2016 wordt vastgesteld.</w:t>
      </w:r>
    </w:p>
    <w:p w:rsidRPr="00DA3453" w:rsidR="00DA3453" w:rsidP="00DA3453" w:rsidRDefault="00DA3453">
      <w:pPr>
        <w:pStyle w:val="Basis"/>
        <w:keepNext/>
        <w:spacing w:before="288"/>
        <w:outlineLvl w:val="1"/>
        <w:rPr>
          <w:rFonts w:ascii="Times New Roman" w:hAnsi="Times New Roman" w:cs="Times New Roman"/>
          <w:b/>
          <w:sz w:val="24"/>
          <w:szCs w:val="24"/>
        </w:rPr>
      </w:pPr>
      <w:r w:rsidRPr="00DA3453">
        <w:rPr>
          <w:rFonts w:ascii="Times New Roman" w:hAnsi="Times New Roman" w:cs="Times New Roman"/>
          <w:b/>
          <w:sz w:val="24"/>
          <w:szCs w:val="24"/>
        </w:rPr>
        <w:t xml:space="preserve">Artikel 3 </w:t>
      </w:r>
    </w:p>
    <w:p w:rsidRPr="00DA3453" w:rsidR="00DA3453" w:rsidP="00DA3453" w:rsidRDefault="00DA3453">
      <w:pPr>
        <w:pStyle w:val="Basis"/>
        <w:spacing w:before="240"/>
        <w:ind w:firstLine="187"/>
        <w:rPr>
          <w:rFonts w:ascii="Times New Roman" w:hAnsi="Times New Roman" w:cs="Times New Roman"/>
          <w:sz w:val="24"/>
          <w:szCs w:val="24"/>
        </w:rPr>
      </w:pPr>
      <w:r w:rsidRPr="00DA3453">
        <w:rPr>
          <w:rFonts w:ascii="Times New Roman" w:hAnsi="Times New Roman" w:cs="Times New Roman"/>
          <w:sz w:val="24"/>
          <w:szCs w:val="24"/>
        </w:rPr>
        <w:t>De vaststelling van de begrotingsstaten geschiedt in duizenden euro’s.</w:t>
      </w:r>
    </w:p>
    <w:p w:rsidRPr="00DA3453" w:rsidR="00DA3453" w:rsidP="00DA3453" w:rsidRDefault="00DA3453">
      <w:pPr>
        <w:pStyle w:val="Basis"/>
        <w:keepNext/>
        <w:spacing w:before="288"/>
        <w:outlineLvl w:val="1"/>
        <w:rPr>
          <w:rFonts w:ascii="Times New Roman" w:hAnsi="Times New Roman" w:cs="Times New Roman"/>
          <w:b/>
          <w:sz w:val="24"/>
          <w:szCs w:val="24"/>
        </w:rPr>
      </w:pPr>
      <w:r w:rsidRPr="00DA3453">
        <w:rPr>
          <w:rFonts w:ascii="Times New Roman" w:hAnsi="Times New Roman" w:cs="Times New Roman"/>
          <w:b/>
          <w:sz w:val="24"/>
          <w:szCs w:val="24"/>
        </w:rPr>
        <w:t xml:space="preserve">Artikel 4 </w:t>
      </w:r>
    </w:p>
    <w:p w:rsidRPr="00DA3453" w:rsidR="00DA3453" w:rsidP="00DA3453" w:rsidRDefault="00DA3453">
      <w:pPr>
        <w:pStyle w:val="Basis"/>
        <w:spacing w:before="240"/>
        <w:ind w:firstLine="187"/>
        <w:rPr>
          <w:rFonts w:ascii="Times New Roman" w:hAnsi="Times New Roman" w:cs="Times New Roman"/>
          <w:sz w:val="24"/>
          <w:szCs w:val="24"/>
        </w:rPr>
      </w:pPr>
      <w:r w:rsidRPr="00DA3453">
        <w:rPr>
          <w:rFonts w:ascii="Times New Roman" w:hAnsi="Times New Roman" w:cs="Times New Roman"/>
          <w:sz w:val="24"/>
          <w:szCs w:val="24"/>
        </w:rPr>
        <w:t>Deze wet treedt in werking met ingang van 1 januari van het jaar waarop de vaststelling van de begroting betrekking heeft. Indien het Staatsblad waarin deze wet wordt geplaatst, wordt uitgegeven op of na deze datum van 1 januari, treedt zij in werking met ingang van de dag na de datum van uitgifte van dat Staatsblad en werkt zij terug tot en met 1 januari.</w:t>
      </w:r>
    </w:p>
    <w:p w:rsidR="00DA3453" w:rsidRDefault="00DA3453">
      <w:pPr>
        <w:rPr>
          <w:rFonts w:ascii="Times New Roman" w:hAnsi="Times New Roman" w:eastAsiaTheme="minorEastAsia"/>
          <w:kern w:val="3"/>
          <w:sz w:val="24"/>
        </w:rPr>
      </w:pPr>
      <w:r>
        <w:rPr>
          <w:rFonts w:ascii="Times New Roman" w:hAnsi="Times New Roman"/>
          <w:sz w:val="24"/>
        </w:rPr>
        <w:br w:type="page"/>
      </w:r>
    </w:p>
    <w:p w:rsidRPr="00DA3453" w:rsidR="00DA3453" w:rsidP="00DA3453" w:rsidRDefault="00DA3453">
      <w:pPr>
        <w:pStyle w:val="Basis"/>
        <w:keepNext/>
        <w:ind w:firstLine="187"/>
        <w:rPr>
          <w:rFonts w:ascii="Times New Roman" w:hAnsi="Times New Roman" w:cs="Times New Roman"/>
          <w:sz w:val="24"/>
          <w:szCs w:val="24"/>
        </w:rPr>
      </w:pPr>
      <w:r w:rsidRPr="00DA3453">
        <w:rPr>
          <w:rFonts w:ascii="Times New Roman" w:hAnsi="Times New Roman" w:cs="Times New Roman"/>
          <w:sz w:val="24"/>
          <w:szCs w:val="24"/>
        </w:rPr>
        <w:lastRenderedPageBreak/>
        <w:t xml:space="preserve">Lasten en bevelen dat deze in het Staatsblad zal worden geplaatst en dat alle ministeries, autoriteiten, colleges en ambtenaren </w:t>
      </w:r>
      <w:r w:rsidR="00A00BA4">
        <w:rPr>
          <w:rFonts w:ascii="Times New Roman" w:hAnsi="Times New Roman" w:cs="Times New Roman"/>
          <w:sz w:val="24"/>
          <w:szCs w:val="24"/>
        </w:rPr>
        <w:t>d</w:t>
      </w:r>
      <w:r w:rsidRPr="00DA3453">
        <w:rPr>
          <w:rFonts w:ascii="Times New Roman" w:hAnsi="Times New Roman" w:cs="Times New Roman"/>
          <w:sz w:val="24"/>
          <w:szCs w:val="24"/>
        </w:rPr>
        <w:t>ie zulks aangaat, aan de nauwkeurige uitvoering de hand zullen houden.</w:t>
      </w:r>
    </w:p>
    <w:p w:rsidR="00DA3453" w:rsidP="00DA3453" w:rsidRDefault="00DA3453">
      <w:pPr>
        <w:pStyle w:val="Basis"/>
        <w:keepNext/>
        <w:rPr>
          <w:rFonts w:ascii="Times New Roman" w:hAnsi="Times New Roman" w:cs="Times New Roman"/>
          <w:sz w:val="24"/>
          <w:szCs w:val="24"/>
        </w:rPr>
      </w:pPr>
    </w:p>
    <w:p w:rsidR="00DA3453" w:rsidP="00DA3453" w:rsidRDefault="00DA3453">
      <w:pPr>
        <w:pStyle w:val="Basis"/>
        <w:keepNext/>
        <w:rPr>
          <w:rFonts w:ascii="Times New Roman" w:hAnsi="Times New Roman" w:cs="Times New Roman"/>
          <w:sz w:val="24"/>
          <w:szCs w:val="24"/>
        </w:rPr>
      </w:pPr>
    </w:p>
    <w:p w:rsidRPr="00DA3453" w:rsidR="00DA3453" w:rsidP="00DA3453" w:rsidRDefault="00DA3453">
      <w:pPr>
        <w:pStyle w:val="Basis"/>
        <w:keepNext/>
        <w:rPr>
          <w:rFonts w:ascii="Times New Roman" w:hAnsi="Times New Roman" w:cs="Times New Roman"/>
          <w:sz w:val="24"/>
          <w:szCs w:val="24"/>
        </w:rPr>
      </w:pPr>
      <w:r w:rsidRPr="00DA3453">
        <w:rPr>
          <w:rFonts w:ascii="Times New Roman" w:hAnsi="Times New Roman" w:cs="Times New Roman"/>
          <w:sz w:val="24"/>
          <w:szCs w:val="24"/>
        </w:rPr>
        <w:t>Gegeven</w:t>
      </w:r>
    </w:p>
    <w:p w:rsidR="00DA3453" w:rsidP="00DA3453" w:rsidRDefault="00DA3453">
      <w:pPr>
        <w:pStyle w:val="Basis"/>
        <w:rPr>
          <w:rFonts w:ascii="Times New Roman" w:hAnsi="Times New Roman" w:cs="Times New Roman"/>
          <w:sz w:val="24"/>
          <w:szCs w:val="24"/>
        </w:rPr>
      </w:pPr>
    </w:p>
    <w:p w:rsidR="00DA3453" w:rsidP="00DA3453" w:rsidRDefault="00DA3453">
      <w:pPr>
        <w:pStyle w:val="Basis"/>
        <w:rPr>
          <w:rFonts w:ascii="Times New Roman" w:hAnsi="Times New Roman" w:cs="Times New Roman"/>
          <w:sz w:val="24"/>
          <w:szCs w:val="24"/>
        </w:rPr>
      </w:pPr>
    </w:p>
    <w:p w:rsidR="00DA3453" w:rsidP="00DA3453" w:rsidRDefault="00DA3453">
      <w:pPr>
        <w:pStyle w:val="Basis"/>
        <w:rPr>
          <w:rFonts w:ascii="Times New Roman" w:hAnsi="Times New Roman" w:cs="Times New Roman"/>
          <w:sz w:val="24"/>
          <w:szCs w:val="24"/>
        </w:rPr>
      </w:pPr>
    </w:p>
    <w:p w:rsidR="00DA3453" w:rsidP="00DA3453" w:rsidRDefault="00DA3453">
      <w:pPr>
        <w:pStyle w:val="Basis"/>
        <w:rPr>
          <w:rFonts w:ascii="Times New Roman" w:hAnsi="Times New Roman" w:cs="Times New Roman"/>
          <w:sz w:val="24"/>
          <w:szCs w:val="24"/>
        </w:rPr>
      </w:pPr>
    </w:p>
    <w:p w:rsidR="00DA3453" w:rsidP="00DA3453" w:rsidRDefault="00DA3453">
      <w:pPr>
        <w:pStyle w:val="Basis"/>
        <w:rPr>
          <w:rFonts w:ascii="Times New Roman" w:hAnsi="Times New Roman" w:cs="Times New Roman"/>
          <w:sz w:val="24"/>
          <w:szCs w:val="24"/>
        </w:rPr>
      </w:pPr>
    </w:p>
    <w:p w:rsidR="00DA3453" w:rsidP="00DA3453" w:rsidRDefault="00DA3453">
      <w:pPr>
        <w:pStyle w:val="Basis"/>
        <w:rPr>
          <w:rFonts w:ascii="Times New Roman" w:hAnsi="Times New Roman" w:cs="Times New Roman"/>
          <w:sz w:val="24"/>
          <w:szCs w:val="24"/>
        </w:rPr>
      </w:pPr>
    </w:p>
    <w:p w:rsidR="00DA3453" w:rsidP="00DA3453" w:rsidRDefault="00DA3453">
      <w:pPr>
        <w:pStyle w:val="Basis"/>
        <w:rPr>
          <w:rFonts w:ascii="Times New Roman" w:hAnsi="Times New Roman" w:cs="Times New Roman"/>
          <w:sz w:val="24"/>
          <w:szCs w:val="24"/>
        </w:rPr>
      </w:pPr>
    </w:p>
    <w:p w:rsidR="00DA3453" w:rsidP="00DA3453" w:rsidRDefault="00DA3453">
      <w:pPr>
        <w:pStyle w:val="Basis"/>
        <w:rPr>
          <w:rFonts w:ascii="Times New Roman" w:hAnsi="Times New Roman" w:cs="Times New Roman"/>
          <w:sz w:val="24"/>
          <w:szCs w:val="24"/>
        </w:rPr>
      </w:pPr>
    </w:p>
    <w:p w:rsidR="00DA3453" w:rsidP="00DA3453" w:rsidRDefault="00DA3453">
      <w:pPr>
        <w:pStyle w:val="Basis"/>
        <w:rPr>
          <w:rFonts w:ascii="Times New Roman" w:hAnsi="Times New Roman" w:cs="Times New Roman"/>
          <w:sz w:val="24"/>
          <w:szCs w:val="24"/>
        </w:rPr>
      </w:pPr>
      <w:r w:rsidRPr="00DA3453">
        <w:rPr>
          <w:rFonts w:ascii="Times New Roman" w:hAnsi="Times New Roman" w:cs="Times New Roman"/>
          <w:sz w:val="24"/>
          <w:szCs w:val="24"/>
        </w:rPr>
        <w:t>De Minister van Financiën,</w:t>
      </w:r>
    </w:p>
    <w:p w:rsidR="00DA3453" w:rsidRDefault="00DA3453">
      <w:pPr>
        <w:rPr>
          <w:rFonts w:ascii="Times New Roman" w:hAnsi="Times New Roman" w:eastAsiaTheme="minorEastAsia"/>
          <w:kern w:val="3"/>
          <w:sz w:val="24"/>
        </w:rPr>
      </w:pPr>
      <w:r>
        <w:rPr>
          <w:rFonts w:ascii="Times New Roman" w:hAnsi="Times New Roman"/>
          <w:sz w:val="24"/>
        </w:rPr>
        <w:br w:type="page"/>
      </w:r>
    </w:p>
    <w:tbl>
      <w:tblPr>
        <w:tblW w:w="9694" w:type="dxa"/>
        <w:tblCellMar>
          <w:left w:w="10" w:type="dxa"/>
          <w:right w:w="10" w:type="dxa"/>
        </w:tblCellMar>
        <w:tblLook w:val="04A0" w:firstRow="1" w:lastRow="0" w:firstColumn="1" w:lastColumn="0" w:noHBand="0" w:noVBand="1"/>
      </w:tblPr>
      <w:tblGrid>
        <w:gridCol w:w="354"/>
        <w:gridCol w:w="5770"/>
        <w:gridCol w:w="1375"/>
        <w:gridCol w:w="990"/>
        <w:gridCol w:w="1205"/>
      </w:tblGrid>
      <w:tr w:rsidRPr="00A00BA4" w:rsidR="00DA3453" w:rsidTr="00DA3453">
        <w:trPr>
          <w:tblHeader/>
        </w:trPr>
        <w:tc>
          <w:tcPr>
            <w:tcW w:w="0" w:type="auto"/>
            <w:gridSpan w:val="5"/>
          </w:tcPr>
          <w:p w:rsidRPr="00A00BA4" w:rsidR="00DA3453" w:rsidP="00DA3453" w:rsidRDefault="00DA3453">
            <w:pPr>
              <w:keepNext/>
              <w:autoSpaceDN w:val="0"/>
              <w:textAlignment w:val="baseline"/>
              <w:rPr>
                <w:rFonts w:ascii="Times New Roman" w:hAnsi="Times New Roman" w:eastAsiaTheme="minorEastAsia"/>
                <w:b/>
                <w:kern w:val="3"/>
                <w:sz w:val="13"/>
                <w:szCs w:val="20"/>
              </w:rPr>
            </w:pPr>
            <w:r w:rsidRPr="00A00BA4">
              <w:rPr>
                <w:rFonts w:ascii="Times New Roman" w:hAnsi="Times New Roman" w:eastAsiaTheme="minorEastAsia"/>
                <w:b/>
                <w:kern w:val="3"/>
                <w:sz w:val="13"/>
                <w:szCs w:val="20"/>
              </w:rPr>
              <w:lastRenderedPageBreak/>
              <w:t>Vastgestelde departementale begrotingsstaat van het Ministerie van Financiën (IXB) voor het jaar 2016 (Bedragen x € 1.000)</w:t>
            </w:r>
          </w:p>
        </w:tc>
      </w:tr>
      <w:tr w:rsidRPr="00A00BA4" w:rsidR="00DA3453" w:rsidTr="00DA3453">
        <w:trPr>
          <w:tblHeader/>
        </w:trPr>
        <w:tc>
          <w:tcPr>
            <w:tcW w:w="0" w:type="auto"/>
            <w:tcBorders>
              <w:top w:val="single" w:color="000000" w:sz="4" w:space="0"/>
            </w:tcBorders>
            <w:tcMar>
              <w:top w:w="45"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Art.</w:t>
            </w:r>
          </w:p>
        </w:tc>
        <w:tc>
          <w:tcPr>
            <w:tcW w:w="0" w:type="auto"/>
            <w:tcBorders>
              <w:top w:val="single" w:color="000000" w:sz="4" w:space="0"/>
            </w:tcBorders>
            <w:tcMar>
              <w:top w:w="45" w:type="dxa"/>
              <w:left w:w="57"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Omschrijving</w:t>
            </w:r>
          </w:p>
        </w:tc>
        <w:tc>
          <w:tcPr>
            <w:tcW w:w="0" w:type="auto"/>
            <w:gridSpan w:val="3"/>
            <w:tcBorders>
              <w:top w:val="single" w:color="000000" w:sz="4" w:space="0"/>
            </w:tcBorders>
            <w:tcMar>
              <w:top w:w="45" w:type="dxa"/>
              <w:left w:w="57"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Oorspronkelijk vastgestelde begroting (1)</w:t>
            </w:r>
          </w:p>
        </w:tc>
      </w:tr>
      <w:tr w:rsidRPr="00A00BA4" w:rsidR="00DA3453" w:rsidTr="00DA3453">
        <w:trPr>
          <w:tblHeader/>
        </w:trPr>
        <w:tc>
          <w:tcPr>
            <w:tcW w:w="0" w:type="auto"/>
            <w:tcBorders>
              <w:bottom w:val="single" w:color="000000" w:sz="4" w:space="0"/>
            </w:tcBorders>
            <w:tcMar>
              <w:bottom w:w="45"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p>
        </w:tc>
        <w:tc>
          <w:tcPr>
            <w:tcW w:w="0" w:type="auto"/>
            <w:tcBorders>
              <w:bottom w:val="single" w:color="000000" w:sz="4" w:space="0"/>
            </w:tcBorders>
            <w:tcMar>
              <w:left w:w="57" w:type="dxa"/>
              <w:bottom w:w="45"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p>
        </w:tc>
        <w:tc>
          <w:tcPr>
            <w:tcW w:w="0" w:type="auto"/>
            <w:tcBorders>
              <w:bottom w:val="single" w:color="000000" w:sz="4" w:space="0"/>
            </w:tcBorders>
            <w:tcMar>
              <w:left w:w="57" w:type="dxa"/>
              <w:bottom w:w="45"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Verplichtingen</w:t>
            </w:r>
          </w:p>
        </w:tc>
        <w:tc>
          <w:tcPr>
            <w:tcW w:w="0" w:type="auto"/>
            <w:tcBorders>
              <w:bottom w:val="single" w:color="000000" w:sz="4" w:space="0"/>
            </w:tcBorders>
            <w:tcMar>
              <w:left w:w="57" w:type="dxa"/>
              <w:bottom w:w="45"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Uitgaven</w:t>
            </w:r>
          </w:p>
        </w:tc>
        <w:tc>
          <w:tcPr>
            <w:tcW w:w="0" w:type="auto"/>
            <w:tcBorders>
              <w:bottom w:val="single" w:color="000000" w:sz="4" w:space="0"/>
            </w:tcBorders>
            <w:tcMar>
              <w:left w:w="57" w:type="dxa"/>
              <w:bottom w:w="45"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Ontvangsten</w:t>
            </w:r>
          </w:p>
        </w:tc>
      </w:tr>
      <w:tr w:rsidRPr="00A00BA4" w:rsidR="00DA3453" w:rsidTr="00DA3453">
        <w:tc>
          <w:tcPr>
            <w:tcW w:w="0" w:type="auto"/>
            <w:tcMar>
              <w:top w:w="45"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p>
        </w:tc>
        <w:tc>
          <w:tcPr>
            <w:tcW w:w="0" w:type="auto"/>
            <w:tcMar>
              <w:top w:w="45" w:type="dxa"/>
              <w:left w:w="57"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b/>
                <w:kern w:val="3"/>
                <w:sz w:val="13"/>
                <w:szCs w:val="20"/>
              </w:rPr>
              <w:t>TOTAAL</w:t>
            </w:r>
          </w:p>
        </w:tc>
        <w:tc>
          <w:tcPr>
            <w:tcW w:w="0" w:type="auto"/>
            <w:tcMar>
              <w:top w:w="45" w:type="dxa"/>
              <w:left w:w="57" w:type="dxa"/>
              <w:right w:w="57" w:type="dxa"/>
            </w:tcMar>
          </w:tcPr>
          <w:p w:rsidRPr="00A00BA4" w:rsidR="00DA3453" w:rsidP="00A00BA4"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b/>
                <w:kern w:val="3"/>
                <w:sz w:val="13"/>
                <w:szCs w:val="20"/>
              </w:rPr>
              <w:t>17.</w:t>
            </w:r>
            <w:r w:rsidR="00A00BA4">
              <w:rPr>
                <w:rFonts w:ascii="Times New Roman" w:hAnsi="Times New Roman" w:eastAsiaTheme="minorEastAsia"/>
                <w:b/>
                <w:kern w:val="3"/>
                <w:sz w:val="13"/>
                <w:szCs w:val="20"/>
              </w:rPr>
              <w:t>200</w:t>
            </w:r>
            <w:r w:rsidRPr="00A00BA4">
              <w:rPr>
                <w:rFonts w:ascii="Times New Roman" w:hAnsi="Times New Roman" w:eastAsiaTheme="minorEastAsia"/>
                <w:b/>
                <w:kern w:val="3"/>
                <w:sz w:val="13"/>
                <w:szCs w:val="20"/>
              </w:rPr>
              <w:t>.319</w:t>
            </w:r>
          </w:p>
        </w:tc>
        <w:tc>
          <w:tcPr>
            <w:tcW w:w="0" w:type="auto"/>
            <w:tcMar>
              <w:top w:w="45" w:type="dxa"/>
              <w:left w:w="57" w:type="dxa"/>
              <w:right w:w="57" w:type="dxa"/>
            </w:tcMar>
          </w:tcPr>
          <w:p w:rsidRPr="00A00BA4" w:rsidR="00DA3453" w:rsidP="00A00BA4"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b/>
                <w:kern w:val="3"/>
                <w:sz w:val="13"/>
                <w:szCs w:val="20"/>
              </w:rPr>
              <w:t>6.8</w:t>
            </w:r>
            <w:r w:rsidR="00A00BA4">
              <w:rPr>
                <w:rFonts w:ascii="Times New Roman" w:hAnsi="Times New Roman" w:eastAsiaTheme="minorEastAsia"/>
                <w:b/>
                <w:kern w:val="3"/>
                <w:sz w:val="13"/>
                <w:szCs w:val="20"/>
              </w:rPr>
              <w:t>43</w:t>
            </w:r>
            <w:r w:rsidRPr="00A00BA4">
              <w:rPr>
                <w:rFonts w:ascii="Times New Roman" w:hAnsi="Times New Roman" w:eastAsiaTheme="minorEastAsia"/>
                <w:b/>
                <w:kern w:val="3"/>
                <w:sz w:val="13"/>
                <w:szCs w:val="20"/>
              </w:rPr>
              <w:t>.138</w:t>
            </w:r>
          </w:p>
        </w:tc>
        <w:tc>
          <w:tcPr>
            <w:tcW w:w="0" w:type="auto"/>
            <w:tcMar>
              <w:top w:w="45" w:type="dxa"/>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b/>
                <w:kern w:val="3"/>
                <w:sz w:val="13"/>
                <w:szCs w:val="20"/>
              </w:rPr>
              <w:t>121.473.987</w:t>
            </w:r>
          </w:p>
        </w:tc>
      </w:tr>
      <w:tr w:rsidRPr="00A00BA4" w:rsidR="00DA3453" w:rsidTr="00DA3453">
        <w:tc>
          <w:tcPr>
            <w:tcW w:w="0" w:type="auto"/>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p>
        </w:tc>
        <w:tc>
          <w:tcPr>
            <w:tcW w:w="0" w:type="auto"/>
            <w:tcMar>
              <w:left w:w="57"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p>
        </w:tc>
      </w:tr>
      <w:tr w:rsidRPr="00A00BA4" w:rsidR="00DA3453" w:rsidTr="00DA3453">
        <w:tc>
          <w:tcPr>
            <w:tcW w:w="0" w:type="auto"/>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p>
        </w:tc>
        <w:tc>
          <w:tcPr>
            <w:tcW w:w="0" w:type="auto"/>
            <w:tcMar>
              <w:left w:w="57"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b/>
                <w:kern w:val="3"/>
                <w:sz w:val="13"/>
                <w:szCs w:val="20"/>
              </w:rPr>
              <w:t>Beleidsartikelen</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p>
        </w:tc>
      </w:tr>
      <w:tr w:rsidRPr="00A00BA4" w:rsidR="00DA3453" w:rsidTr="00DA3453">
        <w:tc>
          <w:tcPr>
            <w:tcW w:w="0" w:type="auto"/>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1</w:t>
            </w:r>
          </w:p>
        </w:tc>
        <w:tc>
          <w:tcPr>
            <w:tcW w:w="0" w:type="auto"/>
            <w:tcMar>
              <w:left w:w="57"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Belastingen</w:t>
            </w:r>
          </w:p>
        </w:tc>
        <w:tc>
          <w:tcPr>
            <w:tcW w:w="0" w:type="auto"/>
            <w:tcMar>
              <w:left w:w="57" w:type="dxa"/>
              <w:right w:w="57" w:type="dxa"/>
            </w:tcMar>
          </w:tcPr>
          <w:p w:rsidRPr="00A00BA4" w:rsidR="00DA3453" w:rsidP="00A00BA4"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3.1</w:t>
            </w:r>
            <w:r w:rsidR="00A00BA4">
              <w:rPr>
                <w:rFonts w:ascii="Times New Roman" w:hAnsi="Times New Roman" w:eastAsiaTheme="minorEastAsia"/>
                <w:kern w:val="3"/>
                <w:sz w:val="13"/>
                <w:szCs w:val="20"/>
              </w:rPr>
              <w:t>14</w:t>
            </w:r>
            <w:r w:rsidRPr="00A00BA4">
              <w:rPr>
                <w:rFonts w:ascii="Times New Roman" w:hAnsi="Times New Roman" w:eastAsiaTheme="minorEastAsia"/>
                <w:kern w:val="3"/>
                <w:sz w:val="13"/>
                <w:szCs w:val="20"/>
              </w:rPr>
              <w:t>.765</w:t>
            </w:r>
          </w:p>
        </w:tc>
        <w:tc>
          <w:tcPr>
            <w:tcW w:w="0" w:type="auto"/>
            <w:tcMar>
              <w:left w:w="57" w:type="dxa"/>
              <w:right w:w="57" w:type="dxa"/>
            </w:tcMar>
          </w:tcPr>
          <w:p w:rsidRPr="00A00BA4" w:rsidR="00DA3453" w:rsidP="00A00BA4"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3.1</w:t>
            </w:r>
            <w:r w:rsidR="00A00BA4">
              <w:rPr>
                <w:rFonts w:ascii="Times New Roman" w:hAnsi="Times New Roman" w:eastAsiaTheme="minorEastAsia"/>
                <w:kern w:val="3"/>
                <w:sz w:val="13"/>
                <w:szCs w:val="20"/>
              </w:rPr>
              <w:t>14</w:t>
            </w:r>
            <w:r w:rsidRPr="00A00BA4">
              <w:rPr>
                <w:rFonts w:ascii="Times New Roman" w:hAnsi="Times New Roman" w:eastAsiaTheme="minorEastAsia"/>
                <w:kern w:val="3"/>
                <w:sz w:val="13"/>
                <w:szCs w:val="20"/>
              </w:rPr>
              <w:t>.765</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116.447.338</w:t>
            </w:r>
          </w:p>
        </w:tc>
      </w:tr>
      <w:tr w:rsidRPr="00A00BA4" w:rsidR="00DA3453" w:rsidTr="00DA3453">
        <w:tc>
          <w:tcPr>
            <w:tcW w:w="0" w:type="auto"/>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2</w:t>
            </w:r>
          </w:p>
        </w:tc>
        <w:tc>
          <w:tcPr>
            <w:tcW w:w="0" w:type="auto"/>
            <w:tcMar>
              <w:left w:w="57"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Financiële markten</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22.379</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22.379</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10.311</w:t>
            </w:r>
          </w:p>
        </w:tc>
      </w:tr>
      <w:tr w:rsidRPr="00A00BA4" w:rsidR="00DA3453" w:rsidTr="00DA3453">
        <w:tc>
          <w:tcPr>
            <w:tcW w:w="0" w:type="auto"/>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3</w:t>
            </w:r>
          </w:p>
        </w:tc>
        <w:tc>
          <w:tcPr>
            <w:tcW w:w="0" w:type="auto"/>
            <w:tcMar>
              <w:left w:w="57"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Financieringsactiviteiten publiek-private sector</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19.401</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19.401</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1.831.850</w:t>
            </w:r>
          </w:p>
        </w:tc>
      </w:tr>
      <w:tr w:rsidRPr="00A00BA4" w:rsidR="00DA3453" w:rsidTr="00DA3453">
        <w:tc>
          <w:tcPr>
            <w:tcW w:w="0" w:type="auto"/>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4</w:t>
            </w:r>
          </w:p>
        </w:tc>
        <w:tc>
          <w:tcPr>
            <w:tcW w:w="0" w:type="auto"/>
            <w:tcMar>
              <w:left w:w="57"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Internationale financiële betrekkingen</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268.782</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439.981</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22.992</w:t>
            </w:r>
          </w:p>
        </w:tc>
      </w:tr>
      <w:tr w:rsidRPr="00A00BA4" w:rsidR="00DA3453" w:rsidTr="00DA3453">
        <w:tc>
          <w:tcPr>
            <w:tcW w:w="0" w:type="auto"/>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5</w:t>
            </w:r>
          </w:p>
        </w:tc>
        <w:tc>
          <w:tcPr>
            <w:tcW w:w="0" w:type="auto"/>
            <w:tcMar>
              <w:left w:w="57"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Exportkredietverzekeringen, -garanties en investeringsverzekeringen</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10.616.436</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88.056</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246.952</w:t>
            </w:r>
          </w:p>
        </w:tc>
      </w:tr>
      <w:tr w:rsidRPr="00A00BA4" w:rsidR="00DA3453" w:rsidTr="00DA3453">
        <w:tc>
          <w:tcPr>
            <w:tcW w:w="0" w:type="auto"/>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6</w:t>
            </w:r>
          </w:p>
        </w:tc>
        <w:tc>
          <w:tcPr>
            <w:tcW w:w="0" w:type="auto"/>
            <w:tcMar>
              <w:left w:w="57"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proofErr w:type="spellStart"/>
            <w:r w:rsidRPr="00A00BA4">
              <w:rPr>
                <w:rFonts w:ascii="Times New Roman" w:hAnsi="Times New Roman" w:eastAsiaTheme="minorEastAsia"/>
                <w:kern w:val="3"/>
                <w:sz w:val="13"/>
                <w:szCs w:val="20"/>
              </w:rPr>
              <w:t>BTW-Compensatiefonds</w:t>
            </w:r>
            <w:proofErr w:type="spellEnd"/>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2.851.726</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2.851.726</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2.851.726</w:t>
            </w:r>
          </w:p>
        </w:tc>
      </w:tr>
      <w:tr w:rsidRPr="00A00BA4" w:rsidR="00DA3453" w:rsidTr="00DA3453">
        <w:tc>
          <w:tcPr>
            <w:tcW w:w="0" w:type="auto"/>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7</w:t>
            </w:r>
          </w:p>
        </w:tc>
        <w:tc>
          <w:tcPr>
            <w:tcW w:w="0" w:type="auto"/>
            <w:tcMar>
              <w:left w:w="57"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Beheer materiële activa</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306</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306</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1.800</w:t>
            </w:r>
          </w:p>
        </w:tc>
      </w:tr>
      <w:tr w:rsidRPr="00A00BA4" w:rsidR="00DA3453" w:rsidTr="00DA3453">
        <w:tc>
          <w:tcPr>
            <w:tcW w:w="0" w:type="auto"/>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p>
        </w:tc>
        <w:tc>
          <w:tcPr>
            <w:tcW w:w="0" w:type="auto"/>
            <w:tcMar>
              <w:left w:w="57"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p>
        </w:tc>
      </w:tr>
      <w:tr w:rsidRPr="00A00BA4" w:rsidR="00DA3453" w:rsidTr="00DA3453">
        <w:tc>
          <w:tcPr>
            <w:tcW w:w="0" w:type="auto"/>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p>
        </w:tc>
        <w:tc>
          <w:tcPr>
            <w:tcW w:w="0" w:type="auto"/>
            <w:tcMar>
              <w:left w:w="57"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b/>
                <w:kern w:val="3"/>
                <w:sz w:val="13"/>
                <w:szCs w:val="20"/>
              </w:rPr>
              <w:t>Niet-beleidsartikelen</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p>
        </w:tc>
      </w:tr>
      <w:tr w:rsidRPr="00A00BA4" w:rsidR="00DA3453" w:rsidTr="00DA3453">
        <w:tc>
          <w:tcPr>
            <w:tcW w:w="0" w:type="auto"/>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8</w:t>
            </w:r>
          </w:p>
        </w:tc>
        <w:tc>
          <w:tcPr>
            <w:tcW w:w="0" w:type="auto"/>
            <w:tcMar>
              <w:left w:w="57"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Centraal Apparaat</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242.985</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242.985</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61.018</w:t>
            </w:r>
          </w:p>
        </w:tc>
      </w:tr>
      <w:tr w:rsidRPr="00A00BA4" w:rsidR="00DA3453" w:rsidTr="00DA3453">
        <w:tc>
          <w:tcPr>
            <w:tcW w:w="0" w:type="auto"/>
            <w:tcBorders>
              <w:bottom w:val="single" w:color="000000" w:sz="4" w:space="0"/>
            </w:tcBorders>
            <w:tcMar>
              <w:bottom w:w="45"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10</w:t>
            </w:r>
          </w:p>
        </w:tc>
        <w:tc>
          <w:tcPr>
            <w:tcW w:w="0" w:type="auto"/>
            <w:tcBorders>
              <w:bottom w:val="single" w:color="000000" w:sz="4" w:space="0"/>
            </w:tcBorders>
            <w:tcMar>
              <w:left w:w="57" w:type="dxa"/>
              <w:bottom w:w="45"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Nominaal en onvoorzien</w:t>
            </w:r>
          </w:p>
        </w:tc>
        <w:tc>
          <w:tcPr>
            <w:tcW w:w="0" w:type="auto"/>
            <w:tcBorders>
              <w:bottom w:val="single" w:color="000000" w:sz="4" w:space="0"/>
            </w:tcBorders>
            <w:tcMar>
              <w:left w:w="57" w:type="dxa"/>
              <w:bottom w:w="45"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63.539</w:t>
            </w:r>
          </w:p>
        </w:tc>
        <w:tc>
          <w:tcPr>
            <w:tcW w:w="0" w:type="auto"/>
            <w:tcBorders>
              <w:bottom w:val="single" w:color="000000" w:sz="4" w:space="0"/>
            </w:tcBorders>
            <w:tcMar>
              <w:left w:w="57" w:type="dxa"/>
              <w:bottom w:w="45"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63.539</w:t>
            </w:r>
          </w:p>
        </w:tc>
        <w:tc>
          <w:tcPr>
            <w:tcW w:w="0" w:type="auto"/>
            <w:tcBorders>
              <w:bottom w:val="single" w:color="000000" w:sz="4" w:space="0"/>
            </w:tcBorders>
            <w:tcMar>
              <w:left w:w="57" w:type="dxa"/>
              <w:bottom w:w="45"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0</w:t>
            </w:r>
          </w:p>
        </w:tc>
      </w:tr>
    </w:tbl>
    <w:p w:rsidRPr="00A00BA4" w:rsidR="00DA3453" w:rsidP="00DA3453" w:rsidRDefault="00DA3453">
      <w:pPr>
        <w:pStyle w:val="Basis"/>
        <w:rPr>
          <w:rFonts w:ascii="Times New Roman" w:hAnsi="Times New Roman" w:cs="Times New Roman"/>
          <w:sz w:val="24"/>
          <w:szCs w:val="24"/>
        </w:rPr>
      </w:pPr>
    </w:p>
    <w:p w:rsidR="00DA3453" w:rsidRDefault="00DA3453">
      <w:pPr>
        <w:rPr>
          <w:rFonts w:ascii="Times New Roman" w:hAnsi="Times New Roman"/>
          <w:sz w:val="24"/>
        </w:rPr>
      </w:pPr>
      <w:r>
        <w:rPr>
          <w:rFonts w:ascii="Times New Roman" w:hAnsi="Times New Roman"/>
          <w:sz w:val="24"/>
        </w:rPr>
        <w:br w:type="page"/>
      </w:r>
    </w:p>
    <w:tbl>
      <w:tblPr>
        <w:tblW w:w="9694" w:type="dxa"/>
        <w:tblInd w:w="-619" w:type="dxa"/>
        <w:tblCellMar>
          <w:left w:w="10" w:type="dxa"/>
          <w:right w:w="10" w:type="dxa"/>
        </w:tblCellMar>
        <w:tblLook w:val="04A0" w:firstRow="1" w:lastRow="0" w:firstColumn="1" w:lastColumn="0" w:noHBand="0" w:noVBand="1"/>
      </w:tblPr>
      <w:tblGrid>
        <w:gridCol w:w="539"/>
        <w:gridCol w:w="3465"/>
        <w:gridCol w:w="2129"/>
        <w:gridCol w:w="1692"/>
        <w:gridCol w:w="1869"/>
      </w:tblGrid>
      <w:tr w:rsidRPr="00DA3453" w:rsidR="00DA3453" w:rsidTr="00DA3453">
        <w:trPr>
          <w:tblHeader/>
        </w:trPr>
        <w:tc>
          <w:tcPr>
            <w:tcW w:w="0" w:type="auto"/>
            <w:gridSpan w:val="5"/>
          </w:tcPr>
          <w:p w:rsidRPr="00A00BA4" w:rsidR="00DA3453" w:rsidP="00DA3453" w:rsidRDefault="00DA3453">
            <w:pPr>
              <w:keepNext/>
              <w:autoSpaceDN w:val="0"/>
              <w:textAlignment w:val="baseline"/>
              <w:rPr>
                <w:rFonts w:ascii="Times New Roman" w:hAnsi="Times New Roman" w:eastAsiaTheme="minorEastAsia"/>
                <w:b/>
                <w:kern w:val="3"/>
                <w:sz w:val="13"/>
                <w:szCs w:val="20"/>
              </w:rPr>
            </w:pPr>
            <w:r w:rsidRPr="00A00BA4">
              <w:rPr>
                <w:rFonts w:ascii="Times New Roman" w:hAnsi="Times New Roman" w:eastAsiaTheme="minorEastAsia"/>
                <w:b/>
                <w:kern w:val="3"/>
                <w:sz w:val="13"/>
                <w:szCs w:val="20"/>
              </w:rPr>
              <w:lastRenderedPageBreak/>
              <w:t>Vastgestelde begrotingsstaat inzake de Nationale Schuld (IXA) voor het jaar 2016 (Bedragen x € 1.000)</w:t>
            </w:r>
          </w:p>
        </w:tc>
      </w:tr>
      <w:tr w:rsidRPr="00DA3453" w:rsidR="00DA3453" w:rsidTr="00DA3453">
        <w:trPr>
          <w:tblHeader/>
        </w:trPr>
        <w:tc>
          <w:tcPr>
            <w:tcW w:w="0" w:type="auto"/>
            <w:tcBorders>
              <w:top w:val="single" w:color="000000" w:sz="4" w:space="0"/>
            </w:tcBorders>
            <w:tcMar>
              <w:top w:w="45" w:type="dxa"/>
            </w:tcMar>
          </w:tcPr>
          <w:p w:rsidRPr="00DA3453" w:rsidR="00DA3453" w:rsidP="00DA3453" w:rsidRDefault="00DA3453">
            <w:pPr>
              <w:widowControl w:val="0"/>
              <w:autoSpaceDN w:val="0"/>
              <w:textAlignment w:val="baseline"/>
              <w:rPr>
                <w:rFonts w:ascii="DejaVu Sans" w:hAnsi="DejaVu Sans" w:eastAsiaTheme="minorEastAsia" w:cstheme="minorBidi"/>
                <w:kern w:val="3"/>
                <w:sz w:val="13"/>
                <w:szCs w:val="20"/>
              </w:rPr>
            </w:pPr>
            <w:r w:rsidRPr="00DA3453">
              <w:rPr>
                <w:rFonts w:ascii="DejaVu Sans" w:hAnsi="DejaVu Sans" w:eastAsiaTheme="minorEastAsia" w:cstheme="minorBidi"/>
                <w:kern w:val="3"/>
                <w:sz w:val="13"/>
                <w:szCs w:val="20"/>
              </w:rPr>
              <w:t>Art.</w:t>
            </w:r>
          </w:p>
        </w:tc>
        <w:tc>
          <w:tcPr>
            <w:tcW w:w="0" w:type="auto"/>
            <w:tcBorders>
              <w:top w:val="single" w:color="000000" w:sz="4" w:space="0"/>
            </w:tcBorders>
            <w:tcMar>
              <w:top w:w="45" w:type="dxa"/>
              <w:left w:w="57"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Omschrijving</w:t>
            </w:r>
          </w:p>
        </w:tc>
        <w:tc>
          <w:tcPr>
            <w:tcW w:w="0" w:type="auto"/>
            <w:gridSpan w:val="3"/>
            <w:tcBorders>
              <w:top w:val="single" w:color="000000" w:sz="4" w:space="0"/>
            </w:tcBorders>
            <w:tcMar>
              <w:top w:w="45" w:type="dxa"/>
              <w:left w:w="57"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Oorspronkelijk vastgestelde begroting (1)</w:t>
            </w:r>
          </w:p>
        </w:tc>
      </w:tr>
      <w:tr w:rsidRPr="00DA3453" w:rsidR="00DA3453" w:rsidTr="00DA3453">
        <w:trPr>
          <w:tblHeader/>
        </w:trPr>
        <w:tc>
          <w:tcPr>
            <w:tcW w:w="0" w:type="auto"/>
            <w:tcBorders>
              <w:bottom w:val="single" w:color="000000" w:sz="4" w:space="0"/>
            </w:tcBorders>
            <w:tcMar>
              <w:bottom w:w="45" w:type="dxa"/>
            </w:tcMar>
          </w:tcPr>
          <w:p w:rsidRPr="00DA3453" w:rsidR="00DA3453" w:rsidP="00DA3453" w:rsidRDefault="00DA3453">
            <w:pPr>
              <w:widowControl w:val="0"/>
              <w:autoSpaceDN w:val="0"/>
              <w:textAlignment w:val="baseline"/>
              <w:rPr>
                <w:rFonts w:ascii="DejaVu Sans" w:hAnsi="DejaVu Sans" w:eastAsiaTheme="minorEastAsia" w:cstheme="minorBidi"/>
                <w:kern w:val="3"/>
                <w:sz w:val="13"/>
                <w:szCs w:val="20"/>
              </w:rPr>
            </w:pPr>
          </w:p>
        </w:tc>
        <w:tc>
          <w:tcPr>
            <w:tcW w:w="0" w:type="auto"/>
            <w:tcBorders>
              <w:bottom w:val="single" w:color="000000" w:sz="4" w:space="0"/>
            </w:tcBorders>
            <w:tcMar>
              <w:left w:w="57" w:type="dxa"/>
              <w:bottom w:w="45"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p>
        </w:tc>
        <w:tc>
          <w:tcPr>
            <w:tcW w:w="0" w:type="auto"/>
            <w:tcBorders>
              <w:bottom w:val="single" w:color="000000" w:sz="4" w:space="0"/>
            </w:tcBorders>
            <w:tcMar>
              <w:left w:w="57" w:type="dxa"/>
              <w:bottom w:w="45"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Verplichtingen</w:t>
            </w:r>
          </w:p>
        </w:tc>
        <w:tc>
          <w:tcPr>
            <w:tcW w:w="0" w:type="auto"/>
            <w:tcBorders>
              <w:bottom w:val="single" w:color="000000" w:sz="4" w:space="0"/>
            </w:tcBorders>
            <w:tcMar>
              <w:left w:w="57" w:type="dxa"/>
              <w:bottom w:w="45"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Uitgaven</w:t>
            </w:r>
          </w:p>
        </w:tc>
        <w:tc>
          <w:tcPr>
            <w:tcW w:w="0" w:type="auto"/>
            <w:tcBorders>
              <w:bottom w:val="single" w:color="000000" w:sz="4" w:space="0"/>
            </w:tcBorders>
            <w:tcMar>
              <w:left w:w="57" w:type="dxa"/>
              <w:bottom w:w="45"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Ontvangsten</w:t>
            </w:r>
          </w:p>
        </w:tc>
      </w:tr>
      <w:tr w:rsidRPr="00DA3453" w:rsidR="00DA3453" w:rsidTr="00DA3453">
        <w:tc>
          <w:tcPr>
            <w:tcW w:w="0" w:type="auto"/>
            <w:tcMar>
              <w:top w:w="45" w:type="dxa"/>
            </w:tcMar>
          </w:tcPr>
          <w:p w:rsidRPr="00DA3453" w:rsidR="00DA3453" w:rsidP="00DA3453" w:rsidRDefault="00DA3453">
            <w:pPr>
              <w:widowControl w:val="0"/>
              <w:autoSpaceDN w:val="0"/>
              <w:textAlignment w:val="baseline"/>
              <w:rPr>
                <w:rFonts w:ascii="DejaVu Sans" w:hAnsi="DejaVu Sans" w:eastAsiaTheme="minorEastAsia" w:cstheme="minorBidi"/>
                <w:kern w:val="3"/>
                <w:sz w:val="13"/>
                <w:szCs w:val="20"/>
              </w:rPr>
            </w:pPr>
          </w:p>
        </w:tc>
        <w:tc>
          <w:tcPr>
            <w:tcW w:w="0" w:type="auto"/>
            <w:tcMar>
              <w:top w:w="45" w:type="dxa"/>
              <w:left w:w="57"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b/>
                <w:kern w:val="3"/>
                <w:sz w:val="13"/>
                <w:szCs w:val="20"/>
              </w:rPr>
              <w:t>TOTAAL</w:t>
            </w:r>
          </w:p>
        </w:tc>
        <w:tc>
          <w:tcPr>
            <w:tcW w:w="0" w:type="auto"/>
            <w:tcMar>
              <w:top w:w="45" w:type="dxa"/>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b/>
                <w:kern w:val="3"/>
                <w:sz w:val="13"/>
                <w:szCs w:val="20"/>
              </w:rPr>
              <w:t>37.429.420</w:t>
            </w:r>
          </w:p>
        </w:tc>
        <w:tc>
          <w:tcPr>
            <w:tcW w:w="0" w:type="auto"/>
            <w:tcMar>
              <w:top w:w="45" w:type="dxa"/>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b/>
                <w:kern w:val="3"/>
                <w:sz w:val="13"/>
                <w:szCs w:val="20"/>
              </w:rPr>
              <w:t>37.429.420</w:t>
            </w:r>
          </w:p>
        </w:tc>
        <w:tc>
          <w:tcPr>
            <w:tcW w:w="0" w:type="auto"/>
            <w:tcMar>
              <w:top w:w="45" w:type="dxa"/>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b/>
                <w:kern w:val="3"/>
                <w:sz w:val="13"/>
                <w:szCs w:val="20"/>
              </w:rPr>
              <w:t>43.891.051</w:t>
            </w:r>
          </w:p>
        </w:tc>
      </w:tr>
      <w:tr w:rsidRPr="00DA3453" w:rsidR="00DA3453" w:rsidTr="00DA3453">
        <w:tc>
          <w:tcPr>
            <w:tcW w:w="0" w:type="auto"/>
          </w:tcPr>
          <w:p w:rsidRPr="00DA3453" w:rsidR="00DA3453" w:rsidP="00DA3453" w:rsidRDefault="00DA3453">
            <w:pPr>
              <w:widowControl w:val="0"/>
              <w:autoSpaceDN w:val="0"/>
              <w:textAlignment w:val="baseline"/>
              <w:rPr>
                <w:rFonts w:ascii="DejaVu Sans" w:hAnsi="DejaVu Sans" w:eastAsiaTheme="minorEastAsia" w:cstheme="minorBidi"/>
                <w:kern w:val="3"/>
                <w:sz w:val="13"/>
                <w:szCs w:val="20"/>
              </w:rPr>
            </w:pPr>
          </w:p>
        </w:tc>
        <w:tc>
          <w:tcPr>
            <w:tcW w:w="0" w:type="auto"/>
            <w:tcMar>
              <w:left w:w="57"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p>
        </w:tc>
      </w:tr>
      <w:tr w:rsidRPr="00DA3453" w:rsidR="00DA3453" w:rsidTr="00DA3453">
        <w:tc>
          <w:tcPr>
            <w:tcW w:w="0" w:type="auto"/>
          </w:tcPr>
          <w:p w:rsidRPr="00DA3453" w:rsidR="00DA3453" w:rsidP="00DA3453" w:rsidRDefault="00DA3453">
            <w:pPr>
              <w:widowControl w:val="0"/>
              <w:autoSpaceDN w:val="0"/>
              <w:textAlignment w:val="baseline"/>
              <w:rPr>
                <w:rFonts w:ascii="DejaVu Sans" w:hAnsi="DejaVu Sans" w:eastAsiaTheme="minorEastAsia" w:cstheme="minorBidi"/>
                <w:kern w:val="3"/>
                <w:sz w:val="13"/>
                <w:szCs w:val="20"/>
              </w:rPr>
            </w:pPr>
          </w:p>
        </w:tc>
        <w:tc>
          <w:tcPr>
            <w:tcW w:w="0" w:type="auto"/>
            <w:tcMar>
              <w:left w:w="57"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b/>
                <w:kern w:val="3"/>
                <w:sz w:val="13"/>
                <w:szCs w:val="20"/>
              </w:rPr>
              <w:t>Beleidsartikelen</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p>
        </w:tc>
      </w:tr>
      <w:tr w:rsidRPr="00DA3453" w:rsidR="00DA3453" w:rsidTr="00DA3453">
        <w:tc>
          <w:tcPr>
            <w:tcW w:w="0" w:type="auto"/>
          </w:tcPr>
          <w:p w:rsidRPr="00DA3453" w:rsidR="00DA3453" w:rsidP="00DA3453" w:rsidRDefault="00DA3453">
            <w:pPr>
              <w:widowControl w:val="0"/>
              <w:autoSpaceDN w:val="0"/>
              <w:textAlignment w:val="baseline"/>
              <w:rPr>
                <w:rFonts w:ascii="DejaVu Sans" w:hAnsi="DejaVu Sans" w:eastAsiaTheme="minorEastAsia" w:cstheme="minorBidi"/>
                <w:kern w:val="3"/>
                <w:sz w:val="13"/>
                <w:szCs w:val="20"/>
              </w:rPr>
            </w:pPr>
            <w:r w:rsidRPr="00DA3453">
              <w:rPr>
                <w:rFonts w:ascii="DejaVu Sans" w:hAnsi="DejaVu Sans" w:eastAsiaTheme="minorEastAsia" w:cstheme="minorBidi"/>
                <w:kern w:val="3"/>
                <w:sz w:val="13"/>
                <w:szCs w:val="20"/>
              </w:rPr>
              <w:t>11</w:t>
            </w:r>
          </w:p>
        </w:tc>
        <w:tc>
          <w:tcPr>
            <w:tcW w:w="0" w:type="auto"/>
            <w:tcMar>
              <w:left w:w="57"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Financiering staatsschuld</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36.227.971</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36.227.971</w:t>
            </w:r>
          </w:p>
        </w:tc>
        <w:tc>
          <w:tcPr>
            <w:tcW w:w="0" w:type="auto"/>
            <w:tcMar>
              <w:left w:w="57"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38.503.000</w:t>
            </w:r>
          </w:p>
        </w:tc>
      </w:tr>
      <w:tr w:rsidRPr="00DA3453" w:rsidR="00DA3453" w:rsidTr="00DA3453">
        <w:tc>
          <w:tcPr>
            <w:tcW w:w="0" w:type="auto"/>
            <w:tcBorders>
              <w:bottom w:val="single" w:color="000000" w:sz="4" w:space="0"/>
            </w:tcBorders>
            <w:tcMar>
              <w:bottom w:w="45" w:type="dxa"/>
            </w:tcMar>
          </w:tcPr>
          <w:p w:rsidRPr="00DA3453" w:rsidR="00DA3453" w:rsidP="00DA3453" w:rsidRDefault="00DA3453">
            <w:pPr>
              <w:widowControl w:val="0"/>
              <w:autoSpaceDN w:val="0"/>
              <w:textAlignment w:val="baseline"/>
              <w:rPr>
                <w:rFonts w:ascii="DejaVu Sans" w:hAnsi="DejaVu Sans" w:eastAsiaTheme="minorEastAsia" w:cstheme="minorBidi"/>
                <w:kern w:val="3"/>
                <w:sz w:val="13"/>
                <w:szCs w:val="20"/>
              </w:rPr>
            </w:pPr>
            <w:r w:rsidRPr="00DA3453">
              <w:rPr>
                <w:rFonts w:ascii="DejaVu Sans" w:hAnsi="DejaVu Sans" w:eastAsiaTheme="minorEastAsia" w:cstheme="minorBidi"/>
                <w:kern w:val="3"/>
                <w:sz w:val="13"/>
                <w:szCs w:val="20"/>
              </w:rPr>
              <w:t>12</w:t>
            </w:r>
          </w:p>
        </w:tc>
        <w:tc>
          <w:tcPr>
            <w:tcW w:w="0" w:type="auto"/>
            <w:tcBorders>
              <w:bottom w:val="single" w:color="000000" w:sz="4" w:space="0"/>
            </w:tcBorders>
            <w:tcMar>
              <w:left w:w="57" w:type="dxa"/>
              <w:bottom w:w="45" w:type="dxa"/>
              <w:right w:w="57" w:type="dxa"/>
            </w:tcMar>
          </w:tcPr>
          <w:p w:rsidRPr="00A00BA4" w:rsidR="00DA3453" w:rsidP="00DA3453" w:rsidRDefault="00DA3453">
            <w:pPr>
              <w:widowControl w:val="0"/>
              <w:autoSpaceDN w:val="0"/>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Kasbeheer</w:t>
            </w:r>
          </w:p>
        </w:tc>
        <w:tc>
          <w:tcPr>
            <w:tcW w:w="0" w:type="auto"/>
            <w:tcBorders>
              <w:bottom w:val="single" w:color="000000" w:sz="4" w:space="0"/>
            </w:tcBorders>
            <w:tcMar>
              <w:left w:w="57" w:type="dxa"/>
              <w:bottom w:w="45"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1.201.449</w:t>
            </w:r>
          </w:p>
        </w:tc>
        <w:tc>
          <w:tcPr>
            <w:tcW w:w="0" w:type="auto"/>
            <w:tcBorders>
              <w:bottom w:val="single" w:color="000000" w:sz="4" w:space="0"/>
            </w:tcBorders>
            <w:tcMar>
              <w:left w:w="57" w:type="dxa"/>
              <w:bottom w:w="45"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1.201.449</w:t>
            </w:r>
          </w:p>
        </w:tc>
        <w:tc>
          <w:tcPr>
            <w:tcW w:w="0" w:type="auto"/>
            <w:tcBorders>
              <w:bottom w:val="single" w:color="000000" w:sz="4" w:space="0"/>
            </w:tcBorders>
            <w:tcMar>
              <w:left w:w="57" w:type="dxa"/>
              <w:bottom w:w="45" w:type="dxa"/>
              <w:right w:w="57" w:type="dxa"/>
            </w:tcMar>
          </w:tcPr>
          <w:p w:rsidRPr="00A00BA4" w:rsidR="00DA3453" w:rsidP="00DA3453" w:rsidRDefault="00DA3453">
            <w:pPr>
              <w:widowControl w:val="0"/>
              <w:autoSpaceDN w:val="0"/>
              <w:jc w:val="right"/>
              <w:textAlignment w:val="baseline"/>
              <w:rPr>
                <w:rFonts w:ascii="Times New Roman" w:hAnsi="Times New Roman" w:eastAsiaTheme="minorEastAsia"/>
                <w:kern w:val="3"/>
                <w:sz w:val="13"/>
                <w:szCs w:val="20"/>
              </w:rPr>
            </w:pPr>
            <w:r w:rsidRPr="00A00BA4">
              <w:rPr>
                <w:rFonts w:ascii="Times New Roman" w:hAnsi="Times New Roman" w:eastAsiaTheme="minorEastAsia"/>
                <w:kern w:val="3"/>
                <w:sz w:val="13"/>
                <w:szCs w:val="20"/>
              </w:rPr>
              <w:t>5.388.051</w:t>
            </w:r>
          </w:p>
        </w:tc>
      </w:tr>
    </w:tbl>
    <w:p w:rsidRPr="00DA3453" w:rsidR="00700954" w:rsidRDefault="00700954">
      <w:pPr>
        <w:rPr>
          <w:rFonts w:ascii="Times New Roman" w:hAnsi="Times New Roman"/>
          <w:sz w:val="24"/>
        </w:rPr>
      </w:pPr>
    </w:p>
    <w:sectPr w:rsidRPr="00DA3453" w:rsidR="0070095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EAF"/>
    <w:rsid w:val="00253EAF"/>
    <w:rsid w:val="00433D6E"/>
    <w:rsid w:val="00700954"/>
    <w:rsid w:val="00A00BA4"/>
    <w:rsid w:val="00A636A5"/>
    <w:rsid w:val="00D858D6"/>
    <w:rsid w:val="00DA34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3EAF"/>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253EAF"/>
    <w:pPr>
      <w:widowControl w:val="0"/>
      <w:tabs>
        <w:tab w:val="left" w:pos="3310"/>
        <w:tab w:val="left" w:pos="3600"/>
      </w:tabs>
      <w:suppressAutoHyphens/>
    </w:pPr>
    <w:rPr>
      <w:rFonts w:ascii="Courier New" w:hAnsi="Courier New" w:cs="Courier New"/>
      <w:b/>
      <w:bCs/>
      <w:sz w:val="24"/>
      <w:szCs w:val="24"/>
    </w:rPr>
  </w:style>
  <w:style w:type="paragraph" w:customStyle="1" w:styleId="Basis">
    <w:name w:val="Basis"/>
    <w:basedOn w:val="Standaard"/>
    <w:rsid w:val="00DA3453"/>
    <w:pPr>
      <w:autoSpaceDN w:val="0"/>
      <w:textAlignment w:val="baseline"/>
    </w:pPr>
    <w:rPr>
      <w:rFonts w:ascii="DejaVu Sans" w:eastAsiaTheme="minorEastAsia" w:hAnsi="DejaVu Sans" w:cstheme="minorBidi"/>
      <w:kern w:val="3"/>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3EAF"/>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253EAF"/>
    <w:pPr>
      <w:widowControl w:val="0"/>
      <w:tabs>
        <w:tab w:val="left" w:pos="3310"/>
        <w:tab w:val="left" w:pos="3600"/>
      </w:tabs>
      <w:suppressAutoHyphens/>
    </w:pPr>
    <w:rPr>
      <w:rFonts w:ascii="Courier New" w:hAnsi="Courier New" w:cs="Courier New"/>
      <w:b/>
      <w:bCs/>
      <w:sz w:val="24"/>
      <w:szCs w:val="24"/>
    </w:rPr>
  </w:style>
  <w:style w:type="paragraph" w:customStyle="1" w:styleId="Basis">
    <w:name w:val="Basis"/>
    <w:basedOn w:val="Standaard"/>
    <w:rsid w:val="00DA3453"/>
    <w:pPr>
      <w:autoSpaceDN w:val="0"/>
      <w:textAlignment w:val="baseline"/>
    </w:pPr>
    <w:rPr>
      <w:rFonts w:ascii="DejaVu Sans" w:eastAsiaTheme="minorEastAsia" w:hAnsi="DejaVu Sans" w:cstheme="minorBidi"/>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475</ap:Words>
  <ap:Characters>2616</ap:Characters>
  <ap:DocSecurity>4</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2015-09-25T11:46:00.0000000Z</dcterms:created>
  <dcterms:modified xsi:type="dcterms:W3CDTF">2015-09-25T11:46:00.0000000Z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0x01010055FA9704FB00984BBE97230966B25D48</vt:lpwstr>
  </property>
</Properties>
</file>