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554A" w:rsidR="00D1223D" w:rsidP="00B041ED" w:rsidRDefault="00D1223D">
      <w:pPr>
        <w:jc w:val="both"/>
        <w:rPr>
          <w:rFonts w:ascii="Times New Roman" w:hAnsi="Times New Roman" w:cs="Times New Roman"/>
        </w:rPr>
      </w:pPr>
      <w:r w:rsidRPr="0019554A">
        <w:rPr>
          <w:rFonts w:ascii="Times New Roman" w:hAnsi="Times New Roman" w:cs="Times New Roman"/>
        </w:rPr>
        <w:t>Gespreksnoti</w:t>
      </w:r>
      <w:r w:rsidR="00EB6C8A">
        <w:rPr>
          <w:rFonts w:ascii="Times New Roman" w:hAnsi="Times New Roman" w:cs="Times New Roman"/>
        </w:rPr>
        <w:t>ti</w:t>
      </w:r>
      <w:r w:rsidRPr="0019554A">
        <w:rPr>
          <w:rFonts w:ascii="Times New Roman" w:hAnsi="Times New Roman" w:cs="Times New Roman"/>
        </w:rPr>
        <w:t>e rondetafelgesprek 23 september 2015 met betrekking to</w:t>
      </w:r>
      <w:r w:rsidRPr="0019554A" w:rsidR="007230DB">
        <w:rPr>
          <w:rFonts w:ascii="Times New Roman" w:hAnsi="Times New Roman" w:cs="Times New Roman"/>
        </w:rPr>
        <w:t xml:space="preserve">t </w:t>
      </w:r>
      <w:r w:rsidRPr="0019554A">
        <w:rPr>
          <w:rFonts w:ascii="Times New Roman" w:hAnsi="Times New Roman" w:cs="Times New Roman"/>
        </w:rPr>
        <w:t>de aanpassing van de wijziging van Boek 1 van het Burgerlijk Wetboek en de Faillissementswet teneinde de omvang van de wettelijke gemeenschap van goederen te beperken.</w:t>
      </w:r>
    </w:p>
    <w:p w:rsidRPr="0019554A" w:rsidR="00D1223D" w:rsidP="00B041ED" w:rsidRDefault="00D1223D">
      <w:pPr>
        <w:jc w:val="both"/>
        <w:rPr>
          <w:rFonts w:ascii="Times New Roman" w:hAnsi="Times New Roman" w:cs="Times New Roman"/>
        </w:rPr>
      </w:pPr>
      <w:r w:rsidRPr="0019554A">
        <w:rPr>
          <w:rFonts w:ascii="Times New Roman" w:hAnsi="Times New Roman" w:cs="Times New Roman"/>
        </w:rPr>
        <w:t>Van:</w:t>
      </w:r>
    </w:p>
    <w:p w:rsidRPr="0019554A" w:rsidR="00D1223D" w:rsidP="00B041ED" w:rsidRDefault="007E01DA">
      <w:pPr>
        <w:jc w:val="both"/>
        <w:rPr>
          <w:rFonts w:ascii="Times New Roman" w:hAnsi="Times New Roman" w:cs="Times New Roman"/>
          <w:lang w:val="en-GB"/>
        </w:rPr>
      </w:pPr>
      <w:r>
        <w:rPr>
          <w:rFonts w:ascii="Times New Roman" w:hAnsi="Times New Roman" w:cs="Times New Roman"/>
          <w:lang w:val="en-GB"/>
        </w:rPr>
        <w:t>m</w:t>
      </w:r>
      <w:r w:rsidRPr="0019554A" w:rsidR="00D1223D">
        <w:rPr>
          <w:rFonts w:ascii="Times New Roman" w:hAnsi="Times New Roman" w:cs="Times New Roman"/>
          <w:lang w:val="en-GB"/>
        </w:rPr>
        <w:t>r. A.N. Labohm</w:t>
      </w:r>
      <w:r w:rsidRPr="0019554A" w:rsidR="00B041ED">
        <w:rPr>
          <w:rFonts w:ascii="Times New Roman" w:hAnsi="Times New Roman" w:cs="Times New Roman"/>
          <w:lang w:val="en-GB"/>
        </w:rPr>
        <w:t xml:space="preserve"> &amp; </w:t>
      </w:r>
      <w:r>
        <w:rPr>
          <w:rFonts w:ascii="Times New Roman" w:hAnsi="Times New Roman" w:cs="Times New Roman"/>
          <w:lang w:val="en-GB"/>
        </w:rPr>
        <w:t>p</w:t>
      </w:r>
      <w:r w:rsidRPr="0019554A" w:rsidR="00D1223D">
        <w:rPr>
          <w:rFonts w:ascii="Times New Roman" w:hAnsi="Times New Roman" w:cs="Times New Roman"/>
          <w:lang w:val="en-GB"/>
        </w:rPr>
        <w:t>rof</w:t>
      </w:r>
      <w:r>
        <w:rPr>
          <w:rFonts w:ascii="Times New Roman" w:hAnsi="Times New Roman" w:cs="Times New Roman"/>
          <w:lang w:val="en-GB"/>
        </w:rPr>
        <w:t>.</w:t>
      </w:r>
      <w:r w:rsidRPr="0019554A" w:rsidR="00D1223D">
        <w:rPr>
          <w:rFonts w:ascii="Times New Roman" w:hAnsi="Times New Roman" w:cs="Times New Roman"/>
          <w:lang w:val="en-GB"/>
        </w:rPr>
        <w:t xml:space="preserve"> </w:t>
      </w:r>
      <w:r>
        <w:rPr>
          <w:rFonts w:ascii="Times New Roman" w:hAnsi="Times New Roman" w:cs="Times New Roman"/>
          <w:lang w:val="en-GB"/>
        </w:rPr>
        <w:t>mr. d</w:t>
      </w:r>
      <w:r w:rsidRPr="0019554A" w:rsidR="001B67DC">
        <w:rPr>
          <w:rFonts w:ascii="Times New Roman" w:hAnsi="Times New Roman" w:cs="Times New Roman"/>
          <w:lang w:val="en-GB"/>
        </w:rPr>
        <w:t>r</w:t>
      </w:r>
      <w:r w:rsidRPr="0019554A" w:rsidR="00D1223D">
        <w:rPr>
          <w:rFonts w:ascii="Times New Roman" w:hAnsi="Times New Roman" w:cs="Times New Roman"/>
          <w:lang w:val="en-GB"/>
        </w:rPr>
        <w:t xml:space="preserve">. </w:t>
      </w:r>
      <w:r w:rsidRPr="0019554A" w:rsidR="00B041ED">
        <w:rPr>
          <w:rFonts w:ascii="Times New Roman" w:hAnsi="Times New Roman" w:cs="Times New Roman"/>
          <w:lang w:val="en-GB"/>
        </w:rPr>
        <w:t>A.H.N. Stollenwerck</w:t>
      </w:r>
    </w:p>
    <w:p w:rsidRPr="0019554A" w:rsidR="00B041ED" w:rsidP="00B041ED" w:rsidRDefault="00B041ED">
      <w:pPr>
        <w:jc w:val="both"/>
        <w:rPr>
          <w:rFonts w:ascii="Times New Roman" w:hAnsi="Times New Roman" w:cs="Times New Roman"/>
        </w:rPr>
      </w:pPr>
      <w:r w:rsidRPr="0019554A">
        <w:rPr>
          <w:rFonts w:ascii="Times New Roman" w:hAnsi="Times New Roman" w:cs="Times New Roman"/>
        </w:rPr>
        <w:t>Aan</w:t>
      </w:r>
      <w:r w:rsidRPr="0019554A" w:rsidR="00E37824">
        <w:rPr>
          <w:rFonts w:ascii="Times New Roman" w:hAnsi="Times New Roman" w:cs="Times New Roman"/>
        </w:rPr>
        <w:t xml:space="preserve"> de</w:t>
      </w:r>
      <w:r w:rsidRPr="0019554A">
        <w:rPr>
          <w:rFonts w:ascii="Times New Roman" w:hAnsi="Times New Roman" w:cs="Times New Roman"/>
        </w:rPr>
        <w:t>:</w:t>
      </w:r>
    </w:p>
    <w:p w:rsidRPr="0019554A" w:rsidR="00D1223D" w:rsidP="00B041ED" w:rsidRDefault="00B041ED">
      <w:pPr>
        <w:jc w:val="both"/>
        <w:rPr>
          <w:rFonts w:ascii="Times New Roman" w:hAnsi="Times New Roman" w:cs="Times New Roman"/>
        </w:rPr>
      </w:pPr>
      <w:r w:rsidRPr="0019554A">
        <w:rPr>
          <w:rFonts w:ascii="Times New Roman" w:hAnsi="Times New Roman" w:cs="Times New Roman"/>
        </w:rPr>
        <w:t>Vast</w:t>
      </w:r>
      <w:r w:rsidRPr="0019554A" w:rsidR="00E37824">
        <w:rPr>
          <w:rFonts w:ascii="Times New Roman" w:hAnsi="Times New Roman" w:cs="Times New Roman"/>
        </w:rPr>
        <w:t>e</w:t>
      </w:r>
      <w:r w:rsidRPr="0019554A">
        <w:rPr>
          <w:rFonts w:ascii="Times New Roman" w:hAnsi="Times New Roman" w:cs="Times New Roman"/>
        </w:rPr>
        <w:t xml:space="preserve"> commissie voor Veiligheid en Justitie van de Tweede Kamer </w:t>
      </w:r>
      <w:r w:rsidR="009072C1">
        <w:rPr>
          <w:rFonts w:ascii="Times New Roman" w:hAnsi="Times New Roman" w:cs="Times New Roman"/>
        </w:rPr>
        <w:t>d</w:t>
      </w:r>
      <w:r w:rsidRPr="0019554A">
        <w:rPr>
          <w:rFonts w:ascii="Times New Roman" w:hAnsi="Times New Roman" w:cs="Times New Roman"/>
        </w:rPr>
        <w:t>er Staten–Generaal.</w:t>
      </w:r>
    </w:p>
    <w:p w:rsidRPr="0019554A" w:rsidR="00D1223D" w:rsidP="00FD061E" w:rsidRDefault="00D1223D">
      <w:pPr>
        <w:jc w:val="center"/>
        <w:rPr>
          <w:rFonts w:ascii="Times New Roman" w:hAnsi="Times New Roman" w:cs="Times New Roman"/>
        </w:rPr>
      </w:pPr>
    </w:p>
    <w:p w:rsidRPr="0019554A" w:rsidR="00BE0FB0" w:rsidP="00FD061E" w:rsidRDefault="00FD061E">
      <w:pPr>
        <w:jc w:val="center"/>
        <w:rPr>
          <w:rFonts w:ascii="Times New Roman" w:hAnsi="Times New Roman" w:cs="Times New Roman"/>
          <w:i/>
        </w:rPr>
      </w:pPr>
      <w:r w:rsidRPr="0019554A">
        <w:rPr>
          <w:rFonts w:ascii="Times New Roman" w:hAnsi="Times New Roman" w:cs="Times New Roman"/>
          <w:i/>
        </w:rPr>
        <w:t>De aanpassing van de wettelijke gemeenschap van goederen gezien door de bril van de rechter.</w:t>
      </w:r>
    </w:p>
    <w:p w:rsidRPr="0019554A" w:rsidR="00FD061E" w:rsidP="00D1223D" w:rsidRDefault="00D1223D">
      <w:pPr>
        <w:jc w:val="both"/>
        <w:rPr>
          <w:rFonts w:ascii="Times New Roman" w:hAnsi="Times New Roman" w:cs="Times New Roman"/>
        </w:rPr>
      </w:pPr>
      <w:r w:rsidRPr="0019554A">
        <w:rPr>
          <w:rFonts w:ascii="Times New Roman" w:hAnsi="Times New Roman" w:cs="Times New Roman"/>
          <w:i/>
        </w:rPr>
        <w:t>I</w:t>
      </w:r>
      <w:r w:rsidRPr="0019554A" w:rsidR="00FD061E">
        <w:rPr>
          <w:rFonts w:ascii="Times New Roman" w:hAnsi="Times New Roman" w:cs="Times New Roman"/>
          <w:i/>
        </w:rPr>
        <w:t>nl</w:t>
      </w:r>
      <w:r w:rsidRPr="007E01DA" w:rsidR="00FD061E">
        <w:rPr>
          <w:rFonts w:ascii="Times New Roman" w:hAnsi="Times New Roman" w:cs="Times New Roman"/>
          <w:i/>
        </w:rPr>
        <w:t>eiding</w:t>
      </w:r>
    </w:p>
    <w:p w:rsidRPr="0019554A" w:rsidR="00FD061E" w:rsidP="00D1223D" w:rsidRDefault="00FD061E">
      <w:pPr>
        <w:jc w:val="both"/>
        <w:rPr>
          <w:rFonts w:ascii="Times New Roman" w:hAnsi="Times New Roman" w:cs="Times New Roman"/>
        </w:rPr>
      </w:pPr>
      <w:r w:rsidRPr="0019554A">
        <w:rPr>
          <w:rFonts w:ascii="Times New Roman" w:hAnsi="Times New Roman" w:cs="Times New Roman"/>
        </w:rPr>
        <w:t xml:space="preserve">Het Nederlandse stelsel van de wettelijke gemeenschap van goederen past niet meer in de huidige tijd. De lotsverbondenheid die een vermogensvermenging rechtvaardigt vangt aan bij het </w:t>
      </w:r>
      <w:r w:rsidRPr="0019554A" w:rsidR="001B67DC">
        <w:rPr>
          <w:rFonts w:ascii="Times New Roman" w:hAnsi="Times New Roman" w:cs="Times New Roman"/>
        </w:rPr>
        <w:t>huwelijk</w:t>
      </w:r>
      <w:r w:rsidRPr="0019554A">
        <w:rPr>
          <w:rFonts w:ascii="Times New Roman" w:hAnsi="Times New Roman" w:cs="Times New Roman"/>
        </w:rPr>
        <w:t xml:space="preserve">. Door de nota van wijziging van 20 augustus 2015 (aanpassing art 1:94 BW) heeft de </w:t>
      </w:r>
      <w:r w:rsidRPr="0019554A" w:rsidR="007230DB">
        <w:rPr>
          <w:rFonts w:ascii="Times New Roman" w:hAnsi="Times New Roman" w:cs="Times New Roman"/>
        </w:rPr>
        <w:t xml:space="preserve">ontwerper </w:t>
      </w:r>
      <w:r w:rsidRPr="0019554A">
        <w:rPr>
          <w:rFonts w:ascii="Times New Roman" w:hAnsi="Times New Roman" w:cs="Times New Roman"/>
        </w:rPr>
        <w:t xml:space="preserve"> een deugdelijk</w:t>
      </w:r>
      <w:r w:rsidR="00EB6C8A">
        <w:rPr>
          <w:rFonts w:ascii="Times New Roman" w:hAnsi="Times New Roman" w:cs="Times New Roman"/>
        </w:rPr>
        <w:t>e</w:t>
      </w:r>
      <w:r w:rsidRPr="0019554A">
        <w:rPr>
          <w:rFonts w:ascii="Times New Roman" w:hAnsi="Times New Roman" w:cs="Times New Roman"/>
        </w:rPr>
        <w:t xml:space="preserve"> grondslag gegeven voor de omvang </w:t>
      </w:r>
      <w:r w:rsidRPr="0019554A" w:rsidR="007230DB">
        <w:rPr>
          <w:rFonts w:ascii="Times New Roman" w:hAnsi="Times New Roman" w:cs="Times New Roman"/>
        </w:rPr>
        <w:t xml:space="preserve">en samenstelling </w:t>
      </w:r>
      <w:r w:rsidRPr="0019554A">
        <w:rPr>
          <w:rFonts w:ascii="Times New Roman" w:hAnsi="Times New Roman" w:cs="Times New Roman"/>
        </w:rPr>
        <w:t xml:space="preserve">van de wettelijke gemeenschap van goederen. </w:t>
      </w:r>
      <w:r w:rsidRPr="0019554A" w:rsidR="003E51C7">
        <w:rPr>
          <w:rFonts w:ascii="Times New Roman" w:hAnsi="Times New Roman" w:cs="Times New Roman"/>
        </w:rPr>
        <w:t>Dat erfrechtelijke verkrijgingen en schenkingen niet in de wettelijke gemeenschap vallen achten wij even</w:t>
      </w:r>
      <w:r w:rsidR="00EB6C8A">
        <w:rPr>
          <w:rFonts w:ascii="Times New Roman" w:hAnsi="Times New Roman" w:cs="Times New Roman"/>
        </w:rPr>
        <w:t>eens</w:t>
      </w:r>
      <w:r w:rsidRPr="0019554A" w:rsidR="003E51C7">
        <w:rPr>
          <w:rFonts w:ascii="Times New Roman" w:hAnsi="Times New Roman" w:cs="Times New Roman"/>
        </w:rPr>
        <w:t xml:space="preserve"> juist. Door het </w:t>
      </w:r>
      <w:r w:rsidRPr="0019554A" w:rsidR="00E37824">
        <w:rPr>
          <w:rFonts w:ascii="Times New Roman" w:hAnsi="Times New Roman" w:cs="Times New Roman"/>
        </w:rPr>
        <w:t xml:space="preserve">sluiten van een </w:t>
      </w:r>
      <w:r w:rsidRPr="0019554A" w:rsidR="003E51C7">
        <w:rPr>
          <w:rFonts w:ascii="Times New Roman" w:hAnsi="Times New Roman" w:cs="Times New Roman"/>
        </w:rPr>
        <w:t xml:space="preserve">huwelijk of geregistreerd partnerschap is er in beginsel geen rechtvaardiging aan te geven waarom de ene echtgenoot een aanspraak dient te krijgen op het vermogen dat afkomstig is van zijn schoonouders. </w:t>
      </w:r>
      <w:r w:rsidRPr="0019554A" w:rsidR="007230DB">
        <w:rPr>
          <w:rFonts w:ascii="Times New Roman" w:hAnsi="Times New Roman" w:cs="Times New Roman"/>
        </w:rPr>
        <w:t xml:space="preserve">Als deze beide partners hadden willen bedenken, hadden ze </w:t>
      </w:r>
      <w:r w:rsidRPr="0019554A" w:rsidR="00867FB3">
        <w:rPr>
          <w:rFonts w:ascii="Times New Roman" w:hAnsi="Times New Roman" w:cs="Times New Roman"/>
        </w:rPr>
        <w:t xml:space="preserve">eenvoudigweg </w:t>
      </w:r>
      <w:r w:rsidRPr="0019554A" w:rsidR="007230DB">
        <w:rPr>
          <w:rFonts w:ascii="Times New Roman" w:hAnsi="Times New Roman" w:cs="Times New Roman"/>
        </w:rPr>
        <w:t xml:space="preserve">aan beiden kunnen schenken en/of </w:t>
      </w:r>
      <w:r w:rsidRPr="0019554A" w:rsidR="001B67DC">
        <w:rPr>
          <w:rFonts w:ascii="Times New Roman" w:hAnsi="Times New Roman" w:cs="Times New Roman"/>
        </w:rPr>
        <w:t>vermaken. In</w:t>
      </w:r>
      <w:r w:rsidRPr="0019554A" w:rsidR="003E51C7">
        <w:rPr>
          <w:rFonts w:ascii="Times New Roman" w:hAnsi="Times New Roman" w:cs="Times New Roman"/>
        </w:rPr>
        <w:t xml:space="preserve"> de zittingszaal nemen wij waar – met name</w:t>
      </w:r>
      <w:r w:rsidR="007E01DA">
        <w:rPr>
          <w:rFonts w:ascii="Times New Roman" w:hAnsi="Times New Roman" w:cs="Times New Roman"/>
        </w:rPr>
        <w:t xml:space="preserve"> in echtscheidingsprocedures -  d</w:t>
      </w:r>
      <w:r w:rsidRPr="0019554A" w:rsidR="003E51C7">
        <w:rPr>
          <w:rFonts w:ascii="Times New Roman" w:hAnsi="Times New Roman" w:cs="Times New Roman"/>
        </w:rPr>
        <w:t xml:space="preserve">at schenkingen en erfrechtelijke verkrijgingen een bron van conflict </w:t>
      </w:r>
      <w:r w:rsidRPr="0019554A" w:rsidR="007230DB">
        <w:rPr>
          <w:rFonts w:ascii="Times New Roman" w:hAnsi="Times New Roman" w:cs="Times New Roman"/>
        </w:rPr>
        <w:t>zijn</w:t>
      </w:r>
      <w:r w:rsidRPr="0019554A" w:rsidR="003E51C7">
        <w:rPr>
          <w:rFonts w:ascii="Times New Roman" w:hAnsi="Times New Roman" w:cs="Times New Roman"/>
        </w:rPr>
        <w:t>. De verkrijger acht het veelal niet redelijk dat hij</w:t>
      </w:r>
      <w:r w:rsidRPr="0019554A" w:rsidR="00E37824">
        <w:rPr>
          <w:rFonts w:ascii="Times New Roman" w:hAnsi="Times New Roman" w:cs="Times New Roman"/>
        </w:rPr>
        <w:t>/zij</w:t>
      </w:r>
      <w:r w:rsidRPr="0019554A" w:rsidR="003E51C7">
        <w:rPr>
          <w:rFonts w:ascii="Times New Roman" w:hAnsi="Times New Roman" w:cs="Times New Roman"/>
        </w:rPr>
        <w:t xml:space="preserve"> een schenking of erfrechtelijke verkrijging moet delen met zijn ex</w:t>
      </w:r>
      <w:r w:rsidRPr="0019554A" w:rsidR="00E37824">
        <w:rPr>
          <w:rFonts w:ascii="Times New Roman" w:hAnsi="Times New Roman" w:cs="Times New Roman"/>
        </w:rPr>
        <w:t>-</w:t>
      </w:r>
      <w:r w:rsidRPr="0019554A" w:rsidR="003E51C7">
        <w:rPr>
          <w:rFonts w:ascii="Times New Roman" w:hAnsi="Times New Roman" w:cs="Times New Roman"/>
        </w:rPr>
        <w:t>echtgenoot. Van</w:t>
      </w:r>
      <w:r w:rsidR="007E01DA">
        <w:rPr>
          <w:rFonts w:ascii="Times New Roman" w:hAnsi="Times New Roman" w:cs="Times New Roman"/>
        </w:rPr>
        <w:t>uit een Europeesrechtelijke blik</w:t>
      </w:r>
      <w:r w:rsidRPr="0019554A" w:rsidR="003E51C7">
        <w:rPr>
          <w:rFonts w:ascii="Times New Roman" w:hAnsi="Times New Roman" w:cs="Times New Roman"/>
        </w:rPr>
        <w:t xml:space="preserve"> bezien past het nieuwe stelsel beter binnen het “Europeesrechtelijke huwelijksvermogensrecht”. Het nieuwe stelsel is in Europa beter uit te leggen dan het huidige stelsel dat als een magneet alle goederen en schulden aantrekt. </w:t>
      </w:r>
      <w:r w:rsidRPr="0019554A" w:rsidR="00FB3AD7">
        <w:rPr>
          <w:rFonts w:ascii="Times New Roman" w:hAnsi="Times New Roman" w:cs="Times New Roman"/>
        </w:rPr>
        <w:t xml:space="preserve">De </w:t>
      </w:r>
      <w:r w:rsidRPr="0019554A" w:rsidR="007230DB">
        <w:rPr>
          <w:rFonts w:ascii="Times New Roman" w:hAnsi="Times New Roman" w:cs="Times New Roman"/>
        </w:rPr>
        <w:t xml:space="preserve">buitenlandse </w:t>
      </w:r>
      <w:r w:rsidRPr="0019554A" w:rsidR="001B67DC">
        <w:rPr>
          <w:rFonts w:ascii="Times New Roman" w:hAnsi="Times New Roman" w:cs="Times New Roman"/>
        </w:rPr>
        <w:t xml:space="preserve">erflater </w:t>
      </w:r>
      <w:r w:rsidRPr="0019554A" w:rsidR="00FB3AD7">
        <w:rPr>
          <w:rFonts w:ascii="Times New Roman" w:hAnsi="Times New Roman" w:cs="Times New Roman"/>
        </w:rPr>
        <w:t xml:space="preserve">is zich </w:t>
      </w:r>
      <w:r w:rsidRPr="0019554A" w:rsidR="007230DB">
        <w:rPr>
          <w:rFonts w:ascii="Times New Roman" w:hAnsi="Times New Roman" w:cs="Times New Roman"/>
        </w:rPr>
        <w:t xml:space="preserve">veelal </w:t>
      </w:r>
      <w:r w:rsidRPr="0019554A" w:rsidR="00FB3AD7">
        <w:rPr>
          <w:rFonts w:ascii="Times New Roman" w:hAnsi="Times New Roman" w:cs="Times New Roman"/>
        </w:rPr>
        <w:t xml:space="preserve">niet bewust van deze magneetfunctie van de wettelijke gemeenschap van goederen. </w:t>
      </w:r>
      <w:r w:rsidRPr="0019554A" w:rsidR="00867FB3">
        <w:rPr>
          <w:rFonts w:ascii="Times New Roman" w:hAnsi="Times New Roman" w:cs="Times New Roman"/>
        </w:rPr>
        <w:t xml:space="preserve">In veel landen vallen erfrechtelijke verkrijgingen en schenkingen van rechtswege niet in enige gemeenschap van </w:t>
      </w:r>
      <w:r w:rsidRPr="0019554A" w:rsidR="001B67DC">
        <w:rPr>
          <w:rFonts w:ascii="Times New Roman" w:hAnsi="Times New Roman" w:cs="Times New Roman"/>
        </w:rPr>
        <w:t>goederen. De</w:t>
      </w:r>
      <w:r w:rsidRPr="0019554A" w:rsidR="00867FB3">
        <w:rPr>
          <w:rFonts w:ascii="Times New Roman" w:hAnsi="Times New Roman" w:cs="Times New Roman"/>
        </w:rPr>
        <w:t xml:space="preserve"> buitenlandse erflater is dan ook niet bedacht op het moeten maken van een </w:t>
      </w:r>
      <w:r w:rsidRPr="0019554A" w:rsidR="001B67DC">
        <w:rPr>
          <w:rFonts w:ascii="Times New Roman" w:hAnsi="Times New Roman" w:cs="Times New Roman"/>
        </w:rPr>
        <w:t>uitsluitingsclausule. Het</w:t>
      </w:r>
      <w:r w:rsidRPr="0019554A" w:rsidR="00FB3AD7">
        <w:rPr>
          <w:rFonts w:ascii="Times New Roman" w:hAnsi="Times New Roman" w:cs="Times New Roman"/>
        </w:rPr>
        <w:t xml:space="preserve"> nieuwe stelsel </w:t>
      </w:r>
      <w:r w:rsidRPr="0019554A" w:rsidR="00867FB3">
        <w:rPr>
          <w:rFonts w:ascii="Times New Roman" w:hAnsi="Times New Roman" w:cs="Times New Roman"/>
        </w:rPr>
        <w:t>lijkt niet</w:t>
      </w:r>
      <w:r w:rsidRPr="0019554A" w:rsidR="00FB3AD7">
        <w:rPr>
          <w:rFonts w:ascii="Times New Roman" w:hAnsi="Times New Roman" w:cs="Times New Roman"/>
        </w:rPr>
        <w:t xml:space="preserve"> </w:t>
      </w:r>
      <w:r w:rsidRPr="0019554A" w:rsidR="00867FB3">
        <w:rPr>
          <w:rFonts w:ascii="Times New Roman" w:hAnsi="Times New Roman" w:cs="Times New Roman"/>
        </w:rPr>
        <w:t xml:space="preserve">tot </w:t>
      </w:r>
      <w:r w:rsidRPr="0019554A" w:rsidR="00FB3AD7">
        <w:rPr>
          <w:rFonts w:ascii="Times New Roman" w:hAnsi="Times New Roman" w:cs="Times New Roman"/>
        </w:rPr>
        <w:t>extra werkdruk voor de rechter</w:t>
      </w:r>
      <w:r w:rsidRPr="0019554A" w:rsidR="00867FB3">
        <w:rPr>
          <w:rFonts w:ascii="Times New Roman" w:hAnsi="Times New Roman" w:cs="Times New Roman"/>
        </w:rPr>
        <w:t xml:space="preserve"> te leiden gezien de ervaringen in de ons omringende landen, die allen een beperkte gemeenschap – alleen het vermogen staande huwelijk valt in de huwelijksgemeenschap</w:t>
      </w:r>
      <w:r w:rsidR="00EB6C8A">
        <w:rPr>
          <w:rFonts w:ascii="Times New Roman" w:hAnsi="Times New Roman" w:cs="Times New Roman"/>
        </w:rPr>
        <w:t xml:space="preserve"> - </w:t>
      </w:r>
      <w:r w:rsidRPr="0019554A" w:rsidR="00867FB3">
        <w:rPr>
          <w:rFonts w:ascii="Times New Roman" w:hAnsi="Times New Roman" w:cs="Times New Roman"/>
        </w:rPr>
        <w:t xml:space="preserve"> kennen</w:t>
      </w:r>
      <w:r w:rsidRPr="0019554A" w:rsidR="00FB3AD7">
        <w:rPr>
          <w:rFonts w:ascii="Times New Roman" w:hAnsi="Times New Roman" w:cs="Times New Roman"/>
        </w:rPr>
        <w:t xml:space="preserve">. Ook het overgangsrecht is helder en leidt niet tot extra complicaties. </w:t>
      </w:r>
    </w:p>
    <w:p w:rsidRPr="0019554A" w:rsidR="00FB3AD7" w:rsidP="00D1223D" w:rsidRDefault="00FB3AD7">
      <w:pPr>
        <w:jc w:val="both"/>
        <w:rPr>
          <w:rFonts w:ascii="Times New Roman" w:hAnsi="Times New Roman" w:cs="Times New Roman"/>
          <w:i/>
        </w:rPr>
      </w:pPr>
      <w:r w:rsidRPr="0019554A">
        <w:rPr>
          <w:rFonts w:ascii="Times New Roman" w:hAnsi="Times New Roman" w:cs="Times New Roman"/>
          <w:i/>
        </w:rPr>
        <w:t>Voorhuwelijksvermogen</w:t>
      </w:r>
    </w:p>
    <w:p w:rsidRPr="0019554A" w:rsidR="00FB3AD7" w:rsidP="00D1223D" w:rsidRDefault="00FB3AD7">
      <w:pPr>
        <w:jc w:val="both"/>
        <w:rPr>
          <w:rFonts w:ascii="Times New Roman" w:hAnsi="Times New Roman" w:cs="Times New Roman"/>
        </w:rPr>
      </w:pPr>
      <w:r w:rsidRPr="0019554A">
        <w:rPr>
          <w:rFonts w:ascii="Times New Roman" w:hAnsi="Times New Roman" w:cs="Times New Roman"/>
        </w:rPr>
        <w:t>De aanpassing van de wettekst</w:t>
      </w:r>
      <w:r w:rsidRPr="0019554A" w:rsidR="00E37824">
        <w:rPr>
          <w:rFonts w:ascii="Times New Roman" w:hAnsi="Times New Roman" w:cs="Times New Roman"/>
        </w:rPr>
        <w:t xml:space="preserve"> - </w:t>
      </w:r>
      <w:r w:rsidRPr="0019554A">
        <w:rPr>
          <w:rFonts w:ascii="Times New Roman" w:hAnsi="Times New Roman" w:cs="Times New Roman"/>
        </w:rPr>
        <w:t>dat ook de goederen van de echtgenoten die zij in mede</w:t>
      </w:r>
      <w:r w:rsidRPr="0019554A" w:rsidR="00E37824">
        <w:rPr>
          <w:rFonts w:ascii="Times New Roman" w:hAnsi="Times New Roman" w:cs="Times New Roman"/>
        </w:rPr>
        <w:t>-</w:t>
      </w:r>
      <w:r w:rsidRPr="0019554A">
        <w:rPr>
          <w:rFonts w:ascii="Times New Roman" w:hAnsi="Times New Roman" w:cs="Times New Roman"/>
        </w:rPr>
        <w:t>eigendom hadden in de periode dat zij samenwo</w:t>
      </w:r>
      <w:r w:rsidR="00FF5953">
        <w:rPr>
          <w:rFonts w:ascii="Times New Roman" w:hAnsi="Times New Roman" w:cs="Times New Roman"/>
        </w:rPr>
        <w:t>onden</w:t>
      </w:r>
      <w:r w:rsidRPr="0019554A">
        <w:rPr>
          <w:rFonts w:ascii="Times New Roman" w:hAnsi="Times New Roman" w:cs="Times New Roman"/>
        </w:rPr>
        <w:t xml:space="preserve"> in de gemeenschap vallen</w:t>
      </w:r>
      <w:r w:rsidRPr="0019554A" w:rsidR="00E37824">
        <w:rPr>
          <w:rFonts w:ascii="Times New Roman" w:hAnsi="Times New Roman" w:cs="Times New Roman"/>
        </w:rPr>
        <w:t xml:space="preserve"> -</w:t>
      </w:r>
      <w:r w:rsidRPr="0019554A">
        <w:rPr>
          <w:rFonts w:ascii="Times New Roman" w:hAnsi="Times New Roman" w:cs="Times New Roman"/>
        </w:rPr>
        <w:t xml:space="preserve"> is pragmatisch. </w:t>
      </w:r>
      <w:r w:rsidRPr="0019554A" w:rsidR="00A30326">
        <w:rPr>
          <w:rFonts w:ascii="Times New Roman" w:hAnsi="Times New Roman" w:cs="Times New Roman"/>
        </w:rPr>
        <w:t xml:space="preserve">Het feit dat dit eveneens geldt voor goederen waarvan de aandelen in het goed ongelijk </w:t>
      </w:r>
      <w:r w:rsidRPr="0019554A" w:rsidR="00E37824">
        <w:rPr>
          <w:rFonts w:ascii="Times New Roman" w:hAnsi="Times New Roman" w:cs="Times New Roman"/>
        </w:rPr>
        <w:t>zijn</w:t>
      </w:r>
      <w:r w:rsidRPr="0019554A" w:rsidR="00A30326">
        <w:rPr>
          <w:rFonts w:ascii="Times New Roman" w:hAnsi="Times New Roman" w:cs="Times New Roman"/>
        </w:rPr>
        <w:t>, is</w:t>
      </w:r>
      <w:r w:rsidR="0019554A">
        <w:rPr>
          <w:rFonts w:ascii="Times New Roman" w:hAnsi="Times New Roman" w:cs="Times New Roman"/>
        </w:rPr>
        <w:t xml:space="preserve"> een</w:t>
      </w:r>
      <w:r w:rsidRPr="0019554A" w:rsidR="00A30326">
        <w:rPr>
          <w:rFonts w:ascii="Times New Roman" w:hAnsi="Times New Roman" w:cs="Times New Roman"/>
        </w:rPr>
        <w:t xml:space="preserve"> aandachtspunt. Wij verwachten niet dat dit in de praktijk tot </w:t>
      </w:r>
      <w:r w:rsidRPr="0019554A" w:rsidR="00867FB3">
        <w:rPr>
          <w:rFonts w:ascii="Times New Roman" w:hAnsi="Times New Roman" w:cs="Times New Roman"/>
        </w:rPr>
        <w:t xml:space="preserve">grote </w:t>
      </w:r>
      <w:r w:rsidRPr="0019554A" w:rsidR="00A30326">
        <w:rPr>
          <w:rFonts w:ascii="Times New Roman" w:hAnsi="Times New Roman" w:cs="Times New Roman"/>
        </w:rPr>
        <w:t>problemen aanleiding zal geven. Wanneer er sprake is van aanzienlijke vermogens worden partijen veelal geadviseerd. Dat voor</w:t>
      </w:r>
      <w:r w:rsidRPr="0019554A" w:rsidR="005442D4">
        <w:rPr>
          <w:rFonts w:ascii="Times New Roman" w:hAnsi="Times New Roman" w:cs="Times New Roman"/>
        </w:rPr>
        <w:t>-</w:t>
      </w:r>
      <w:r w:rsidRPr="0019554A" w:rsidR="00A30326">
        <w:rPr>
          <w:rFonts w:ascii="Times New Roman" w:hAnsi="Times New Roman" w:cs="Times New Roman"/>
        </w:rPr>
        <w:t xml:space="preserve"> huwelijkse schulden niet meer in de wettelijke gemeenschap vallen beschouwen wij als een groot voordeel. De schuldproblematiek van veel mensen is een onderbelicht onderwerp en behoeft aandacht. De boedels die het meest complex zijn in de afwikkeling zijn de boedels die onder water staan, waaronder wij verstaan dat de passiva groter zijn dan de activa.</w:t>
      </w:r>
    </w:p>
    <w:p w:rsidRPr="0019554A" w:rsidR="00A30326" w:rsidP="00D1223D" w:rsidRDefault="00A30326">
      <w:pPr>
        <w:jc w:val="both"/>
        <w:rPr>
          <w:rFonts w:ascii="Times New Roman" w:hAnsi="Times New Roman" w:cs="Times New Roman"/>
        </w:rPr>
      </w:pPr>
      <w:r w:rsidRPr="0019554A">
        <w:rPr>
          <w:rFonts w:ascii="Times New Roman" w:hAnsi="Times New Roman" w:cs="Times New Roman"/>
        </w:rPr>
        <w:lastRenderedPageBreak/>
        <w:t xml:space="preserve">Om te bewijzen dat een goed niet in de gemeenschap valt </w:t>
      </w:r>
      <w:r w:rsidRPr="0019554A" w:rsidR="00707147">
        <w:rPr>
          <w:rFonts w:ascii="Times New Roman" w:hAnsi="Times New Roman" w:cs="Times New Roman"/>
        </w:rPr>
        <w:t>dient een deugdelijke administratie te worden bijgehouden. Dit is niets nieuws onder de zon</w:t>
      </w:r>
      <w:r w:rsidRPr="0019554A" w:rsidR="00E37824">
        <w:rPr>
          <w:rFonts w:ascii="Times New Roman" w:hAnsi="Times New Roman" w:cs="Times New Roman"/>
        </w:rPr>
        <w:t>,</w:t>
      </w:r>
      <w:r w:rsidRPr="0019554A" w:rsidR="00707147">
        <w:rPr>
          <w:rFonts w:ascii="Times New Roman" w:hAnsi="Times New Roman" w:cs="Times New Roman"/>
        </w:rPr>
        <w:t xml:space="preserve"> dat geldt ook voor het huidige recht indien partijen goederen onder een uitsluitingsclausule verkrijgen. Het is de verantwoordelijkheid van partijen zelf om hun vermogens goed te administreren. </w:t>
      </w:r>
      <w:r w:rsidRPr="0019554A" w:rsidR="005442D4">
        <w:rPr>
          <w:rFonts w:ascii="Times New Roman" w:hAnsi="Times New Roman" w:cs="Times New Roman"/>
        </w:rPr>
        <w:t xml:space="preserve">Het komt ook nu regelmatig voor dat een van partijen niet slaagt in de bewijslast dat een goed privé is. Evenals op grond van de huidige wet, wordt dat goed </w:t>
      </w:r>
      <w:r w:rsidRPr="0019554A" w:rsidR="00DE00B8">
        <w:rPr>
          <w:rFonts w:ascii="Times New Roman" w:hAnsi="Times New Roman" w:cs="Times New Roman"/>
        </w:rPr>
        <w:t xml:space="preserve">in het initiatiefwetsvoorstel </w:t>
      </w:r>
      <w:r w:rsidRPr="0019554A" w:rsidR="005442D4">
        <w:rPr>
          <w:rFonts w:ascii="Times New Roman" w:hAnsi="Times New Roman" w:cs="Times New Roman"/>
        </w:rPr>
        <w:t xml:space="preserve">als gemeenschapsgoed aangemerkt zowel in de onderlinge verhouding van de </w:t>
      </w:r>
      <w:r w:rsidR="007E01DA">
        <w:rPr>
          <w:rFonts w:ascii="Times New Roman" w:hAnsi="Times New Roman" w:cs="Times New Roman"/>
        </w:rPr>
        <w:br/>
      </w:r>
      <w:r w:rsidRPr="0019554A" w:rsidR="005442D4">
        <w:rPr>
          <w:rFonts w:ascii="Times New Roman" w:hAnsi="Times New Roman" w:cs="Times New Roman"/>
        </w:rPr>
        <w:t>(ex</w:t>
      </w:r>
      <w:r w:rsidR="003D1603">
        <w:rPr>
          <w:rFonts w:ascii="Times New Roman" w:hAnsi="Times New Roman" w:cs="Times New Roman"/>
        </w:rPr>
        <w:t>-</w:t>
      </w:r>
      <w:r w:rsidRPr="0019554A" w:rsidR="005442D4">
        <w:rPr>
          <w:rFonts w:ascii="Times New Roman" w:hAnsi="Times New Roman" w:cs="Times New Roman"/>
        </w:rPr>
        <w:t xml:space="preserve">)echtgenoten maar ook ten opzichte van de crediteuren. </w:t>
      </w:r>
      <w:r w:rsidRPr="0019554A" w:rsidR="00707147">
        <w:rPr>
          <w:rFonts w:ascii="Times New Roman" w:hAnsi="Times New Roman" w:cs="Times New Roman"/>
        </w:rPr>
        <w:t>De overheid kan wel voorlichting geven over de omvang van het wettelijk stelsel door</w:t>
      </w:r>
      <w:r w:rsidRPr="0019554A" w:rsidR="005442D4">
        <w:rPr>
          <w:rFonts w:ascii="Times New Roman" w:hAnsi="Times New Roman" w:cs="Times New Roman"/>
        </w:rPr>
        <w:t xml:space="preserve"> </w:t>
      </w:r>
      <w:r w:rsidRPr="0019554A" w:rsidR="00707147">
        <w:rPr>
          <w:rFonts w:ascii="Times New Roman" w:hAnsi="Times New Roman" w:cs="Times New Roman"/>
        </w:rPr>
        <w:t>middel van voorlichting op internet in de vorm van een gesproken verhaal of een vraag</w:t>
      </w:r>
      <w:r w:rsidR="003D1603">
        <w:rPr>
          <w:rFonts w:ascii="Times New Roman" w:hAnsi="Times New Roman" w:cs="Times New Roman"/>
        </w:rPr>
        <w:t>-</w:t>
      </w:r>
      <w:r w:rsidRPr="0019554A" w:rsidR="00707147">
        <w:rPr>
          <w:rFonts w:ascii="Times New Roman" w:hAnsi="Times New Roman" w:cs="Times New Roman"/>
        </w:rPr>
        <w:t xml:space="preserve"> en antwoordspel. Ook kan er een folder worden uitgegeven. </w:t>
      </w:r>
    </w:p>
    <w:p w:rsidRPr="0019554A" w:rsidR="00707147" w:rsidP="00D1223D" w:rsidRDefault="00707147">
      <w:pPr>
        <w:jc w:val="both"/>
        <w:rPr>
          <w:rFonts w:ascii="Times New Roman" w:hAnsi="Times New Roman" w:cs="Times New Roman"/>
        </w:rPr>
      </w:pPr>
      <w:r w:rsidRPr="0019554A">
        <w:rPr>
          <w:rFonts w:ascii="Times New Roman" w:hAnsi="Times New Roman" w:cs="Times New Roman"/>
        </w:rPr>
        <w:t xml:space="preserve">Zoals wij in de inleiding al hebben gesteld vinden wij </w:t>
      </w:r>
      <w:r w:rsidR="003D1603">
        <w:rPr>
          <w:rFonts w:ascii="Times New Roman" w:hAnsi="Times New Roman" w:cs="Times New Roman"/>
        </w:rPr>
        <w:t>het in het huidige tijdsbeeld passen wanneer</w:t>
      </w:r>
      <w:r w:rsidRPr="0019554A">
        <w:rPr>
          <w:rFonts w:ascii="Times New Roman" w:hAnsi="Times New Roman" w:cs="Times New Roman"/>
        </w:rPr>
        <w:t xml:space="preserve"> schenking</w:t>
      </w:r>
      <w:r w:rsidRPr="0019554A" w:rsidR="00E37824">
        <w:rPr>
          <w:rFonts w:ascii="Times New Roman" w:hAnsi="Times New Roman" w:cs="Times New Roman"/>
        </w:rPr>
        <w:t>en</w:t>
      </w:r>
      <w:r w:rsidRPr="0019554A">
        <w:rPr>
          <w:rFonts w:ascii="Times New Roman" w:hAnsi="Times New Roman" w:cs="Times New Roman"/>
        </w:rPr>
        <w:t xml:space="preserve"> en erfrechtelijke verkrijgingen niet meer in de gemeenschap vallen</w:t>
      </w:r>
      <w:r w:rsidR="003D1603">
        <w:rPr>
          <w:rFonts w:ascii="Times New Roman" w:hAnsi="Times New Roman" w:cs="Times New Roman"/>
        </w:rPr>
        <w:t>.</w:t>
      </w:r>
      <w:r w:rsidRPr="0019554A">
        <w:rPr>
          <w:rFonts w:ascii="Times New Roman" w:hAnsi="Times New Roman" w:cs="Times New Roman"/>
        </w:rPr>
        <w:t xml:space="preserve"> Als de erflater anders wil kan hij/zij dit regelen bij testament</w:t>
      </w:r>
      <w:r w:rsidRPr="0019554A" w:rsidR="00190906">
        <w:rPr>
          <w:rFonts w:ascii="Times New Roman" w:hAnsi="Times New Roman" w:cs="Times New Roman"/>
        </w:rPr>
        <w:t xml:space="preserve"> of bij de gift</w:t>
      </w:r>
      <w:r w:rsidRPr="0019554A">
        <w:rPr>
          <w:rFonts w:ascii="Times New Roman" w:hAnsi="Times New Roman" w:cs="Times New Roman"/>
        </w:rPr>
        <w:t>. Problemen worden voorkomen indien de erflater buiten Nederland woont en zich veelal niet bewust is van de magne</w:t>
      </w:r>
      <w:r w:rsidRPr="0019554A" w:rsidR="00E37824">
        <w:rPr>
          <w:rFonts w:ascii="Times New Roman" w:hAnsi="Times New Roman" w:cs="Times New Roman"/>
        </w:rPr>
        <w:t>e</w:t>
      </w:r>
      <w:r w:rsidRPr="0019554A">
        <w:rPr>
          <w:rFonts w:ascii="Times New Roman" w:hAnsi="Times New Roman" w:cs="Times New Roman"/>
        </w:rPr>
        <w:t xml:space="preserve">tfunctie van het huidige stelsel. </w:t>
      </w:r>
    </w:p>
    <w:p w:rsidRPr="0019554A" w:rsidR="00707147" w:rsidP="00D1223D" w:rsidRDefault="00707147">
      <w:pPr>
        <w:jc w:val="both"/>
        <w:rPr>
          <w:rFonts w:ascii="Times New Roman" w:hAnsi="Times New Roman" w:cs="Times New Roman"/>
          <w:i/>
        </w:rPr>
      </w:pPr>
      <w:r w:rsidRPr="0019554A">
        <w:rPr>
          <w:rFonts w:ascii="Times New Roman" w:hAnsi="Times New Roman" w:cs="Times New Roman"/>
          <w:i/>
        </w:rPr>
        <w:t>De onderneming</w:t>
      </w:r>
    </w:p>
    <w:p w:rsidRPr="0019554A" w:rsidR="00BF13BC" w:rsidP="00D1223D" w:rsidRDefault="00707147">
      <w:pPr>
        <w:jc w:val="both"/>
        <w:rPr>
          <w:rFonts w:ascii="Times New Roman" w:hAnsi="Times New Roman" w:cs="Times New Roman"/>
        </w:rPr>
      </w:pPr>
      <w:r w:rsidRPr="0019554A">
        <w:rPr>
          <w:rFonts w:ascii="Times New Roman" w:hAnsi="Times New Roman" w:cs="Times New Roman"/>
        </w:rPr>
        <w:t xml:space="preserve">De tekst van art 1:95 leden 3 en 4 BW </w:t>
      </w:r>
      <w:r w:rsidR="000C12C8">
        <w:rPr>
          <w:rFonts w:ascii="Times New Roman" w:hAnsi="Times New Roman" w:cs="Times New Roman"/>
        </w:rPr>
        <w:t>is</w:t>
      </w:r>
      <w:r w:rsidRPr="0019554A">
        <w:rPr>
          <w:rFonts w:ascii="Times New Roman" w:hAnsi="Times New Roman" w:cs="Times New Roman"/>
        </w:rPr>
        <w:t xml:space="preserve"> in de nota van wijziging aangepast. Met de open</w:t>
      </w:r>
      <w:r w:rsidRPr="0019554A" w:rsidR="00190906">
        <w:rPr>
          <w:rFonts w:ascii="Times New Roman" w:hAnsi="Times New Roman" w:cs="Times New Roman"/>
        </w:rPr>
        <w:t xml:space="preserve"> </w:t>
      </w:r>
      <w:r w:rsidRPr="0019554A">
        <w:rPr>
          <w:rFonts w:ascii="Times New Roman" w:hAnsi="Times New Roman" w:cs="Times New Roman"/>
        </w:rPr>
        <w:t xml:space="preserve">norm </w:t>
      </w:r>
      <w:r w:rsidRPr="0019554A" w:rsidR="00E37824">
        <w:rPr>
          <w:rFonts w:ascii="Times New Roman" w:hAnsi="Times New Roman" w:cs="Times New Roman"/>
        </w:rPr>
        <w:t>-</w:t>
      </w:r>
      <w:r w:rsidR="007E01DA">
        <w:rPr>
          <w:rFonts w:ascii="Times New Roman" w:hAnsi="Times New Roman" w:cs="Times New Roman"/>
        </w:rPr>
        <w:br/>
      </w:r>
      <w:bookmarkStart w:name="_GoBack" w:id="0"/>
      <w:bookmarkEnd w:id="0"/>
      <w:r w:rsidRPr="0019554A">
        <w:rPr>
          <w:rFonts w:ascii="Times New Roman" w:hAnsi="Times New Roman" w:cs="Times New Roman"/>
        </w:rPr>
        <w:t xml:space="preserve">“ komt ten bate van de </w:t>
      </w:r>
      <w:r w:rsidRPr="0019554A" w:rsidR="007D751B">
        <w:rPr>
          <w:rFonts w:ascii="Times New Roman" w:hAnsi="Times New Roman" w:cs="Times New Roman"/>
        </w:rPr>
        <w:t>gemeenschap een redelijke vergoeding voor de kennis, vaardigheden en arbeid die een echtgenoot daartoe heeft aangewend</w:t>
      </w:r>
      <w:r w:rsidRPr="0019554A" w:rsidR="00E37824">
        <w:rPr>
          <w:rFonts w:ascii="Times New Roman" w:hAnsi="Times New Roman" w:cs="Times New Roman"/>
        </w:rPr>
        <w:t>”-</w:t>
      </w:r>
      <w:r w:rsidRPr="0019554A" w:rsidR="007D751B">
        <w:rPr>
          <w:rFonts w:ascii="Times New Roman" w:hAnsi="Times New Roman" w:cs="Times New Roman"/>
        </w:rPr>
        <w:t xml:space="preserve"> verwachten wij dat de rechter </w:t>
      </w:r>
      <w:r w:rsidRPr="0019554A" w:rsidR="00BF13BC">
        <w:rPr>
          <w:rFonts w:ascii="Times New Roman" w:hAnsi="Times New Roman" w:cs="Times New Roman"/>
        </w:rPr>
        <w:t xml:space="preserve">daarmee goed uit de voeten kan. </w:t>
      </w:r>
      <w:r w:rsidRPr="0019554A" w:rsidR="007D751B">
        <w:rPr>
          <w:rFonts w:ascii="Times New Roman" w:hAnsi="Times New Roman" w:cs="Times New Roman"/>
        </w:rPr>
        <w:t>Door deze open</w:t>
      </w:r>
      <w:r w:rsidRPr="0019554A" w:rsidR="00190906">
        <w:rPr>
          <w:rFonts w:ascii="Times New Roman" w:hAnsi="Times New Roman" w:cs="Times New Roman"/>
        </w:rPr>
        <w:t xml:space="preserve"> </w:t>
      </w:r>
      <w:r w:rsidRPr="0019554A" w:rsidR="007D751B">
        <w:rPr>
          <w:rFonts w:ascii="Times New Roman" w:hAnsi="Times New Roman" w:cs="Times New Roman"/>
        </w:rPr>
        <w:t xml:space="preserve">norm kan de rechter met alle feiten en omstandigheden rekening houden. De rechter kan meewegen: het ondernemingsbelang </w:t>
      </w:r>
      <w:r w:rsidR="00A95208">
        <w:rPr>
          <w:rFonts w:ascii="Times New Roman" w:hAnsi="Times New Roman" w:cs="Times New Roman"/>
        </w:rPr>
        <w:t>(</w:t>
      </w:r>
      <w:r w:rsidRPr="0019554A" w:rsidR="007D751B">
        <w:rPr>
          <w:rFonts w:ascii="Times New Roman" w:hAnsi="Times New Roman" w:cs="Times New Roman"/>
        </w:rPr>
        <w:t>waaronder wij verstaan waarborging</w:t>
      </w:r>
      <w:r w:rsidR="00A95208">
        <w:rPr>
          <w:rFonts w:ascii="Times New Roman" w:hAnsi="Times New Roman" w:cs="Times New Roman"/>
        </w:rPr>
        <w:t xml:space="preserve"> en</w:t>
      </w:r>
      <w:r w:rsidRPr="0019554A" w:rsidR="007D751B">
        <w:rPr>
          <w:rFonts w:ascii="Times New Roman" w:hAnsi="Times New Roman" w:cs="Times New Roman"/>
        </w:rPr>
        <w:t xml:space="preserve"> continuïteit</w:t>
      </w:r>
      <w:r w:rsidRPr="0019554A" w:rsidR="00BF13BC">
        <w:rPr>
          <w:rFonts w:ascii="Times New Roman" w:hAnsi="Times New Roman" w:cs="Times New Roman"/>
        </w:rPr>
        <w:t xml:space="preserve"> van de onderneming</w:t>
      </w:r>
      <w:r w:rsidR="00A95208">
        <w:rPr>
          <w:rFonts w:ascii="Times New Roman" w:hAnsi="Times New Roman" w:cs="Times New Roman"/>
        </w:rPr>
        <w:t>)</w:t>
      </w:r>
      <w:r w:rsidRPr="0019554A" w:rsidR="007D751B">
        <w:rPr>
          <w:rFonts w:ascii="Times New Roman" w:hAnsi="Times New Roman" w:cs="Times New Roman"/>
        </w:rPr>
        <w:t>, werknemersbelang, belang van crediteuren dat zij worden betaald, en het belang van de echtgenoot niet</w:t>
      </w:r>
      <w:r w:rsidRPr="0019554A" w:rsidR="00190906">
        <w:rPr>
          <w:rFonts w:ascii="Times New Roman" w:hAnsi="Times New Roman" w:cs="Times New Roman"/>
        </w:rPr>
        <w:t>-</w:t>
      </w:r>
      <w:r w:rsidRPr="0019554A" w:rsidR="007D751B">
        <w:rPr>
          <w:rFonts w:ascii="Times New Roman" w:hAnsi="Times New Roman" w:cs="Times New Roman"/>
        </w:rPr>
        <w:t xml:space="preserve">ondernemer. </w:t>
      </w:r>
    </w:p>
    <w:p w:rsidRPr="0019554A" w:rsidR="00707147" w:rsidP="00D1223D" w:rsidRDefault="007D751B">
      <w:pPr>
        <w:jc w:val="both"/>
        <w:rPr>
          <w:rFonts w:ascii="Times New Roman" w:hAnsi="Times New Roman" w:cs="Times New Roman"/>
        </w:rPr>
      </w:pPr>
      <w:r w:rsidRPr="0019554A">
        <w:rPr>
          <w:rFonts w:ascii="Times New Roman" w:hAnsi="Times New Roman" w:cs="Times New Roman"/>
        </w:rPr>
        <w:t xml:space="preserve">De wetgever dient zich </w:t>
      </w:r>
      <w:r w:rsidR="003C2B57">
        <w:rPr>
          <w:rFonts w:ascii="Times New Roman" w:hAnsi="Times New Roman" w:cs="Times New Roman"/>
        </w:rPr>
        <w:t>er</w:t>
      </w:r>
      <w:r w:rsidRPr="0019554A">
        <w:rPr>
          <w:rFonts w:ascii="Times New Roman" w:hAnsi="Times New Roman" w:cs="Times New Roman"/>
        </w:rPr>
        <w:t xml:space="preserve"> wel bewust </w:t>
      </w:r>
      <w:r w:rsidR="003C2B57">
        <w:rPr>
          <w:rFonts w:ascii="Times New Roman" w:hAnsi="Times New Roman" w:cs="Times New Roman"/>
        </w:rPr>
        <w:t xml:space="preserve">van </w:t>
      </w:r>
      <w:r w:rsidRPr="0019554A">
        <w:rPr>
          <w:rFonts w:ascii="Times New Roman" w:hAnsi="Times New Roman" w:cs="Times New Roman"/>
        </w:rPr>
        <w:t xml:space="preserve">te zijn dat waarde en winst verschillende begrippen zijn. Voorts dient de wetgever zich bewust te zijn dat het begrip waarde door een econoom anders wordt uitgelegd dan door een jurist. De econoom denkt bij het </w:t>
      </w:r>
      <w:r w:rsidRPr="0019554A" w:rsidR="001B67DC">
        <w:rPr>
          <w:rFonts w:ascii="Times New Roman" w:hAnsi="Times New Roman" w:cs="Times New Roman"/>
        </w:rPr>
        <w:t>waard</w:t>
      </w:r>
      <w:r w:rsidR="00A23A88">
        <w:rPr>
          <w:rFonts w:ascii="Times New Roman" w:hAnsi="Times New Roman" w:cs="Times New Roman"/>
        </w:rPr>
        <w:t>e</w:t>
      </w:r>
      <w:r w:rsidRPr="0019554A" w:rsidR="001B67DC">
        <w:rPr>
          <w:rFonts w:ascii="Times New Roman" w:hAnsi="Times New Roman" w:cs="Times New Roman"/>
        </w:rPr>
        <w:t>begrip</w:t>
      </w:r>
      <w:r w:rsidRPr="0019554A">
        <w:rPr>
          <w:rFonts w:ascii="Times New Roman" w:hAnsi="Times New Roman" w:cs="Times New Roman"/>
        </w:rPr>
        <w:t xml:space="preserve"> </w:t>
      </w:r>
      <w:r w:rsidR="00E65700">
        <w:rPr>
          <w:rFonts w:ascii="Times New Roman" w:hAnsi="Times New Roman" w:cs="Times New Roman"/>
        </w:rPr>
        <w:t>aa</w:t>
      </w:r>
      <w:r w:rsidRPr="0019554A">
        <w:rPr>
          <w:rFonts w:ascii="Times New Roman" w:hAnsi="Times New Roman" w:cs="Times New Roman"/>
        </w:rPr>
        <w:t>n het contant maken van geldstromen en een jurist denk</w:t>
      </w:r>
      <w:r w:rsidRPr="0019554A" w:rsidR="00B625E1">
        <w:rPr>
          <w:rFonts w:ascii="Times New Roman" w:hAnsi="Times New Roman" w:cs="Times New Roman"/>
        </w:rPr>
        <w:t>t</w:t>
      </w:r>
      <w:r w:rsidRPr="0019554A">
        <w:rPr>
          <w:rFonts w:ascii="Times New Roman" w:hAnsi="Times New Roman" w:cs="Times New Roman"/>
        </w:rPr>
        <w:t xml:space="preserve"> veelal balans georiënteerd. Ook met betrekking tot het winstbegrip moet men zich </w:t>
      </w:r>
      <w:r w:rsidR="00A23A88">
        <w:rPr>
          <w:rFonts w:ascii="Times New Roman" w:hAnsi="Times New Roman" w:cs="Times New Roman"/>
        </w:rPr>
        <w:t xml:space="preserve">er </w:t>
      </w:r>
      <w:r w:rsidRPr="0019554A">
        <w:rPr>
          <w:rFonts w:ascii="Times New Roman" w:hAnsi="Times New Roman" w:cs="Times New Roman"/>
        </w:rPr>
        <w:t xml:space="preserve">bewust </w:t>
      </w:r>
      <w:r w:rsidR="00A23A88">
        <w:rPr>
          <w:rFonts w:ascii="Times New Roman" w:hAnsi="Times New Roman" w:cs="Times New Roman"/>
        </w:rPr>
        <w:t xml:space="preserve">van </w:t>
      </w:r>
      <w:r w:rsidRPr="0019554A">
        <w:rPr>
          <w:rFonts w:ascii="Times New Roman" w:hAnsi="Times New Roman" w:cs="Times New Roman"/>
        </w:rPr>
        <w:t xml:space="preserve">zijn dat </w:t>
      </w:r>
      <w:r w:rsidRPr="0019554A" w:rsidR="00B625E1">
        <w:rPr>
          <w:rFonts w:ascii="Times New Roman" w:hAnsi="Times New Roman" w:cs="Times New Roman"/>
        </w:rPr>
        <w:t xml:space="preserve">er meerdere winstbegrippen zijn. De aanpassing van </w:t>
      </w:r>
      <w:r w:rsidRPr="0019554A" w:rsidR="00BF13BC">
        <w:rPr>
          <w:rFonts w:ascii="Times New Roman" w:hAnsi="Times New Roman" w:cs="Times New Roman"/>
        </w:rPr>
        <w:t>de wet</w:t>
      </w:r>
      <w:r w:rsidRPr="0019554A" w:rsidR="00B625E1">
        <w:rPr>
          <w:rFonts w:ascii="Times New Roman" w:hAnsi="Times New Roman" w:cs="Times New Roman"/>
        </w:rPr>
        <w:t>tekst is een verbetering. Aandachtspunt is wellicht</w:t>
      </w:r>
      <w:r w:rsidRPr="0019554A" w:rsidR="00BF13BC">
        <w:rPr>
          <w:rFonts w:ascii="Times New Roman" w:hAnsi="Times New Roman" w:cs="Times New Roman"/>
        </w:rPr>
        <w:t>,</w:t>
      </w:r>
      <w:r w:rsidRPr="0019554A" w:rsidR="00B625E1">
        <w:rPr>
          <w:rFonts w:ascii="Times New Roman" w:hAnsi="Times New Roman" w:cs="Times New Roman"/>
        </w:rPr>
        <w:t xml:space="preserve"> met betrekking tot de eenmanszaak</w:t>
      </w:r>
      <w:r w:rsidRPr="0019554A" w:rsidR="00BF13BC">
        <w:rPr>
          <w:rFonts w:ascii="Times New Roman" w:hAnsi="Times New Roman" w:cs="Times New Roman"/>
        </w:rPr>
        <w:t>,</w:t>
      </w:r>
      <w:r w:rsidRPr="0019554A" w:rsidR="00B625E1">
        <w:rPr>
          <w:rFonts w:ascii="Times New Roman" w:hAnsi="Times New Roman" w:cs="Times New Roman"/>
        </w:rPr>
        <w:t xml:space="preserve"> het leerstuk van de zaaksvervanging. Denk aan de situatie dat een goed wordt vervangen tijdens het huwelijk welk goed voor het huwelijk tot het ondernemingsvermogen behoorde. Fiscaal blijft het nieuwe goed tot het ondernemingsvermogen behoren terwijl het goed – indien voor meer dan 50% met gemeenschapsvermogen is gefinancierd – wel in de gemeenschap valt. Ook hier geldt dat partijen altijd moet</w:t>
      </w:r>
      <w:r w:rsidR="00E65700">
        <w:rPr>
          <w:rFonts w:ascii="Times New Roman" w:hAnsi="Times New Roman" w:cs="Times New Roman"/>
        </w:rPr>
        <w:t>en</w:t>
      </w:r>
      <w:r w:rsidRPr="0019554A" w:rsidR="00B625E1">
        <w:rPr>
          <w:rFonts w:ascii="Times New Roman" w:hAnsi="Times New Roman" w:cs="Times New Roman"/>
        </w:rPr>
        <w:t xml:space="preserve"> blijven nadenken of hun huwelijksvermogensrecht nog past bij een gewijzigde situatie. Echtgenoten doen er verstandig aan om met een zekere regelmaat na te denken over de materiële gevolgen van het huwelijk. </w:t>
      </w:r>
    </w:p>
    <w:p w:rsidRPr="0019554A" w:rsidR="00B625E1" w:rsidP="00D1223D" w:rsidRDefault="00B625E1">
      <w:pPr>
        <w:jc w:val="both"/>
        <w:rPr>
          <w:rFonts w:ascii="Times New Roman" w:hAnsi="Times New Roman" w:cs="Times New Roman"/>
          <w:i/>
        </w:rPr>
      </w:pPr>
      <w:r w:rsidRPr="0019554A">
        <w:rPr>
          <w:rFonts w:ascii="Times New Roman" w:hAnsi="Times New Roman" w:cs="Times New Roman"/>
          <w:i/>
        </w:rPr>
        <w:t>De rechter</w:t>
      </w:r>
    </w:p>
    <w:p w:rsidRPr="0019554A" w:rsidR="00B625E1" w:rsidP="00D1223D" w:rsidRDefault="00B625E1">
      <w:pPr>
        <w:jc w:val="both"/>
        <w:rPr>
          <w:rFonts w:ascii="Times New Roman" w:hAnsi="Times New Roman" w:cs="Times New Roman"/>
        </w:rPr>
      </w:pPr>
      <w:r w:rsidRPr="0019554A">
        <w:rPr>
          <w:rFonts w:ascii="Times New Roman" w:hAnsi="Times New Roman" w:cs="Times New Roman"/>
        </w:rPr>
        <w:t xml:space="preserve">Wij denken dat de rechter </w:t>
      </w:r>
      <w:r w:rsidR="00A23A88">
        <w:rPr>
          <w:rFonts w:ascii="Times New Roman" w:hAnsi="Times New Roman" w:cs="Times New Roman"/>
        </w:rPr>
        <w:t xml:space="preserve">goed </w:t>
      </w:r>
      <w:r w:rsidRPr="0019554A">
        <w:rPr>
          <w:rFonts w:ascii="Times New Roman" w:hAnsi="Times New Roman" w:cs="Times New Roman"/>
        </w:rPr>
        <w:t xml:space="preserve">met </w:t>
      </w:r>
      <w:r w:rsidR="00A23A88">
        <w:rPr>
          <w:rFonts w:ascii="Times New Roman" w:hAnsi="Times New Roman" w:cs="Times New Roman"/>
        </w:rPr>
        <w:t>de</w:t>
      </w:r>
      <w:r w:rsidRPr="0019554A">
        <w:rPr>
          <w:rFonts w:ascii="Times New Roman" w:hAnsi="Times New Roman" w:cs="Times New Roman"/>
        </w:rPr>
        <w:t xml:space="preserve"> nieuwe </w:t>
      </w:r>
      <w:r w:rsidRPr="0019554A" w:rsidR="00190906">
        <w:rPr>
          <w:rFonts w:ascii="Times New Roman" w:hAnsi="Times New Roman" w:cs="Times New Roman"/>
        </w:rPr>
        <w:t>w</w:t>
      </w:r>
      <w:r w:rsidRPr="0019554A">
        <w:rPr>
          <w:rFonts w:ascii="Times New Roman" w:hAnsi="Times New Roman" w:cs="Times New Roman"/>
        </w:rPr>
        <w:t xml:space="preserve">et  </w:t>
      </w:r>
      <w:r w:rsidRPr="0019554A" w:rsidR="00BF13BC">
        <w:rPr>
          <w:rFonts w:ascii="Times New Roman" w:hAnsi="Times New Roman" w:cs="Times New Roman"/>
        </w:rPr>
        <w:t>kan werken.</w:t>
      </w:r>
      <w:r w:rsidRPr="0019554A">
        <w:rPr>
          <w:rFonts w:ascii="Times New Roman" w:hAnsi="Times New Roman" w:cs="Times New Roman"/>
        </w:rPr>
        <w:t xml:space="preserve"> Wij verwachten geen extra werkdruk. Het feit dat </w:t>
      </w:r>
      <w:r w:rsidRPr="0019554A" w:rsidR="00D1223D">
        <w:rPr>
          <w:rFonts w:ascii="Times New Roman" w:hAnsi="Times New Roman" w:cs="Times New Roman"/>
        </w:rPr>
        <w:t>erfrechtelijke verkrijging</w:t>
      </w:r>
      <w:r w:rsidRPr="0019554A" w:rsidR="00BF13BC">
        <w:rPr>
          <w:rFonts w:ascii="Times New Roman" w:hAnsi="Times New Roman" w:cs="Times New Roman"/>
        </w:rPr>
        <w:t>en</w:t>
      </w:r>
      <w:r w:rsidRPr="0019554A" w:rsidR="00D1223D">
        <w:rPr>
          <w:rFonts w:ascii="Times New Roman" w:hAnsi="Times New Roman" w:cs="Times New Roman"/>
        </w:rPr>
        <w:t xml:space="preserve"> en schenkingen niet meer in de gemeenschap vallen past binnen de beleving van de meeste ex</w:t>
      </w:r>
      <w:r w:rsidRPr="0019554A" w:rsidR="00BF13BC">
        <w:rPr>
          <w:rFonts w:ascii="Times New Roman" w:hAnsi="Times New Roman" w:cs="Times New Roman"/>
        </w:rPr>
        <w:t>-</w:t>
      </w:r>
      <w:r w:rsidRPr="0019554A" w:rsidR="00D1223D">
        <w:rPr>
          <w:rFonts w:ascii="Times New Roman" w:hAnsi="Times New Roman" w:cs="Times New Roman"/>
        </w:rPr>
        <w:t xml:space="preserve">echtgenoten. Dus een bron van conflicten verdampt als het ware. </w:t>
      </w:r>
      <w:r w:rsidRPr="0019554A" w:rsidR="00190906">
        <w:rPr>
          <w:rFonts w:ascii="Times New Roman" w:hAnsi="Times New Roman" w:cs="Times New Roman"/>
        </w:rPr>
        <w:t xml:space="preserve">Een kleine relativering is wel op zijn plaats, in die zin dat daarvoor wel is vereist dat klip en klaar is dat een goed krachtens erfrecht of gift is verkregen. </w:t>
      </w:r>
    </w:p>
    <w:p w:rsidRPr="0019554A" w:rsidR="00D1223D" w:rsidP="00D1223D" w:rsidRDefault="00D1223D">
      <w:pPr>
        <w:jc w:val="both"/>
        <w:rPr>
          <w:rFonts w:ascii="Times New Roman" w:hAnsi="Times New Roman" w:cs="Times New Roman"/>
          <w:i/>
        </w:rPr>
      </w:pPr>
      <w:r w:rsidRPr="0019554A">
        <w:rPr>
          <w:rFonts w:ascii="Times New Roman" w:hAnsi="Times New Roman" w:cs="Times New Roman"/>
          <w:i/>
        </w:rPr>
        <w:t>Conclusie</w:t>
      </w:r>
    </w:p>
    <w:p w:rsidRPr="0019554A" w:rsidR="00D1223D" w:rsidP="00D1223D" w:rsidRDefault="00D1223D">
      <w:pPr>
        <w:jc w:val="both"/>
        <w:rPr>
          <w:rFonts w:ascii="Times New Roman" w:hAnsi="Times New Roman" w:cs="Times New Roman"/>
        </w:rPr>
      </w:pPr>
      <w:r w:rsidRPr="0019554A">
        <w:rPr>
          <w:rFonts w:ascii="Times New Roman" w:hAnsi="Times New Roman" w:cs="Times New Roman"/>
        </w:rPr>
        <w:t xml:space="preserve">Er zijn in onze visie geen noemenswaardige punten die een snelle invoer van de </w:t>
      </w:r>
      <w:r w:rsidR="00A23A88">
        <w:rPr>
          <w:rFonts w:ascii="Times New Roman" w:hAnsi="Times New Roman" w:cs="Times New Roman"/>
        </w:rPr>
        <w:t>w</w:t>
      </w:r>
      <w:r w:rsidRPr="0019554A">
        <w:rPr>
          <w:rFonts w:ascii="Times New Roman" w:hAnsi="Times New Roman" w:cs="Times New Roman"/>
        </w:rPr>
        <w:t xml:space="preserve">et in de </w:t>
      </w:r>
      <w:r w:rsidRPr="0019554A" w:rsidR="00BF13BC">
        <w:rPr>
          <w:rFonts w:ascii="Times New Roman" w:hAnsi="Times New Roman" w:cs="Times New Roman"/>
        </w:rPr>
        <w:t>weg</w:t>
      </w:r>
      <w:r w:rsidRPr="0019554A">
        <w:rPr>
          <w:rFonts w:ascii="Times New Roman" w:hAnsi="Times New Roman" w:cs="Times New Roman"/>
        </w:rPr>
        <w:t xml:space="preserve"> staan. </w:t>
      </w:r>
    </w:p>
    <w:p w:rsidRPr="0019554A" w:rsidR="00D1223D" w:rsidP="00D1223D" w:rsidRDefault="007E01DA">
      <w:pPr>
        <w:jc w:val="both"/>
        <w:rPr>
          <w:rFonts w:ascii="Times New Roman" w:hAnsi="Times New Roman" w:cs="Times New Roman"/>
          <w:lang w:val="en-GB"/>
        </w:rPr>
      </w:pPr>
      <w:r>
        <w:rPr>
          <w:rFonts w:ascii="Times New Roman" w:hAnsi="Times New Roman" w:cs="Times New Roman"/>
          <w:lang w:val="en-GB"/>
        </w:rPr>
        <w:lastRenderedPageBreak/>
        <w:t>m</w:t>
      </w:r>
      <w:r w:rsidRPr="0019554A" w:rsidR="00D1223D">
        <w:rPr>
          <w:rFonts w:ascii="Times New Roman" w:hAnsi="Times New Roman" w:cs="Times New Roman"/>
          <w:lang w:val="en-GB"/>
        </w:rPr>
        <w:t>r. A</w:t>
      </w:r>
      <w:r w:rsidR="0019554A">
        <w:rPr>
          <w:rFonts w:ascii="Times New Roman" w:hAnsi="Times New Roman" w:cs="Times New Roman"/>
          <w:lang w:val="en-GB"/>
        </w:rPr>
        <w:t>.</w:t>
      </w:r>
      <w:r w:rsidRPr="0019554A" w:rsidR="00D1223D">
        <w:rPr>
          <w:rFonts w:ascii="Times New Roman" w:hAnsi="Times New Roman" w:cs="Times New Roman"/>
          <w:lang w:val="en-GB"/>
        </w:rPr>
        <w:t>N. Labohm</w:t>
      </w:r>
    </w:p>
    <w:p w:rsidRPr="0019554A" w:rsidR="00D1223D" w:rsidP="00D1223D" w:rsidRDefault="00D1223D">
      <w:pPr>
        <w:jc w:val="both"/>
        <w:rPr>
          <w:rFonts w:ascii="Times New Roman" w:hAnsi="Times New Roman" w:cs="Times New Roman"/>
          <w:lang w:val="en-GB"/>
        </w:rPr>
      </w:pPr>
      <w:r w:rsidRPr="0019554A">
        <w:rPr>
          <w:rFonts w:ascii="Times New Roman" w:hAnsi="Times New Roman" w:cs="Times New Roman"/>
          <w:lang w:val="en-GB"/>
        </w:rPr>
        <w:t>Senior raadsheer Hof Den Haag</w:t>
      </w:r>
    </w:p>
    <w:p w:rsidRPr="0019554A" w:rsidR="00D1223D" w:rsidP="00D1223D" w:rsidRDefault="007E01DA">
      <w:pPr>
        <w:jc w:val="both"/>
        <w:rPr>
          <w:rFonts w:ascii="Times New Roman" w:hAnsi="Times New Roman" w:cs="Times New Roman"/>
        </w:rPr>
      </w:pPr>
      <w:r>
        <w:rPr>
          <w:rFonts w:ascii="Times New Roman" w:hAnsi="Times New Roman" w:cs="Times New Roman"/>
          <w:lang w:val="en-US"/>
        </w:rPr>
        <w:t>p</w:t>
      </w:r>
      <w:r w:rsidRPr="0019554A" w:rsidR="00D1223D">
        <w:rPr>
          <w:rFonts w:ascii="Times New Roman" w:hAnsi="Times New Roman" w:cs="Times New Roman"/>
          <w:lang w:val="en-US"/>
        </w:rPr>
        <w:t>rof</w:t>
      </w:r>
      <w:r>
        <w:rPr>
          <w:rFonts w:ascii="Times New Roman" w:hAnsi="Times New Roman" w:cs="Times New Roman"/>
          <w:lang w:val="en-US"/>
        </w:rPr>
        <w:t>.</w:t>
      </w:r>
      <w:r w:rsidRPr="0019554A" w:rsidR="00D1223D">
        <w:rPr>
          <w:rFonts w:ascii="Times New Roman" w:hAnsi="Times New Roman" w:cs="Times New Roman"/>
          <w:lang w:val="en-US"/>
        </w:rPr>
        <w:t xml:space="preserve"> mr. dr. </w:t>
      </w:r>
      <w:r w:rsidRPr="0019554A" w:rsidR="00D1223D">
        <w:rPr>
          <w:rFonts w:ascii="Times New Roman" w:hAnsi="Times New Roman" w:cs="Times New Roman"/>
        </w:rPr>
        <w:t xml:space="preserve">A.H.N. Stollenwerck </w:t>
      </w:r>
    </w:p>
    <w:p w:rsidRPr="0019554A" w:rsidR="00D1223D" w:rsidP="00D1223D" w:rsidRDefault="00D1223D">
      <w:pPr>
        <w:jc w:val="both"/>
        <w:rPr>
          <w:rFonts w:ascii="Times New Roman" w:hAnsi="Times New Roman" w:cs="Times New Roman"/>
        </w:rPr>
      </w:pPr>
      <w:r w:rsidRPr="0019554A">
        <w:rPr>
          <w:rFonts w:ascii="Times New Roman" w:hAnsi="Times New Roman" w:cs="Times New Roman"/>
        </w:rPr>
        <w:t xml:space="preserve">Raadsheer Hof Den Haag </w:t>
      </w:r>
    </w:p>
    <w:p w:rsidRPr="0019554A" w:rsidR="00B625E1" w:rsidP="00D1223D" w:rsidRDefault="00B625E1">
      <w:pPr>
        <w:jc w:val="both"/>
        <w:rPr>
          <w:rFonts w:ascii="Times New Roman" w:hAnsi="Times New Roman" w:cs="Times New Roman"/>
        </w:rPr>
      </w:pPr>
    </w:p>
    <w:sectPr w:rsidRPr="0019554A" w:rsidR="00B625E1">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93" w:rsidRDefault="00294593" w:rsidP="00D1223D">
      <w:pPr>
        <w:spacing w:after="0" w:line="240" w:lineRule="auto"/>
      </w:pPr>
      <w:r>
        <w:separator/>
      </w:r>
    </w:p>
  </w:endnote>
  <w:endnote w:type="continuationSeparator" w:id="0">
    <w:p w:rsidR="00294593" w:rsidRDefault="00294593" w:rsidP="00D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085476"/>
      <w:docPartObj>
        <w:docPartGallery w:val="Page Numbers (Bottom of Page)"/>
        <w:docPartUnique/>
      </w:docPartObj>
    </w:sdtPr>
    <w:sdtEndPr/>
    <w:sdtContent>
      <w:p w:rsidR="001B67DC" w:rsidRDefault="001B67DC">
        <w:pPr>
          <w:pStyle w:val="Voettekst"/>
        </w:pPr>
        <w:r>
          <w:fldChar w:fldCharType="begin"/>
        </w:r>
        <w:r>
          <w:instrText>PAGE   \* MERGEFORMAT</w:instrText>
        </w:r>
        <w:r>
          <w:fldChar w:fldCharType="separate"/>
        </w:r>
        <w:r w:rsidR="007E01DA">
          <w:rPr>
            <w:noProof/>
          </w:rPr>
          <w:t>2</w:t>
        </w:r>
        <w:r>
          <w:fldChar w:fldCharType="end"/>
        </w:r>
      </w:p>
    </w:sdtContent>
  </w:sdt>
  <w:p w:rsidR="00D1223D" w:rsidRDefault="00D1223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93" w:rsidRDefault="00294593" w:rsidP="00D1223D">
      <w:pPr>
        <w:spacing w:after="0" w:line="240" w:lineRule="auto"/>
      </w:pPr>
      <w:r>
        <w:separator/>
      </w:r>
    </w:p>
  </w:footnote>
  <w:footnote w:type="continuationSeparator" w:id="0">
    <w:p w:rsidR="00294593" w:rsidRDefault="00294593" w:rsidP="00D122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1E"/>
    <w:rsid w:val="000C12C8"/>
    <w:rsid w:val="000F4925"/>
    <w:rsid w:val="00190906"/>
    <w:rsid w:val="0019554A"/>
    <w:rsid w:val="001B67DC"/>
    <w:rsid w:val="00260F70"/>
    <w:rsid w:val="00294593"/>
    <w:rsid w:val="003C2B57"/>
    <w:rsid w:val="003D1603"/>
    <w:rsid w:val="003E51C7"/>
    <w:rsid w:val="004762E7"/>
    <w:rsid w:val="005442D4"/>
    <w:rsid w:val="00663CE8"/>
    <w:rsid w:val="00707147"/>
    <w:rsid w:val="007230DB"/>
    <w:rsid w:val="007D751B"/>
    <w:rsid w:val="007E01DA"/>
    <w:rsid w:val="00867FB3"/>
    <w:rsid w:val="008F1747"/>
    <w:rsid w:val="009072C1"/>
    <w:rsid w:val="00A23A88"/>
    <w:rsid w:val="00A30326"/>
    <w:rsid w:val="00A95208"/>
    <w:rsid w:val="00AC0EF2"/>
    <w:rsid w:val="00B041ED"/>
    <w:rsid w:val="00B625E1"/>
    <w:rsid w:val="00BE0FB0"/>
    <w:rsid w:val="00BF13BC"/>
    <w:rsid w:val="00D1223D"/>
    <w:rsid w:val="00D3161D"/>
    <w:rsid w:val="00DE00B8"/>
    <w:rsid w:val="00E37824"/>
    <w:rsid w:val="00E65700"/>
    <w:rsid w:val="00EB6C8A"/>
    <w:rsid w:val="00FB3AD7"/>
    <w:rsid w:val="00FD061E"/>
    <w:rsid w:val="00FF5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927DA-129B-481A-AE2C-789940B3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2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223D"/>
  </w:style>
  <w:style w:type="paragraph" w:styleId="Voettekst">
    <w:name w:val="footer"/>
    <w:basedOn w:val="Standaard"/>
    <w:link w:val="VoettekstChar"/>
    <w:uiPriority w:val="99"/>
    <w:unhideWhenUsed/>
    <w:rsid w:val="00D12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223D"/>
  </w:style>
  <w:style w:type="paragraph" w:styleId="Ballontekst">
    <w:name w:val="Balloon Text"/>
    <w:basedOn w:val="Standaard"/>
    <w:link w:val="BallontekstChar"/>
    <w:uiPriority w:val="99"/>
    <w:semiHidden/>
    <w:unhideWhenUsed/>
    <w:rsid w:val="004762E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62E7"/>
    <w:rPr>
      <w:rFonts w:ascii="Tahoma" w:hAnsi="Tahoma" w:cs="Tahoma"/>
      <w:sz w:val="16"/>
      <w:szCs w:val="16"/>
    </w:rPr>
  </w:style>
  <w:style w:type="character" w:styleId="Verwijzingopmerking">
    <w:name w:val="annotation reference"/>
    <w:basedOn w:val="Standaardalinea-lettertype"/>
    <w:uiPriority w:val="99"/>
    <w:semiHidden/>
    <w:unhideWhenUsed/>
    <w:rsid w:val="007230DB"/>
    <w:rPr>
      <w:sz w:val="16"/>
      <w:szCs w:val="16"/>
    </w:rPr>
  </w:style>
  <w:style w:type="paragraph" w:styleId="Tekstopmerking">
    <w:name w:val="annotation text"/>
    <w:basedOn w:val="Standaard"/>
    <w:link w:val="TekstopmerkingChar"/>
    <w:uiPriority w:val="99"/>
    <w:semiHidden/>
    <w:unhideWhenUsed/>
    <w:rsid w:val="007230D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30DB"/>
    <w:rPr>
      <w:sz w:val="20"/>
      <w:szCs w:val="20"/>
    </w:rPr>
  </w:style>
  <w:style w:type="paragraph" w:styleId="Onderwerpvanopmerking">
    <w:name w:val="annotation subject"/>
    <w:basedOn w:val="Tekstopmerking"/>
    <w:next w:val="Tekstopmerking"/>
    <w:link w:val="OnderwerpvanopmerkingChar"/>
    <w:uiPriority w:val="99"/>
    <w:semiHidden/>
    <w:unhideWhenUsed/>
    <w:rsid w:val="007230DB"/>
    <w:rPr>
      <w:b/>
      <w:bCs/>
    </w:rPr>
  </w:style>
  <w:style w:type="character" w:customStyle="1" w:styleId="OnderwerpvanopmerkingChar">
    <w:name w:val="Onderwerp van opmerking Char"/>
    <w:basedOn w:val="TekstopmerkingChar"/>
    <w:link w:val="Onderwerpvanopmerking"/>
    <w:uiPriority w:val="99"/>
    <w:semiHidden/>
    <w:rsid w:val="00723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1108</ap:Words>
  <ap:Characters>6100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2015-09-15T08:36:00.0000000Z</lastPrinted>
  <dcterms:created xsi:type="dcterms:W3CDTF">2015-09-15T13:56:00.0000000Z</dcterms:created>
  <dcterms:modified xsi:type="dcterms:W3CDTF">2015-09-15T13:56:00.0000000Z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0x010100238D9151B444D748813A31A3A19A4407</vt:lpwstr>
  </property>
</Properties>
</file>