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8C235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W04.15.0281/I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8C235B" w:rsidRDefault="000A7A3D">
              <w:r>
                <w:t>Bij Kabinetsmissive van 31 augustus 2015, no.2015001411,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begrotingsstaat van de Staten-Generaal (IIA) voor het jaar 2016, met memorie van toelichting.</w:t>
              </w:r>
            </w:p>
          </w:sdtContent>
        </w:sdt>
        <w:p w:rsidR="0071031E" w:rsidRDefault="0071031E"/>
        <w:p w:rsidR="00C50D4F" w:rsidRDefault="008C235B">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0A7A3D" w:rsidP="005B3E03">
      <w:r>
        <w:separator/>
      </w:r>
    </w:p>
  </w:endnote>
  <w:endnote w:type="continuationSeparator" w:id="0">
    <w:p w:rsidR="00954004" w:rsidRDefault="000A7A3D"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8C235B">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0A7A3D" w:rsidP="005B3E03">
      <w:r>
        <w:separator/>
      </w:r>
    </w:p>
  </w:footnote>
  <w:footnote w:type="continuationSeparator" w:id="0">
    <w:p w:rsidR="00954004" w:rsidRDefault="000A7A3D"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C235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A7A3D"/>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C235B"/>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D26CFD"/>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6C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2015-09-07T16:15:00.0000000Z</dcterms:created>
  <dcterms:modified xsi:type="dcterms:W3CDTF">2015-09-07T16:15:00.0000000Z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