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C55A89" w:rsidR="00A52F67" w:rsidP="00A52F67" w:rsidRDefault="005A3570">
      <w:pPr>
        <w:rPr>
          <w:b/>
        </w:rPr>
      </w:pPr>
      <w:r>
        <w:rPr>
          <w:b/>
        </w:rPr>
        <w:t>Bijlage 4</w:t>
      </w:r>
      <w:r w:rsidRPr="00C55A89" w:rsidR="00A52F67">
        <w:rPr>
          <w:b/>
        </w:rPr>
        <w:t xml:space="preserve">: plan van aanpak beleidsdoorlichting artikel </w:t>
      </w:r>
      <w:r w:rsidR="00A52F67">
        <w:rPr>
          <w:b/>
        </w:rPr>
        <w:t>6 Btw-compensatiefonds</w:t>
      </w:r>
    </w:p>
    <w:p w:rsidR="00A52F67" w:rsidP="00A52F67" w:rsidRDefault="00A52F67">
      <w:pPr>
        <w:rPr>
          <w:kern w:val="32"/>
        </w:rPr>
      </w:pPr>
    </w:p>
    <w:p w:rsidRPr="00BB47E9" w:rsidR="00A52F67" w:rsidP="00A52F67" w:rsidRDefault="00BB47E9">
      <w:pPr>
        <w:pStyle w:val="Kop1"/>
        <w:keepNext w:val="0"/>
        <w:tabs>
          <w:tab w:val="left" w:pos="540"/>
        </w:tabs>
        <w:spacing w:before="0" w:line="276" w:lineRule="auto"/>
        <w:ind w:left="284" w:hanging="284"/>
        <w:contextualSpacing/>
        <w:rPr>
          <w:color w:val="auto"/>
          <w:sz w:val="18"/>
          <w:szCs w:val="18"/>
        </w:rPr>
      </w:pPr>
      <w:r w:rsidRPr="00BB47E9">
        <w:rPr>
          <w:color w:val="auto"/>
          <w:sz w:val="18"/>
          <w:szCs w:val="18"/>
        </w:rPr>
        <w:t xml:space="preserve">1. </w:t>
      </w:r>
      <w:r w:rsidRPr="00BB47E9" w:rsidR="00A52F67">
        <w:rPr>
          <w:color w:val="auto"/>
          <w:sz w:val="18"/>
          <w:szCs w:val="18"/>
        </w:rPr>
        <w:t>Inleiding</w:t>
      </w:r>
    </w:p>
    <w:p w:rsidRPr="00D25165" w:rsidR="00A52F67" w:rsidP="00A52F67" w:rsidRDefault="00A52F67"/>
    <w:p w:rsidR="00A52F67" w:rsidP="00A52F67" w:rsidRDefault="00A52F67">
      <w:pPr>
        <w:tabs>
          <w:tab w:val="left" w:pos="540"/>
        </w:tabs>
        <w:spacing w:line="276" w:lineRule="auto"/>
        <w:rPr>
          <w:rFonts w:cs="Arial"/>
          <w:szCs w:val="18"/>
        </w:rPr>
      </w:pPr>
      <w:r>
        <w:rPr>
          <w:rFonts w:cs="Arial"/>
          <w:szCs w:val="18"/>
        </w:rPr>
        <w:t>V</w:t>
      </w:r>
      <w:r w:rsidRPr="00634686">
        <w:rPr>
          <w:rFonts w:cs="Arial"/>
          <w:szCs w:val="18"/>
        </w:rPr>
        <w:t xml:space="preserve">oor 2016 </w:t>
      </w:r>
      <w:r>
        <w:rPr>
          <w:rFonts w:cs="Arial"/>
          <w:szCs w:val="18"/>
        </w:rPr>
        <w:t xml:space="preserve">staat </w:t>
      </w:r>
      <w:r w:rsidRPr="00634686">
        <w:rPr>
          <w:rFonts w:cs="Arial"/>
          <w:szCs w:val="18"/>
        </w:rPr>
        <w:t>een beleidsdoorlichting gepland van artikel 6 Btw-compensatiefonds (BCF)</w:t>
      </w:r>
      <w:r>
        <w:rPr>
          <w:rFonts w:cs="Arial"/>
          <w:szCs w:val="18"/>
        </w:rPr>
        <w:t xml:space="preserve"> </w:t>
      </w:r>
      <w:r w:rsidRPr="00634686">
        <w:rPr>
          <w:rFonts w:cs="Arial"/>
          <w:szCs w:val="18"/>
        </w:rPr>
        <w:t xml:space="preserve">op </w:t>
      </w:r>
      <w:r>
        <w:rPr>
          <w:rFonts w:cs="Arial"/>
          <w:szCs w:val="18"/>
        </w:rPr>
        <w:t xml:space="preserve">de </w:t>
      </w:r>
      <w:r w:rsidRPr="00634686">
        <w:rPr>
          <w:rFonts w:cs="Arial"/>
          <w:szCs w:val="18"/>
        </w:rPr>
        <w:t>begroting Financiën en Nationale Schuld.</w:t>
      </w:r>
      <w:r w:rsidR="00BB47E9">
        <w:rPr>
          <w:rFonts w:cs="Arial"/>
          <w:szCs w:val="18"/>
        </w:rPr>
        <w:t xml:space="preserve"> </w:t>
      </w:r>
    </w:p>
    <w:p w:rsidR="00A52F67" w:rsidP="00A52F67" w:rsidRDefault="00A52F67">
      <w:pPr>
        <w:tabs>
          <w:tab w:val="left" w:pos="540"/>
        </w:tabs>
        <w:spacing w:line="276" w:lineRule="auto"/>
        <w:rPr>
          <w:rFonts w:cs="Arial"/>
          <w:szCs w:val="18"/>
        </w:rPr>
      </w:pPr>
    </w:p>
    <w:p w:rsidR="00BB47E9" w:rsidP="00A52F67" w:rsidRDefault="00A52F67">
      <w:pPr>
        <w:spacing w:line="276" w:lineRule="auto"/>
        <w:rPr>
          <w:rFonts w:cs="Arial"/>
          <w:szCs w:val="18"/>
        </w:rPr>
      </w:pPr>
      <w:r>
        <w:rPr>
          <w:rFonts w:cs="Arial"/>
          <w:szCs w:val="18"/>
        </w:rPr>
        <w:t>Het BCF</w:t>
      </w:r>
      <w:r w:rsidRPr="00504A3D">
        <w:rPr>
          <w:rFonts w:cs="Arial"/>
          <w:szCs w:val="18"/>
        </w:rPr>
        <w:t xml:space="preserve"> is </w:t>
      </w:r>
      <w:r>
        <w:rPr>
          <w:rFonts w:cs="Arial"/>
          <w:szCs w:val="18"/>
        </w:rPr>
        <w:t xml:space="preserve">een fonds </w:t>
      </w:r>
      <w:r w:rsidRPr="00742584">
        <w:rPr>
          <w:rFonts w:cs="Arial"/>
          <w:szCs w:val="18"/>
        </w:rPr>
        <w:t>waaruit decentrale overheden betaalde btw kunnen terugvragen</w:t>
      </w:r>
      <w:r>
        <w:rPr>
          <w:rStyle w:val="Voetnootmarkering"/>
          <w:rFonts w:cs="Arial"/>
          <w:szCs w:val="18"/>
        </w:rPr>
        <w:footnoteReference w:id="1"/>
      </w:r>
      <w:r>
        <w:rPr>
          <w:rFonts w:cs="Arial"/>
          <w:szCs w:val="18"/>
        </w:rPr>
        <w:t xml:space="preserve">, en is </w:t>
      </w:r>
      <w:r w:rsidRPr="00504A3D">
        <w:rPr>
          <w:rFonts w:cs="Arial"/>
          <w:szCs w:val="18"/>
        </w:rPr>
        <w:t xml:space="preserve">opgericht om een eind te maken aan de factor btw bij de afweging door decentrale overheden tussen het uitbesteden van werkzaamheden of het uitvoeren ervan door de eigen organisatie. </w:t>
      </w:r>
      <w:r w:rsidRPr="00634686">
        <w:rPr>
          <w:rFonts w:cs="Arial"/>
          <w:szCs w:val="18"/>
        </w:rPr>
        <w:t xml:space="preserve">Als provincies en gemeenten werk uitbesteden, betalen zij </w:t>
      </w:r>
      <w:r>
        <w:rPr>
          <w:rFonts w:cs="Arial"/>
          <w:szCs w:val="18"/>
        </w:rPr>
        <w:t xml:space="preserve">namelijk </w:t>
      </w:r>
      <w:r w:rsidRPr="00634686">
        <w:rPr>
          <w:rFonts w:cs="Arial"/>
          <w:szCs w:val="18"/>
        </w:rPr>
        <w:t>btw</w:t>
      </w:r>
      <w:r>
        <w:rPr>
          <w:rFonts w:cs="Arial"/>
          <w:szCs w:val="18"/>
        </w:rPr>
        <w:t xml:space="preserve">. Wanneer werkzaamheden door de gemeente zelf worden uitgevoerd is dit niet het geval. </w:t>
      </w:r>
      <w:r w:rsidRPr="00634686">
        <w:rPr>
          <w:rFonts w:cs="Arial"/>
          <w:szCs w:val="18"/>
        </w:rPr>
        <w:t>De btw verhoogt</w:t>
      </w:r>
      <w:r>
        <w:rPr>
          <w:rFonts w:cs="Arial"/>
          <w:szCs w:val="18"/>
        </w:rPr>
        <w:t xml:space="preserve"> dus</w:t>
      </w:r>
      <w:r w:rsidRPr="00634686">
        <w:rPr>
          <w:rFonts w:cs="Arial"/>
          <w:szCs w:val="18"/>
        </w:rPr>
        <w:t xml:space="preserve"> de kostprijs </w:t>
      </w:r>
      <w:r>
        <w:rPr>
          <w:rFonts w:cs="Arial"/>
          <w:szCs w:val="18"/>
        </w:rPr>
        <w:t xml:space="preserve">van uitbesteding </w:t>
      </w:r>
      <w:r w:rsidRPr="00634686">
        <w:rPr>
          <w:rFonts w:cs="Arial"/>
          <w:szCs w:val="18"/>
        </w:rPr>
        <w:t xml:space="preserve">en </w:t>
      </w:r>
      <w:r>
        <w:rPr>
          <w:rFonts w:cs="Arial"/>
          <w:szCs w:val="18"/>
        </w:rPr>
        <w:t xml:space="preserve">zou </w:t>
      </w:r>
      <w:r w:rsidRPr="00634686">
        <w:rPr>
          <w:rFonts w:cs="Arial"/>
          <w:szCs w:val="18"/>
        </w:rPr>
        <w:t>daarmee de doelmatigheidsafweging van de gemeente of provincie</w:t>
      </w:r>
      <w:r>
        <w:rPr>
          <w:rFonts w:cs="Arial"/>
          <w:szCs w:val="18"/>
        </w:rPr>
        <w:t xml:space="preserve"> kunnen beïnvloeden. </w:t>
      </w:r>
    </w:p>
    <w:p w:rsidR="00BB47E9" w:rsidP="00A52F67" w:rsidRDefault="00BB47E9">
      <w:pPr>
        <w:spacing w:line="276" w:lineRule="auto"/>
        <w:rPr>
          <w:rFonts w:cs="Arial"/>
          <w:szCs w:val="18"/>
        </w:rPr>
      </w:pPr>
    </w:p>
    <w:p w:rsidRPr="00BB47E9" w:rsidR="00BB47E9" w:rsidP="00A52F67" w:rsidRDefault="00BB47E9">
      <w:pPr>
        <w:spacing w:line="276" w:lineRule="auto"/>
        <w:rPr>
          <w:rFonts w:cs="Arial"/>
          <w:b/>
          <w:szCs w:val="18"/>
        </w:rPr>
      </w:pPr>
      <w:r w:rsidRPr="00BB47E9">
        <w:rPr>
          <w:rFonts w:cs="Arial"/>
          <w:b/>
          <w:szCs w:val="18"/>
        </w:rPr>
        <w:t>2. Doelstelling artikel 6</w:t>
      </w:r>
    </w:p>
    <w:p w:rsidR="00A52F67" w:rsidP="00A52F67" w:rsidRDefault="00F056AD">
      <w:pPr>
        <w:spacing w:line="276" w:lineRule="auto"/>
        <w:rPr>
          <w:rFonts w:cs="Arial"/>
          <w:szCs w:val="18"/>
        </w:rPr>
      </w:pPr>
      <w:r>
        <w:rPr>
          <w:rFonts w:cs="Arial"/>
          <w:szCs w:val="18"/>
        </w:rPr>
        <w:t>De algemene doelstelling van het BCF is: ‘</w:t>
      </w:r>
      <w:r>
        <w:rPr>
          <w:i/>
          <w:iCs/>
        </w:rPr>
        <w:t>Gemeenten, provincies en Wgr-plusregio’s hebben de mogelijkheid een evenwichtige keuze te maken tussen in- en uitbesteding. De btw speelt hierin geen rol’.</w:t>
      </w:r>
    </w:p>
    <w:p w:rsidR="00A52F67" w:rsidP="00A52F67" w:rsidRDefault="00A52F67">
      <w:pPr>
        <w:tabs>
          <w:tab w:val="left" w:pos="540"/>
        </w:tabs>
        <w:spacing w:line="276" w:lineRule="auto"/>
        <w:rPr>
          <w:rFonts w:cs="Arial"/>
          <w:szCs w:val="18"/>
        </w:rPr>
      </w:pPr>
    </w:p>
    <w:p w:rsidR="00A52F67" w:rsidP="00A52F67" w:rsidRDefault="00A52F67">
      <w:pPr>
        <w:spacing w:line="276" w:lineRule="auto"/>
        <w:rPr>
          <w:rFonts w:cs="Arial"/>
          <w:szCs w:val="18"/>
        </w:rPr>
      </w:pPr>
      <w:r>
        <w:rPr>
          <w:rFonts w:cs="Arial"/>
          <w:szCs w:val="18"/>
        </w:rPr>
        <w:t>D</w:t>
      </w:r>
      <w:r w:rsidRPr="00634686">
        <w:rPr>
          <w:rFonts w:cs="Arial"/>
          <w:szCs w:val="18"/>
        </w:rPr>
        <w:t>e Minister van Financiën is verantwoordelijk voor:</w:t>
      </w:r>
    </w:p>
    <w:p w:rsidR="00A52F67" w:rsidP="00A52F67" w:rsidRDefault="00A52F67">
      <w:pPr>
        <w:pStyle w:val="Lijstalinea"/>
        <w:widowControl/>
        <w:numPr>
          <w:ilvl w:val="0"/>
          <w:numId w:val="1"/>
        </w:numPr>
        <w:tabs>
          <w:tab w:val="clear" w:pos="720"/>
        </w:tabs>
        <w:spacing w:line="276" w:lineRule="auto"/>
        <w:ind w:left="567" w:hanging="283"/>
        <w:rPr>
          <w:rFonts w:ascii="Verdana" w:hAnsi="Verdana" w:cs="Arial"/>
          <w:sz w:val="18"/>
          <w:szCs w:val="18"/>
        </w:rPr>
      </w:pPr>
      <w:r>
        <w:rPr>
          <w:rFonts w:ascii="Verdana" w:hAnsi="Verdana" w:cs="Arial"/>
          <w:sz w:val="18"/>
          <w:szCs w:val="18"/>
        </w:rPr>
        <w:t>het v</w:t>
      </w:r>
      <w:r w:rsidRPr="00A749A1">
        <w:rPr>
          <w:rFonts w:ascii="Verdana" w:hAnsi="Verdana" w:cs="Arial"/>
          <w:sz w:val="18"/>
          <w:szCs w:val="18"/>
        </w:rPr>
        <w:t xml:space="preserve">erstrekken, verzamelen en controleren van de opgaafformulieren en het uitbetalen van de compensabele btw; </w:t>
      </w:r>
    </w:p>
    <w:p w:rsidR="00A52F67" w:rsidP="00A52F67" w:rsidRDefault="00A52F67">
      <w:pPr>
        <w:pStyle w:val="Lijstalinea"/>
        <w:widowControl/>
        <w:numPr>
          <w:ilvl w:val="0"/>
          <w:numId w:val="1"/>
        </w:numPr>
        <w:tabs>
          <w:tab w:val="clear" w:pos="720"/>
        </w:tabs>
        <w:spacing w:line="276" w:lineRule="auto"/>
        <w:ind w:left="567" w:hanging="283"/>
        <w:rPr>
          <w:rFonts w:ascii="Verdana" w:hAnsi="Verdana" w:cs="Arial"/>
          <w:sz w:val="18"/>
          <w:szCs w:val="18"/>
        </w:rPr>
      </w:pPr>
      <w:r>
        <w:rPr>
          <w:rFonts w:ascii="Verdana" w:hAnsi="Verdana" w:cs="Arial"/>
          <w:sz w:val="18"/>
          <w:szCs w:val="18"/>
        </w:rPr>
        <w:t>het b</w:t>
      </w:r>
      <w:r w:rsidRPr="00A749A1">
        <w:rPr>
          <w:rFonts w:ascii="Verdana" w:hAnsi="Verdana" w:cs="Arial"/>
          <w:sz w:val="18"/>
          <w:szCs w:val="18"/>
        </w:rPr>
        <w:t>eheer van het BCF.</w:t>
      </w:r>
    </w:p>
    <w:p w:rsidR="00A52F67" w:rsidP="00A52F67" w:rsidRDefault="00A52F67">
      <w:pPr>
        <w:spacing w:line="276" w:lineRule="auto"/>
        <w:ind w:left="360"/>
        <w:rPr>
          <w:rFonts w:cs="Arial"/>
          <w:szCs w:val="18"/>
        </w:rPr>
      </w:pPr>
    </w:p>
    <w:p w:rsidR="00A52F67" w:rsidP="00A52F67" w:rsidRDefault="00A52F67">
      <w:pPr>
        <w:tabs>
          <w:tab w:val="left" w:pos="540"/>
        </w:tabs>
        <w:spacing w:line="276" w:lineRule="auto"/>
        <w:rPr>
          <w:szCs w:val="18"/>
        </w:rPr>
      </w:pPr>
      <w:r>
        <w:rPr>
          <w:szCs w:val="18"/>
        </w:rPr>
        <w:t>De jaarlijkse uitgaven via het BCF bedragen bijna € 3 mld. (2015)</w:t>
      </w:r>
      <w:r w:rsidR="00BB47E9">
        <w:rPr>
          <w:szCs w:val="18"/>
        </w:rPr>
        <w:t xml:space="preserve"> en het hele artikel wordt geëvalueerd.</w:t>
      </w:r>
      <w:r>
        <w:rPr>
          <w:szCs w:val="18"/>
        </w:rPr>
        <w:t xml:space="preserve"> </w:t>
      </w:r>
      <w:r w:rsidRPr="007F44F4">
        <w:rPr>
          <w:szCs w:val="18"/>
        </w:rPr>
        <w:t>D</w:t>
      </w:r>
      <w:r>
        <w:rPr>
          <w:szCs w:val="18"/>
        </w:rPr>
        <w:t xml:space="preserve">e uitgaven worden bepaald door de hoeveelheid btw die gemeenten en </w:t>
      </w:r>
      <w:r w:rsidRPr="00111703">
        <w:rPr>
          <w:szCs w:val="18"/>
        </w:rPr>
        <w:t>provincies</w:t>
      </w:r>
      <w:r>
        <w:rPr>
          <w:szCs w:val="18"/>
        </w:rPr>
        <w:t xml:space="preserve"> declareren</w:t>
      </w:r>
      <w:r w:rsidRPr="00111703">
        <w:rPr>
          <w:szCs w:val="18"/>
        </w:rPr>
        <w:t xml:space="preserve">. </w:t>
      </w:r>
      <w:r>
        <w:rPr>
          <w:szCs w:val="18"/>
        </w:rPr>
        <w:t xml:space="preserve">Sinds 2015 is er een plafond gesteld aan de </w:t>
      </w:r>
      <w:r w:rsidRPr="00111703">
        <w:rPr>
          <w:szCs w:val="18"/>
        </w:rPr>
        <w:t xml:space="preserve">uitgaven </w:t>
      </w:r>
      <w:r>
        <w:rPr>
          <w:szCs w:val="18"/>
        </w:rPr>
        <w:t xml:space="preserve">binnen het BCF. Deze </w:t>
      </w:r>
      <w:r w:rsidRPr="00CC7E98">
        <w:rPr>
          <w:rFonts w:cs="Arial"/>
          <w:szCs w:val="18"/>
        </w:rPr>
        <w:t>afspr</w:t>
      </w:r>
      <w:r>
        <w:rPr>
          <w:rFonts w:cs="Arial"/>
          <w:szCs w:val="18"/>
        </w:rPr>
        <w:t xml:space="preserve">aak is gemaakt </w:t>
      </w:r>
      <w:r w:rsidRPr="00CC7E98">
        <w:rPr>
          <w:rFonts w:cs="Arial"/>
          <w:szCs w:val="18"/>
        </w:rPr>
        <w:t>in het financieel akkoord</w:t>
      </w:r>
      <w:r>
        <w:rPr>
          <w:rFonts w:cs="Arial"/>
          <w:szCs w:val="18"/>
        </w:rPr>
        <w:t xml:space="preserve"> tussen Rijk en medeoverheden in 2013</w:t>
      </w:r>
      <w:r w:rsidRPr="00CC7E98">
        <w:rPr>
          <w:rStyle w:val="Voetnootmarkering"/>
          <w:rFonts w:cs="Arial"/>
          <w:szCs w:val="18"/>
        </w:rPr>
        <w:footnoteReference w:id="2"/>
      </w:r>
      <w:r w:rsidRPr="00CC7E98">
        <w:rPr>
          <w:rFonts w:cs="Arial"/>
          <w:szCs w:val="18"/>
        </w:rPr>
        <w:t xml:space="preserve">. Het plafond </w:t>
      </w:r>
      <w:r>
        <w:rPr>
          <w:rFonts w:cs="Arial"/>
          <w:szCs w:val="18"/>
        </w:rPr>
        <w:t>volgt</w:t>
      </w:r>
      <w:r w:rsidRPr="00CC7E98">
        <w:rPr>
          <w:rFonts w:cs="Arial"/>
          <w:szCs w:val="18"/>
        </w:rPr>
        <w:t xml:space="preserve"> de </w:t>
      </w:r>
      <w:r>
        <w:rPr>
          <w:rFonts w:cs="Arial"/>
          <w:szCs w:val="18"/>
        </w:rPr>
        <w:t xml:space="preserve">ontwikkeling van </w:t>
      </w:r>
      <w:r w:rsidRPr="00CC7E98">
        <w:rPr>
          <w:rFonts w:cs="Arial"/>
          <w:szCs w:val="18"/>
        </w:rPr>
        <w:t xml:space="preserve">het </w:t>
      </w:r>
      <w:r>
        <w:rPr>
          <w:rFonts w:cs="Arial"/>
          <w:szCs w:val="18"/>
        </w:rPr>
        <w:t>G</w:t>
      </w:r>
      <w:r w:rsidRPr="00CC7E98">
        <w:rPr>
          <w:rFonts w:cs="Arial"/>
          <w:szCs w:val="18"/>
        </w:rPr>
        <w:t xml:space="preserve">emeentefonds en </w:t>
      </w:r>
      <w:r>
        <w:rPr>
          <w:rFonts w:cs="Arial"/>
          <w:szCs w:val="18"/>
        </w:rPr>
        <w:t>het P</w:t>
      </w:r>
      <w:r w:rsidRPr="00CC7E98">
        <w:rPr>
          <w:rFonts w:cs="Arial"/>
          <w:szCs w:val="18"/>
        </w:rPr>
        <w:t>rovinciefonds</w:t>
      </w:r>
      <w:r>
        <w:rPr>
          <w:rFonts w:cs="Arial"/>
          <w:szCs w:val="18"/>
        </w:rPr>
        <w:t xml:space="preserve"> en </w:t>
      </w:r>
      <w:r w:rsidRPr="00CC7E98">
        <w:rPr>
          <w:rFonts w:cs="Arial"/>
          <w:szCs w:val="18"/>
        </w:rPr>
        <w:t>wordt aangepast voor</w:t>
      </w:r>
      <w:r>
        <w:rPr>
          <w:rFonts w:cs="Arial"/>
          <w:szCs w:val="18"/>
        </w:rPr>
        <w:t xml:space="preserve"> overhevelingen van taken</w:t>
      </w:r>
      <w:r w:rsidRPr="00CC7E98">
        <w:rPr>
          <w:rFonts w:cs="Arial"/>
          <w:szCs w:val="18"/>
        </w:rPr>
        <w:t xml:space="preserve"> die gepaard gaan met onttrekkingen of toevoegingen aan het BCF. </w:t>
      </w:r>
      <w:r>
        <w:rPr>
          <w:rFonts w:cs="Arial"/>
          <w:szCs w:val="18"/>
        </w:rPr>
        <w:t xml:space="preserve">Bij overschrijding van </w:t>
      </w:r>
      <w:r w:rsidRPr="00CC7E98">
        <w:rPr>
          <w:rFonts w:cs="Arial"/>
          <w:szCs w:val="18"/>
        </w:rPr>
        <w:t xml:space="preserve">het plafond, komt het verschil ten laste van het </w:t>
      </w:r>
      <w:r>
        <w:rPr>
          <w:rFonts w:cs="Arial"/>
          <w:szCs w:val="18"/>
        </w:rPr>
        <w:t>G</w:t>
      </w:r>
      <w:r w:rsidRPr="00CC7E98">
        <w:rPr>
          <w:rFonts w:cs="Arial"/>
          <w:szCs w:val="18"/>
        </w:rPr>
        <w:t xml:space="preserve">emeentefonds en </w:t>
      </w:r>
      <w:r>
        <w:rPr>
          <w:rFonts w:cs="Arial"/>
          <w:szCs w:val="18"/>
        </w:rPr>
        <w:t>het P</w:t>
      </w:r>
      <w:r w:rsidRPr="00CC7E98">
        <w:rPr>
          <w:rFonts w:cs="Arial"/>
          <w:szCs w:val="18"/>
        </w:rPr>
        <w:t xml:space="preserve">rovinciefonds. Bij een realisatie lager dan het plafond, komt het verschil ten gunste </w:t>
      </w:r>
      <w:r>
        <w:rPr>
          <w:rFonts w:cs="Arial"/>
          <w:szCs w:val="18"/>
        </w:rPr>
        <w:t>van</w:t>
      </w:r>
      <w:r w:rsidRPr="00CC7E98">
        <w:rPr>
          <w:rFonts w:cs="Arial"/>
          <w:szCs w:val="18"/>
        </w:rPr>
        <w:t xml:space="preserve"> het </w:t>
      </w:r>
      <w:r>
        <w:rPr>
          <w:rFonts w:cs="Arial"/>
          <w:szCs w:val="18"/>
        </w:rPr>
        <w:t>G</w:t>
      </w:r>
      <w:r w:rsidRPr="00CC7E98">
        <w:rPr>
          <w:rFonts w:cs="Arial"/>
          <w:szCs w:val="18"/>
        </w:rPr>
        <w:t xml:space="preserve">emeentefonds en </w:t>
      </w:r>
      <w:r>
        <w:rPr>
          <w:rFonts w:cs="Arial"/>
          <w:szCs w:val="18"/>
        </w:rPr>
        <w:t>het P</w:t>
      </w:r>
      <w:r w:rsidRPr="00CC7E98">
        <w:rPr>
          <w:rFonts w:cs="Arial"/>
          <w:szCs w:val="18"/>
        </w:rPr>
        <w:t>rovinciefonds.</w:t>
      </w:r>
    </w:p>
    <w:p w:rsidR="00A52F67" w:rsidP="00A52F67" w:rsidRDefault="00A52F67">
      <w:pPr>
        <w:tabs>
          <w:tab w:val="left" w:pos="540"/>
        </w:tabs>
        <w:spacing w:line="276" w:lineRule="auto"/>
        <w:rPr>
          <w:rFonts w:cs="Arial"/>
          <w:szCs w:val="18"/>
        </w:rPr>
      </w:pPr>
    </w:p>
    <w:p w:rsidRPr="00BB47E9" w:rsidR="00BB47E9" w:rsidP="00BB47E9" w:rsidRDefault="00BB47E9">
      <w:pPr>
        <w:pStyle w:val="Default"/>
        <w:spacing w:line="276" w:lineRule="auto"/>
        <w:rPr>
          <w:rFonts w:asciiTheme="majorHAnsi" w:hAnsiTheme="majorHAnsi"/>
          <w:b/>
          <w:i/>
          <w:sz w:val="18"/>
          <w:szCs w:val="18"/>
        </w:rPr>
      </w:pPr>
      <w:r w:rsidRPr="00BB47E9">
        <w:rPr>
          <w:rFonts w:asciiTheme="minorHAnsi" w:hAnsiTheme="minorHAnsi"/>
          <w:b/>
          <w:color w:val="auto"/>
          <w:sz w:val="18"/>
          <w:szCs w:val="18"/>
        </w:rPr>
        <w:t xml:space="preserve">3. </w:t>
      </w:r>
      <w:r w:rsidRPr="00BB47E9">
        <w:rPr>
          <w:rFonts w:asciiTheme="majorHAnsi" w:hAnsiTheme="majorHAnsi"/>
          <w:b/>
          <w:sz w:val="18"/>
          <w:szCs w:val="18"/>
        </w:rPr>
        <w:t>Onderzoeksvragen en methodiek</w:t>
      </w:r>
    </w:p>
    <w:p w:rsidRPr="00D25165" w:rsidR="00A52F67" w:rsidP="00A52F67" w:rsidRDefault="00A52F67"/>
    <w:p w:rsidR="00A52F67" w:rsidP="00A52F67" w:rsidRDefault="00A52F67">
      <w:pPr>
        <w:tabs>
          <w:tab w:val="left" w:pos="540"/>
        </w:tabs>
        <w:spacing w:line="276" w:lineRule="auto"/>
        <w:rPr>
          <w:rFonts w:cs="Arial"/>
          <w:szCs w:val="18"/>
        </w:rPr>
      </w:pPr>
      <w:r w:rsidRPr="00D44073">
        <w:rPr>
          <w:rFonts w:cs="Arial"/>
          <w:szCs w:val="18"/>
        </w:rPr>
        <w:t>Met de beleidsdoorlichting wordt beoogd de doeltreffendheid en doelmatigheid van het gevoerde beleid in beeld te brengen.</w:t>
      </w:r>
      <w:r w:rsidRPr="00484D09">
        <w:rPr>
          <w:rFonts w:cs="Arial"/>
          <w:szCs w:val="18"/>
        </w:rPr>
        <w:t xml:space="preserve"> </w:t>
      </w:r>
      <w:r>
        <w:rPr>
          <w:rFonts w:cs="Arial"/>
          <w:szCs w:val="18"/>
        </w:rPr>
        <w:t>De centrale vraag hierbij is of het BCF op een doelmatige wijze effectief  heeft bijgedragen aan de afweging van decentrale overheden tussen uitbesteding en inbesteding.</w:t>
      </w:r>
    </w:p>
    <w:p w:rsidR="00A52F67" w:rsidP="00A52F67" w:rsidRDefault="00A52F67">
      <w:pPr>
        <w:tabs>
          <w:tab w:val="left" w:pos="540"/>
        </w:tabs>
        <w:spacing w:line="276" w:lineRule="auto"/>
        <w:rPr>
          <w:rFonts w:cs="Arial"/>
          <w:szCs w:val="18"/>
        </w:rPr>
      </w:pPr>
    </w:p>
    <w:p w:rsidR="00A52F67" w:rsidP="00A52F67" w:rsidRDefault="00A52F67">
      <w:pPr>
        <w:tabs>
          <w:tab w:val="left" w:pos="540"/>
        </w:tabs>
        <w:spacing w:line="276" w:lineRule="auto"/>
        <w:rPr>
          <w:rFonts w:cs="Arial"/>
          <w:szCs w:val="18"/>
        </w:rPr>
      </w:pPr>
      <w:r>
        <w:rPr>
          <w:rFonts w:cs="Verdana" w:eastAsiaTheme="minorHAnsi"/>
          <w:szCs w:val="18"/>
          <w:lang w:eastAsia="en-US"/>
        </w:rPr>
        <w:t>B</w:t>
      </w:r>
      <w:r w:rsidRPr="00D44073">
        <w:rPr>
          <w:rFonts w:cs="Verdana" w:eastAsiaTheme="minorHAnsi"/>
          <w:szCs w:val="18"/>
          <w:lang w:eastAsia="en-US"/>
        </w:rPr>
        <w:t>ij de beantwoording van de</w:t>
      </w:r>
      <w:r>
        <w:rPr>
          <w:rFonts w:cs="Verdana" w:eastAsiaTheme="minorHAnsi"/>
          <w:szCs w:val="18"/>
          <w:lang w:eastAsia="en-US"/>
        </w:rPr>
        <w:t>ze</w:t>
      </w:r>
      <w:r w:rsidRPr="00D44073">
        <w:rPr>
          <w:rFonts w:cs="Verdana" w:eastAsiaTheme="minorHAnsi"/>
          <w:szCs w:val="18"/>
          <w:lang w:eastAsia="en-US"/>
        </w:rPr>
        <w:t xml:space="preserve"> vra</w:t>
      </w:r>
      <w:r>
        <w:rPr>
          <w:rFonts w:cs="Verdana" w:eastAsiaTheme="minorHAnsi"/>
          <w:szCs w:val="18"/>
          <w:lang w:eastAsia="en-US"/>
        </w:rPr>
        <w:t>a</w:t>
      </w:r>
      <w:r w:rsidRPr="00D44073">
        <w:rPr>
          <w:rFonts w:cs="Verdana" w:eastAsiaTheme="minorHAnsi"/>
          <w:szCs w:val="18"/>
          <w:lang w:eastAsia="en-US"/>
        </w:rPr>
        <w:t>g</w:t>
      </w:r>
      <w:r>
        <w:rPr>
          <w:rFonts w:cs="Verdana" w:eastAsiaTheme="minorHAnsi"/>
          <w:szCs w:val="18"/>
          <w:lang w:eastAsia="en-US"/>
        </w:rPr>
        <w:t xml:space="preserve"> is de onderzoeksmethodiek primair op basis van deskresearch. Hierbij wordt zoveel mogelijk</w:t>
      </w:r>
      <w:r w:rsidRPr="00D44073">
        <w:rPr>
          <w:rFonts w:cs="Verdana" w:eastAsiaTheme="minorHAnsi"/>
          <w:szCs w:val="18"/>
          <w:lang w:eastAsia="en-US"/>
        </w:rPr>
        <w:t xml:space="preserve"> gebruik gemaakt van eerder verschenen onderzoeken op het gebied van het BCF</w:t>
      </w:r>
      <w:r>
        <w:rPr>
          <w:rFonts w:cs="Verdana" w:eastAsiaTheme="minorHAnsi"/>
          <w:szCs w:val="18"/>
          <w:lang w:eastAsia="en-US"/>
        </w:rPr>
        <w:t xml:space="preserve"> (zie laatste paragraaf) en zal met name</w:t>
      </w:r>
      <w:r w:rsidRPr="00504A3D">
        <w:rPr>
          <w:rFonts w:cs="Arial"/>
          <w:szCs w:val="18"/>
        </w:rPr>
        <w:t xml:space="preserve"> worden voortgebouwd op de beleidsdoorlichting uit 2010</w:t>
      </w:r>
      <w:r>
        <w:rPr>
          <w:rFonts w:cs="Arial"/>
          <w:szCs w:val="18"/>
        </w:rPr>
        <w:t xml:space="preserve">. </w:t>
      </w:r>
      <w:r w:rsidR="007541C9">
        <w:rPr>
          <w:rFonts w:cs="Arial"/>
          <w:szCs w:val="18"/>
        </w:rPr>
        <w:t>Deze macroanalyse kan v</w:t>
      </w:r>
      <w:r>
        <w:rPr>
          <w:rFonts w:cs="Arial"/>
          <w:szCs w:val="18"/>
        </w:rPr>
        <w:t xml:space="preserve">erder </w:t>
      </w:r>
      <w:r w:rsidR="007541C9">
        <w:rPr>
          <w:rFonts w:cs="Arial"/>
          <w:szCs w:val="18"/>
        </w:rPr>
        <w:t xml:space="preserve">aangevuld worden met </w:t>
      </w:r>
      <w:r>
        <w:rPr>
          <w:rFonts w:cs="Arial"/>
          <w:szCs w:val="18"/>
        </w:rPr>
        <w:t>interviews met de relevante stakeholders</w:t>
      </w:r>
      <w:r w:rsidR="00514C96">
        <w:rPr>
          <w:rFonts w:cs="Arial"/>
          <w:szCs w:val="18"/>
        </w:rPr>
        <w:t xml:space="preserve"> bij bijvoorbeeld gemeenten en provincies</w:t>
      </w:r>
      <w:r>
        <w:rPr>
          <w:rFonts w:cs="Arial"/>
          <w:szCs w:val="18"/>
        </w:rPr>
        <w:t xml:space="preserve">. </w:t>
      </w:r>
      <w:r w:rsidR="006F570D">
        <w:rPr>
          <w:rFonts w:cs="Arial"/>
          <w:szCs w:val="18"/>
        </w:rPr>
        <w:t xml:space="preserve">Met deze microanalyse kunnen </w:t>
      </w:r>
      <w:r w:rsidR="007541C9">
        <w:rPr>
          <w:rFonts w:cs="Arial"/>
          <w:szCs w:val="18"/>
        </w:rPr>
        <w:t xml:space="preserve">o.a. de effecten van de veranderingen sinds de beleidsdoorlichting uit 2010 worden onderzocht. </w:t>
      </w:r>
      <w:r>
        <w:rPr>
          <w:rFonts w:cs="Arial"/>
          <w:szCs w:val="18"/>
        </w:rPr>
        <w:t>C</w:t>
      </w:r>
      <w:r w:rsidRPr="00D44073">
        <w:rPr>
          <w:rFonts w:cs="Arial"/>
          <w:szCs w:val="18"/>
        </w:rPr>
        <w:t xml:space="preserve">onform de </w:t>
      </w:r>
      <w:r>
        <w:rPr>
          <w:rFonts w:cs="Arial"/>
          <w:szCs w:val="18"/>
        </w:rPr>
        <w:t>Rpe bevat de beleidsdoorlichting BTW-Compensatiefonds de onderstaande onderdelen.</w:t>
      </w:r>
    </w:p>
    <w:p w:rsidR="00A52F67" w:rsidP="00A52F67" w:rsidRDefault="00A52F67">
      <w:pPr>
        <w:autoSpaceDE w:val="0"/>
        <w:autoSpaceDN w:val="0"/>
        <w:adjustRightInd w:val="0"/>
        <w:spacing w:line="276" w:lineRule="auto"/>
        <w:rPr>
          <w:rFonts w:cs="Verdana" w:eastAsiaTheme="minorHAnsi"/>
          <w:szCs w:val="18"/>
          <w:lang w:eastAsia="en-US"/>
        </w:rPr>
      </w:pPr>
    </w:p>
    <w:p w:rsidR="00A52F67" w:rsidP="00A52F67" w:rsidRDefault="00A52F67">
      <w:pPr>
        <w:pStyle w:val="Default"/>
        <w:spacing w:line="276" w:lineRule="auto"/>
        <w:ind w:left="426" w:hanging="426"/>
        <w:rPr>
          <w:rFonts w:eastAsia="MS Mincho" w:cs="Arial"/>
          <w:color w:val="auto"/>
          <w:sz w:val="18"/>
          <w:szCs w:val="18"/>
          <w:lang w:eastAsia="nl-NL"/>
        </w:rPr>
      </w:pPr>
      <w:r w:rsidRPr="00634686">
        <w:rPr>
          <w:rFonts w:eastAsia="MS Mincho" w:cs="Arial"/>
          <w:color w:val="auto"/>
          <w:sz w:val="18"/>
          <w:szCs w:val="18"/>
          <w:lang w:eastAsia="nl-NL"/>
        </w:rPr>
        <w:t>a.</w:t>
      </w:r>
      <w:r w:rsidRPr="00634686">
        <w:rPr>
          <w:rFonts w:eastAsia="MS Mincho" w:cs="Arial"/>
          <w:color w:val="auto"/>
          <w:sz w:val="18"/>
          <w:szCs w:val="18"/>
          <w:lang w:eastAsia="nl-NL"/>
        </w:rPr>
        <w:tab/>
        <w:t xml:space="preserve">een afbakening van het te onderzoeken beleidsterrein; </w:t>
      </w:r>
    </w:p>
    <w:p w:rsidR="00A52F67" w:rsidP="00A52F67" w:rsidRDefault="00A52F67">
      <w:pPr>
        <w:pStyle w:val="Default"/>
        <w:spacing w:line="276" w:lineRule="auto"/>
        <w:ind w:left="426" w:hanging="426"/>
        <w:rPr>
          <w:rFonts w:eastAsia="MS Mincho" w:cs="Arial"/>
          <w:color w:val="auto"/>
          <w:sz w:val="18"/>
          <w:szCs w:val="18"/>
          <w:lang w:eastAsia="nl-NL"/>
        </w:rPr>
      </w:pPr>
      <w:r w:rsidRPr="00634686">
        <w:rPr>
          <w:rFonts w:eastAsia="MS Mincho" w:cs="Arial"/>
          <w:color w:val="auto"/>
          <w:sz w:val="18"/>
          <w:szCs w:val="18"/>
          <w:lang w:eastAsia="nl-NL"/>
        </w:rPr>
        <w:t>b.</w:t>
      </w:r>
      <w:r w:rsidRPr="00634686">
        <w:rPr>
          <w:rFonts w:eastAsia="MS Mincho" w:cs="Arial"/>
          <w:color w:val="auto"/>
          <w:sz w:val="18"/>
          <w:szCs w:val="18"/>
          <w:lang w:eastAsia="nl-NL"/>
        </w:rPr>
        <w:tab/>
        <w:t xml:space="preserve">de gehanteerde motivering voor het beleid en de met het beleid beoogde doelen; </w:t>
      </w:r>
    </w:p>
    <w:p w:rsidR="00A52F67" w:rsidP="00A52F67" w:rsidRDefault="00A52F67">
      <w:pPr>
        <w:pStyle w:val="Default"/>
        <w:spacing w:line="276" w:lineRule="auto"/>
        <w:ind w:left="426" w:hanging="426"/>
        <w:rPr>
          <w:rFonts w:eastAsia="MS Mincho" w:cs="Arial"/>
          <w:color w:val="auto"/>
          <w:sz w:val="18"/>
          <w:szCs w:val="18"/>
          <w:lang w:eastAsia="nl-NL"/>
        </w:rPr>
      </w:pPr>
      <w:r w:rsidRPr="00634686">
        <w:rPr>
          <w:rFonts w:eastAsia="MS Mincho" w:cs="Arial"/>
          <w:color w:val="auto"/>
          <w:sz w:val="18"/>
          <w:szCs w:val="18"/>
          <w:lang w:eastAsia="nl-NL"/>
        </w:rPr>
        <w:lastRenderedPageBreak/>
        <w:t>c.</w:t>
      </w:r>
      <w:r w:rsidRPr="00634686">
        <w:rPr>
          <w:rFonts w:eastAsia="MS Mincho" w:cs="Arial"/>
          <w:color w:val="auto"/>
          <w:sz w:val="18"/>
          <w:szCs w:val="18"/>
          <w:lang w:eastAsia="nl-NL"/>
        </w:rPr>
        <w:tab/>
        <w:t xml:space="preserve">een beschrijving van het beleidsterrein en de onderbouwing van de daarmee gemoeide uitgaven; </w:t>
      </w:r>
    </w:p>
    <w:p w:rsidR="00A52F67" w:rsidP="00A52F67" w:rsidRDefault="00A52F67">
      <w:pPr>
        <w:pStyle w:val="Default"/>
        <w:spacing w:line="276" w:lineRule="auto"/>
        <w:ind w:left="426" w:hanging="426"/>
        <w:rPr>
          <w:rFonts w:eastAsia="MS Mincho" w:cs="Arial"/>
          <w:color w:val="auto"/>
          <w:sz w:val="18"/>
          <w:szCs w:val="18"/>
          <w:lang w:eastAsia="nl-NL"/>
        </w:rPr>
      </w:pPr>
      <w:r w:rsidRPr="00634686">
        <w:rPr>
          <w:rFonts w:eastAsia="MS Mincho" w:cs="Arial"/>
          <w:color w:val="auto"/>
          <w:sz w:val="18"/>
          <w:szCs w:val="18"/>
          <w:lang w:eastAsia="nl-NL"/>
        </w:rPr>
        <w:t xml:space="preserve">d. </w:t>
      </w:r>
      <w:r w:rsidRPr="00634686">
        <w:rPr>
          <w:rFonts w:eastAsia="MS Mincho" w:cs="Arial"/>
          <w:color w:val="auto"/>
          <w:sz w:val="18"/>
          <w:szCs w:val="18"/>
          <w:lang w:eastAsia="nl-NL"/>
        </w:rPr>
        <w:tab/>
        <w:t xml:space="preserve">een overzicht van eerder uitgevoerd onderzoek naar doeltreffendheid en doelmatigheid en een onderbouwing van de gekozen evaluatieprogrammering; </w:t>
      </w:r>
    </w:p>
    <w:p w:rsidR="00A52F67" w:rsidP="00A52F67" w:rsidRDefault="00A52F67">
      <w:pPr>
        <w:pStyle w:val="Default"/>
        <w:spacing w:line="276" w:lineRule="auto"/>
        <w:ind w:left="426" w:hanging="426"/>
        <w:rPr>
          <w:rFonts w:eastAsia="MS Mincho" w:cs="Arial"/>
          <w:color w:val="auto"/>
          <w:sz w:val="18"/>
          <w:szCs w:val="18"/>
          <w:lang w:eastAsia="nl-NL"/>
        </w:rPr>
      </w:pPr>
      <w:r w:rsidRPr="00634686">
        <w:rPr>
          <w:rFonts w:eastAsia="MS Mincho" w:cs="Arial"/>
          <w:color w:val="auto"/>
          <w:sz w:val="18"/>
          <w:szCs w:val="18"/>
          <w:lang w:eastAsia="nl-NL"/>
        </w:rPr>
        <w:t xml:space="preserve">e. </w:t>
      </w:r>
      <w:r w:rsidRPr="00634686">
        <w:rPr>
          <w:rFonts w:eastAsia="MS Mincho" w:cs="Arial"/>
          <w:color w:val="auto"/>
          <w:sz w:val="18"/>
          <w:szCs w:val="18"/>
          <w:lang w:eastAsia="nl-NL"/>
        </w:rPr>
        <w:tab/>
        <w:t xml:space="preserve">de effecten van het gevoerde beleid en een analyse en beoordeling van de </w:t>
      </w:r>
    </w:p>
    <w:p w:rsidR="00A52F67" w:rsidP="00A52F67" w:rsidRDefault="00A52F67">
      <w:pPr>
        <w:pStyle w:val="Default"/>
        <w:spacing w:line="276" w:lineRule="auto"/>
        <w:ind w:left="426"/>
        <w:rPr>
          <w:sz w:val="18"/>
          <w:szCs w:val="18"/>
        </w:rPr>
      </w:pPr>
      <w:r w:rsidRPr="00634686">
        <w:rPr>
          <w:rFonts w:eastAsia="MS Mincho" w:cs="Arial"/>
          <w:color w:val="auto"/>
          <w:sz w:val="18"/>
          <w:szCs w:val="18"/>
          <w:lang w:eastAsia="nl-NL"/>
        </w:rPr>
        <w:t xml:space="preserve">doeltreffendheid en doelmatigheid van het gevoerde beleid, dat wil zeggen </w:t>
      </w:r>
      <w:r w:rsidRPr="00634686">
        <w:rPr>
          <w:sz w:val="18"/>
          <w:szCs w:val="18"/>
        </w:rPr>
        <w:t xml:space="preserve">alle instrumenten in hun onderlinge samenhang, en - indien relevant - de effecten van het beleid op economische groei en regeldruk; </w:t>
      </w:r>
    </w:p>
    <w:p w:rsidR="00A52F67" w:rsidP="00A52F67" w:rsidRDefault="00A52F67">
      <w:pPr>
        <w:pStyle w:val="Default"/>
        <w:spacing w:line="276" w:lineRule="auto"/>
        <w:ind w:left="426" w:hanging="426"/>
        <w:rPr>
          <w:sz w:val="18"/>
          <w:szCs w:val="18"/>
        </w:rPr>
      </w:pPr>
      <w:r w:rsidRPr="00634686">
        <w:rPr>
          <w:sz w:val="18"/>
          <w:szCs w:val="18"/>
        </w:rPr>
        <w:t xml:space="preserve">f. </w:t>
      </w:r>
      <w:r w:rsidRPr="00634686">
        <w:rPr>
          <w:sz w:val="18"/>
          <w:szCs w:val="18"/>
        </w:rPr>
        <w:tab/>
        <w:t xml:space="preserve">een beschouwing over de maatregelen die genomen kunnen worden ter verdere verhoging van de doelmatigheid en de doeltreffendheid van het beleid; </w:t>
      </w:r>
    </w:p>
    <w:p w:rsidR="00A52F67" w:rsidP="00A52F67" w:rsidRDefault="00A52F67">
      <w:pPr>
        <w:pStyle w:val="Default"/>
        <w:spacing w:line="276" w:lineRule="auto"/>
        <w:ind w:left="426" w:hanging="426"/>
        <w:rPr>
          <w:sz w:val="18"/>
          <w:szCs w:val="18"/>
        </w:rPr>
      </w:pPr>
      <w:r w:rsidRPr="00634686">
        <w:rPr>
          <w:sz w:val="18"/>
          <w:szCs w:val="18"/>
        </w:rPr>
        <w:t xml:space="preserve">g. </w:t>
      </w:r>
      <w:r w:rsidRPr="00634686">
        <w:rPr>
          <w:sz w:val="18"/>
          <w:szCs w:val="18"/>
        </w:rPr>
        <w:tab/>
        <w:t>een beschrijving van beleidsopties indien er significant minder middelen (-/- 20%) beschikbaar zijn.</w:t>
      </w:r>
    </w:p>
    <w:p w:rsidR="00A52F67" w:rsidP="00A52F67" w:rsidRDefault="00A52F67">
      <w:pPr>
        <w:tabs>
          <w:tab w:val="left" w:pos="540"/>
        </w:tabs>
        <w:spacing w:line="276" w:lineRule="auto"/>
        <w:rPr>
          <w:rFonts w:cs="Arial"/>
          <w:b/>
          <w:szCs w:val="18"/>
        </w:rPr>
      </w:pPr>
    </w:p>
    <w:p w:rsidRPr="00BB47E9" w:rsidR="00A52F67" w:rsidP="00A52F67" w:rsidRDefault="00BB47E9">
      <w:pPr>
        <w:pStyle w:val="Kop1"/>
        <w:keepNext w:val="0"/>
        <w:tabs>
          <w:tab w:val="left" w:pos="540"/>
        </w:tabs>
        <w:spacing w:before="0" w:line="276" w:lineRule="auto"/>
        <w:ind w:left="284" w:hanging="284"/>
        <w:contextualSpacing/>
        <w:rPr>
          <w:color w:val="auto"/>
          <w:sz w:val="18"/>
          <w:szCs w:val="18"/>
        </w:rPr>
      </w:pPr>
      <w:r>
        <w:rPr>
          <w:color w:val="auto"/>
          <w:sz w:val="18"/>
          <w:szCs w:val="18"/>
        </w:rPr>
        <w:t xml:space="preserve">4. </w:t>
      </w:r>
      <w:r w:rsidRPr="00BB47E9" w:rsidR="00A52F67">
        <w:rPr>
          <w:color w:val="auto"/>
          <w:sz w:val="18"/>
          <w:szCs w:val="18"/>
        </w:rPr>
        <w:t>Organisatie Beleidsdoorlichting</w:t>
      </w:r>
    </w:p>
    <w:p w:rsidRPr="00D25165" w:rsidR="00A52F67" w:rsidP="00A52F67" w:rsidRDefault="00A52F67"/>
    <w:p w:rsidR="00A52F67" w:rsidP="00A52F67" w:rsidRDefault="00A52F67">
      <w:pPr>
        <w:autoSpaceDE w:val="0"/>
        <w:autoSpaceDN w:val="0"/>
        <w:adjustRightInd w:val="0"/>
        <w:spacing w:line="276" w:lineRule="auto"/>
        <w:rPr>
          <w:rFonts w:cs="Verdana" w:eastAsiaTheme="minorHAnsi"/>
          <w:szCs w:val="18"/>
          <w:lang w:eastAsia="en-US"/>
        </w:rPr>
      </w:pPr>
      <w:r>
        <w:rPr>
          <w:rFonts w:cs="Verdana" w:eastAsiaTheme="minorHAnsi"/>
          <w:szCs w:val="18"/>
          <w:lang w:eastAsia="en-US"/>
        </w:rPr>
        <w:t>De beleidsdoorlichting wordt begeleid door een werkgroep, onder voorzitterschap van Financiën</w:t>
      </w:r>
    </w:p>
    <w:p w:rsidR="00A52F67" w:rsidP="00A52F67" w:rsidRDefault="00A52F67">
      <w:pPr>
        <w:autoSpaceDE w:val="0"/>
        <w:autoSpaceDN w:val="0"/>
        <w:adjustRightInd w:val="0"/>
        <w:spacing w:line="276" w:lineRule="auto"/>
        <w:rPr>
          <w:rFonts w:cs="Arial"/>
          <w:szCs w:val="18"/>
        </w:rPr>
      </w:pPr>
      <w:r>
        <w:rPr>
          <w:rFonts w:cs="Verdana" w:eastAsiaTheme="minorHAnsi"/>
          <w:szCs w:val="18"/>
          <w:lang w:eastAsia="en-US"/>
        </w:rPr>
        <w:t>De werkgroep zal bestaan uit een onafhankelijke deskundige en vertegenwoordigers van de Vereniging van Nederlandse Gemeenten (VNG), Interprovinciaal Overleg (IPO), het ministerie van Binnenlandse Zaken en Koninkrijksrelaties (BZK) en het ministerie van Financiën.</w:t>
      </w:r>
    </w:p>
    <w:p w:rsidR="00A52F67" w:rsidP="00A52F67" w:rsidRDefault="00A52F67">
      <w:pPr>
        <w:autoSpaceDE w:val="0"/>
        <w:autoSpaceDN w:val="0"/>
        <w:adjustRightInd w:val="0"/>
        <w:spacing w:line="276" w:lineRule="auto"/>
        <w:rPr>
          <w:rFonts w:cs="Arial"/>
          <w:szCs w:val="18"/>
        </w:rPr>
      </w:pPr>
    </w:p>
    <w:p w:rsidRPr="00BB47E9" w:rsidR="00A52F67" w:rsidP="00A52F67" w:rsidRDefault="00BB47E9">
      <w:pPr>
        <w:pStyle w:val="Kop1"/>
        <w:keepNext w:val="0"/>
        <w:tabs>
          <w:tab w:val="left" w:pos="540"/>
        </w:tabs>
        <w:spacing w:before="0" w:line="276" w:lineRule="auto"/>
        <w:ind w:left="284" w:hanging="284"/>
        <w:contextualSpacing/>
        <w:rPr>
          <w:rFonts w:asciiTheme="minorHAnsi" w:hAnsiTheme="minorHAnsi"/>
          <w:color w:val="auto"/>
          <w:sz w:val="18"/>
          <w:szCs w:val="18"/>
        </w:rPr>
      </w:pPr>
      <w:r>
        <w:rPr>
          <w:rFonts w:asciiTheme="minorHAnsi" w:hAnsiTheme="minorHAnsi"/>
          <w:color w:val="auto"/>
          <w:sz w:val="18"/>
          <w:szCs w:val="18"/>
        </w:rPr>
        <w:t xml:space="preserve">5. </w:t>
      </w:r>
      <w:r w:rsidRPr="00BB47E9" w:rsidR="00A52F67">
        <w:rPr>
          <w:rFonts w:asciiTheme="minorHAnsi" w:hAnsiTheme="minorHAnsi"/>
          <w:color w:val="auto"/>
          <w:sz w:val="18"/>
          <w:szCs w:val="18"/>
        </w:rPr>
        <w:t xml:space="preserve">Onafhankelijkheid </w:t>
      </w:r>
      <w:r w:rsidRPr="00BB47E9">
        <w:rPr>
          <w:rFonts w:asciiTheme="minorHAnsi" w:hAnsiTheme="minorHAnsi"/>
          <w:color w:val="auto"/>
          <w:sz w:val="18"/>
          <w:szCs w:val="18"/>
        </w:rPr>
        <w:t>en planning</w:t>
      </w:r>
    </w:p>
    <w:p w:rsidRPr="00D25165" w:rsidR="00A52F67" w:rsidP="00A52F67" w:rsidRDefault="00A52F67"/>
    <w:p w:rsidR="00A52F67" w:rsidP="00A52F67" w:rsidRDefault="00A52F67">
      <w:pPr>
        <w:pStyle w:val="Default"/>
        <w:spacing w:line="276" w:lineRule="auto"/>
        <w:rPr>
          <w:rFonts w:eastAsia="MS Mincho" w:cs="Arial"/>
          <w:color w:val="auto"/>
          <w:sz w:val="18"/>
          <w:szCs w:val="18"/>
          <w:lang w:eastAsia="nl-NL"/>
        </w:rPr>
      </w:pPr>
      <w:r w:rsidRPr="00634686">
        <w:rPr>
          <w:rFonts w:eastAsia="MS Mincho" w:cs="Arial"/>
          <w:color w:val="auto"/>
          <w:sz w:val="18"/>
          <w:szCs w:val="18"/>
          <w:lang w:eastAsia="nl-NL"/>
        </w:rPr>
        <w:t xml:space="preserve">De beleidsdoorlichting zal naar de Tweede Kamer worden gestuurd samen met het oordeel van een onafhankelijke deskundige over de kwaliteit ervan, conform </w:t>
      </w:r>
      <w:r>
        <w:rPr>
          <w:rFonts w:eastAsia="MS Mincho" w:cs="Arial"/>
          <w:color w:val="auto"/>
          <w:sz w:val="18"/>
          <w:szCs w:val="18"/>
          <w:lang w:eastAsia="nl-NL"/>
        </w:rPr>
        <w:t>de</w:t>
      </w:r>
      <w:r w:rsidRPr="00634686">
        <w:rPr>
          <w:rFonts w:eastAsia="MS Mincho" w:cs="Arial"/>
          <w:color w:val="auto"/>
          <w:sz w:val="18"/>
          <w:szCs w:val="18"/>
          <w:lang w:eastAsia="nl-NL"/>
        </w:rPr>
        <w:t xml:space="preserve"> </w:t>
      </w:r>
      <w:r>
        <w:rPr>
          <w:rFonts w:eastAsia="MS Mincho" w:cs="Arial"/>
          <w:color w:val="auto"/>
          <w:sz w:val="18"/>
          <w:szCs w:val="18"/>
          <w:lang w:eastAsia="nl-NL"/>
        </w:rPr>
        <w:t>RPE</w:t>
      </w:r>
      <w:r w:rsidRPr="00634686">
        <w:rPr>
          <w:rFonts w:eastAsia="MS Mincho" w:cs="Arial"/>
          <w:color w:val="auto"/>
          <w:sz w:val="18"/>
          <w:szCs w:val="18"/>
          <w:lang w:eastAsia="nl-NL"/>
        </w:rPr>
        <w:t xml:space="preserve">. De onafhankelijke deskundige zal nog geworven worden </w:t>
      </w:r>
      <w:r>
        <w:rPr>
          <w:rFonts w:eastAsia="MS Mincho" w:cs="Arial"/>
          <w:color w:val="auto"/>
          <w:sz w:val="18"/>
          <w:szCs w:val="18"/>
          <w:lang w:eastAsia="nl-NL"/>
        </w:rPr>
        <w:t>conform</w:t>
      </w:r>
      <w:r w:rsidRPr="00634686">
        <w:rPr>
          <w:rFonts w:eastAsia="MS Mincho" w:cs="Arial"/>
          <w:color w:val="auto"/>
          <w:sz w:val="18"/>
          <w:szCs w:val="18"/>
          <w:lang w:eastAsia="nl-NL"/>
        </w:rPr>
        <w:t xml:space="preserve"> de eisen van artikel 3.4 van de </w:t>
      </w:r>
      <w:r>
        <w:rPr>
          <w:rFonts w:eastAsia="MS Mincho" w:cs="Arial"/>
          <w:color w:val="auto"/>
          <w:sz w:val="18"/>
          <w:szCs w:val="18"/>
          <w:lang w:eastAsia="nl-NL"/>
        </w:rPr>
        <w:t>RPE</w:t>
      </w:r>
      <w:r w:rsidRPr="00634686">
        <w:rPr>
          <w:rFonts w:eastAsia="MS Mincho" w:cs="Arial"/>
          <w:color w:val="auto"/>
          <w:sz w:val="18"/>
          <w:szCs w:val="18"/>
          <w:lang w:eastAsia="nl-NL"/>
        </w:rPr>
        <w:t>.</w:t>
      </w:r>
    </w:p>
    <w:p w:rsidRPr="00D25165" w:rsidR="00A52F67" w:rsidP="00A52F67" w:rsidRDefault="00A52F67"/>
    <w:p w:rsidR="00A52F67" w:rsidP="00A52F67" w:rsidRDefault="00A52F67">
      <w:pPr>
        <w:tabs>
          <w:tab w:val="left" w:pos="540"/>
        </w:tabs>
        <w:spacing w:line="276" w:lineRule="auto"/>
        <w:rPr>
          <w:rFonts w:cs="Arial"/>
          <w:szCs w:val="18"/>
        </w:rPr>
      </w:pPr>
      <w:r w:rsidRPr="00CC7E98">
        <w:rPr>
          <w:rFonts w:cs="Arial"/>
          <w:szCs w:val="18"/>
        </w:rPr>
        <w:t>Beoogd wordt om begin januari 2016 te starten met de beleidsdoorlichting</w:t>
      </w:r>
      <w:r>
        <w:rPr>
          <w:rFonts w:cs="Arial"/>
          <w:szCs w:val="18"/>
        </w:rPr>
        <w:t xml:space="preserve"> en de afgeronde beleidsdoorlichting in het vierde kwartaal van 2016 aan uw Kamer aan te bieden.</w:t>
      </w:r>
    </w:p>
    <w:p w:rsidRPr="00BB47E9" w:rsidR="00A52F67" w:rsidP="00A52F67" w:rsidRDefault="00A52F67">
      <w:pPr>
        <w:pStyle w:val="Kop2"/>
        <w:spacing w:line="276" w:lineRule="auto"/>
        <w:rPr>
          <w:bCs w:val="0"/>
          <w:i w:val="0"/>
          <w:sz w:val="18"/>
          <w:szCs w:val="18"/>
        </w:rPr>
      </w:pPr>
      <w:r w:rsidRPr="00BB47E9">
        <w:rPr>
          <w:i w:val="0"/>
          <w:sz w:val="18"/>
          <w:szCs w:val="18"/>
        </w:rPr>
        <w:t>Overzicht van eerder uitgevoerd onderzoek</w:t>
      </w:r>
    </w:p>
    <w:p w:rsidR="00A52F67" w:rsidP="00A52F67" w:rsidRDefault="00A52F67">
      <w:pPr>
        <w:pStyle w:val="Lijstalinea"/>
        <w:tabs>
          <w:tab w:val="left" w:pos="540"/>
        </w:tabs>
        <w:spacing w:line="276" w:lineRule="auto"/>
        <w:ind w:left="0"/>
        <w:rPr>
          <w:rFonts w:ascii="Verdana" w:hAnsi="Verdana" w:cs="Arial"/>
          <w:i/>
          <w:sz w:val="18"/>
          <w:szCs w:val="18"/>
        </w:rPr>
      </w:pPr>
    </w:p>
    <w:p w:rsidRPr="00504A3D" w:rsidR="00A52F67" w:rsidP="00A52F67" w:rsidRDefault="00A52F67">
      <w:pPr>
        <w:tabs>
          <w:tab w:val="left" w:pos="540"/>
        </w:tabs>
        <w:spacing w:line="276" w:lineRule="auto"/>
        <w:rPr>
          <w:szCs w:val="18"/>
        </w:rPr>
      </w:pPr>
      <w:r w:rsidRPr="00504A3D">
        <w:rPr>
          <w:szCs w:val="18"/>
        </w:rPr>
        <w:t xml:space="preserve">Ministerie van Financiën (maart 2006) Het Nederlandse BTW-compensatiefonds in internationaal perspectief. </w:t>
      </w:r>
      <w:r w:rsidRPr="00F056AD" w:rsidR="00F056AD">
        <w:rPr>
          <w:szCs w:val="18"/>
        </w:rPr>
        <w:t>http://www.rijksoverheid.nl/documenten-en-publicaties/rapporten/2006/03/01/het-nederlandse-btw-compensatiefonds-in-internationaal-perspectief.html</w:t>
      </w:r>
    </w:p>
    <w:p w:rsidR="00A52F67" w:rsidP="00A52F67" w:rsidRDefault="00A52F67">
      <w:pPr>
        <w:pStyle w:val="Lijstalinea"/>
        <w:tabs>
          <w:tab w:val="left" w:pos="540"/>
        </w:tabs>
        <w:spacing w:line="276" w:lineRule="auto"/>
        <w:ind w:left="284"/>
        <w:rPr>
          <w:rFonts w:ascii="Verdana" w:hAnsi="Verdana" w:cs="Arial"/>
          <w:sz w:val="18"/>
          <w:szCs w:val="18"/>
        </w:rPr>
      </w:pPr>
    </w:p>
    <w:p w:rsidRPr="00504A3D" w:rsidR="00A52F67" w:rsidP="00A52F67" w:rsidRDefault="00A52F67">
      <w:pPr>
        <w:tabs>
          <w:tab w:val="left" w:pos="540"/>
        </w:tabs>
        <w:spacing w:line="276" w:lineRule="auto"/>
        <w:rPr>
          <w:szCs w:val="18"/>
        </w:rPr>
      </w:pPr>
      <w:r w:rsidRPr="00504A3D">
        <w:rPr>
          <w:szCs w:val="18"/>
        </w:rPr>
        <w:t xml:space="preserve">IM (februari 2006) Evaluatie beleving en omvang administratieve lasten BTW-compensatiefonds en mogelijke reductievoorstellen. </w:t>
      </w:r>
      <w:r w:rsidRPr="00F056AD" w:rsidR="00F056AD">
        <w:rPr>
          <w:szCs w:val="18"/>
        </w:rPr>
        <w:t>http://www.rijksoverheid.nl/documenten-en-publicaties/rapporten/2006/02/01/evaluatie-beleving-en-omvang-administratieve-lasten-btw-compensatiefonds.html</w:t>
      </w:r>
    </w:p>
    <w:p w:rsidR="00A52F67" w:rsidP="00A52F67" w:rsidRDefault="00A52F67">
      <w:pPr>
        <w:pStyle w:val="Lijstalinea"/>
        <w:tabs>
          <w:tab w:val="left" w:pos="540"/>
        </w:tabs>
        <w:spacing w:line="276" w:lineRule="auto"/>
        <w:ind w:left="284"/>
        <w:rPr>
          <w:rFonts w:ascii="Verdana" w:hAnsi="Verdana" w:cs="Arial"/>
          <w:sz w:val="18"/>
          <w:szCs w:val="18"/>
        </w:rPr>
      </w:pPr>
    </w:p>
    <w:p w:rsidRPr="00504A3D" w:rsidR="00A52F67" w:rsidP="00A52F67" w:rsidRDefault="00A52F67">
      <w:pPr>
        <w:tabs>
          <w:tab w:val="left" w:pos="540"/>
        </w:tabs>
        <w:spacing w:line="276" w:lineRule="auto"/>
        <w:rPr>
          <w:szCs w:val="18"/>
        </w:rPr>
      </w:pPr>
      <w:r w:rsidRPr="00504A3D">
        <w:rPr>
          <w:szCs w:val="18"/>
        </w:rPr>
        <w:t>IM (februari 2006) Evaluatie beleving en omvang administratieve lasten BTW-compensatiefonds en mogelijke reductievoorstellen.</w:t>
      </w:r>
      <w:r w:rsidRPr="00F056AD" w:rsidR="00F056AD">
        <w:t xml:space="preserve"> </w:t>
      </w:r>
      <w:r w:rsidRPr="00F056AD" w:rsidR="00F056AD">
        <w:rPr>
          <w:szCs w:val="18"/>
        </w:rPr>
        <w:t>http://www.rijksoverheid.nl/documenten-en-publicaties/rapporten/2006/02/01/evaluatie-beleving-en-omvang-administratieve-lasten-btw-compensatiefonds.html</w:t>
      </w:r>
      <w:r w:rsidRPr="00504A3D">
        <w:rPr>
          <w:szCs w:val="18"/>
        </w:rPr>
        <w:t xml:space="preserve"> </w:t>
      </w:r>
    </w:p>
    <w:p w:rsidRPr="00504A3D" w:rsidR="00A52F67" w:rsidP="00A52F67" w:rsidRDefault="00A52F67">
      <w:pPr>
        <w:pStyle w:val="Lijstalinea"/>
        <w:tabs>
          <w:tab w:val="left" w:pos="540"/>
        </w:tabs>
        <w:spacing w:line="276" w:lineRule="auto"/>
        <w:ind w:left="284"/>
        <w:rPr>
          <w:rFonts w:ascii="Verdana" w:hAnsi="Verdana"/>
          <w:sz w:val="18"/>
          <w:szCs w:val="18"/>
        </w:rPr>
      </w:pPr>
    </w:p>
    <w:p w:rsidR="00A52F67" w:rsidP="00D5601D" w:rsidRDefault="00A52F67">
      <w:pPr>
        <w:pStyle w:val="Voetnoottekst"/>
        <w:spacing w:line="276" w:lineRule="auto"/>
        <w:rPr>
          <w:sz w:val="18"/>
          <w:szCs w:val="18"/>
        </w:rPr>
      </w:pPr>
      <w:r w:rsidRPr="00504A3D">
        <w:rPr>
          <w:sz w:val="18"/>
          <w:szCs w:val="18"/>
        </w:rPr>
        <w:t>Cebeon (juni 2007) Nacalculatie omvang en verdeling uitname gemeente- en</w:t>
      </w:r>
      <w:r>
        <w:rPr>
          <w:sz w:val="18"/>
          <w:szCs w:val="18"/>
        </w:rPr>
        <w:t xml:space="preserve"> </w:t>
      </w:r>
      <w:r w:rsidRPr="00504A3D">
        <w:rPr>
          <w:sz w:val="18"/>
          <w:szCs w:val="18"/>
        </w:rPr>
        <w:t>provinciefonds inclusief nettering specifieke uitkeringen.</w:t>
      </w:r>
      <w:r w:rsidRPr="00F056AD" w:rsidR="00F056AD">
        <w:t xml:space="preserve"> </w:t>
      </w:r>
      <w:r w:rsidRPr="00F056AD" w:rsidR="00F056AD">
        <w:rPr>
          <w:sz w:val="18"/>
          <w:szCs w:val="18"/>
        </w:rPr>
        <w:t>http://www.eerstekamer.nl/behandeling/20070821/evaluatie_btw_compensatiefonds/document3/f=/w27293abijl.pdf</w:t>
      </w:r>
      <w:r w:rsidRPr="00504A3D">
        <w:rPr>
          <w:sz w:val="18"/>
          <w:szCs w:val="18"/>
        </w:rPr>
        <w:t xml:space="preserve"> </w:t>
      </w:r>
      <w:r w:rsidRPr="00504A3D" w:rsidDel="00F056AD" w:rsidR="00F056AD">
        <w:rPr>
          <w:sz w:val="18"/>
          <w:szCs w:val="18"/>
        </w:rPr>
        <w:t xml:space="preserve"> </w:t>
      </w:r>
    </w:p>
    <w:p w:rsidRPr="00504A3D" w:rsidR="00D5601D" w:rsidP="00D5601D" w:rsidRDefault="00D5601D">
      <w:pPr>
        <w:pStyle w:val="Voetnoottekst"/>
        <w:spacing w:line="276" w:lineRule="auto"/>
        <w:rPr>
          <w:sz w:val="18"/>
          <w:szCs w:val="18"/>
        </w:rPr>
      </w:pPr>
    </w:p>
    <w:p w:rsidRPr="00504A3D" w:rsidR="00A52F67" w:rsidP="00A52F67" w:rsidRDefault="00A52F67">
      <w:pPr>
        <w:pStyle w:val="Voetnoottekst"/>
        <w:spacing w:line="276" w:lineRule="auto"/>
        <w:rPr>
          <w:sz w:val="18"/>
          <w:szCs w:val="18"/>
        </w:rPr>
      </w:pPr>
      <w:r w:rsidRPr="00504A3D">
        <w:rPr>
          <w:sz w:val="18"/>
          <w:szCs w:val="18"/>
        </w:rPr>
        <w:t xml:space="preserve">Ministerie van Financiën (2010) Rapport Beleidsdoorlichting BTW-compensatiefonds. </w:t>
      </w:r>
      <w:r w:rsidRPr="00514C96" w:rsidR="00514C96">
        <w:rPr>
          <w:sz w:val="18"/>
          <w:szCs w:val="18"/>
        </w:rPr>
        <w:t>http://www.rijksoverheid.nl/documenten-en-publicaties/kamerstukken/2010/09/17/bz10-644-rapport-beleidsdoorlichting-btw-compensatiefonds.html</w:t>
      </w:r>
      <w:r w:rsidRPr="00514C96" w:rsidDel="00F056AD" w:rsidR="00514C96">
        <w:rPr>
          <w:rFonts w:eastAsiaTheme="majorEastAsia"/>
          <w:sz w:val="18"/>
          <w:szCs w:val="18"/>
        </w:rPr>
        <w:t xml:space="preserve"> </w:t>
      </w:r>
    </w:p>
    <w:p w:rsidRPr="00504A3D" w:rsidR="00A52F67" w:rsidP="00A52F67" w:rsidRDefault="00A52F67">
      <w:pPr>
        <w:pStyle w:val="Voetnoottekst"/>
        <w:spacing w:line="276" w:lineRule="auto"/>
        <w:ind w:left="284"/>
        <w:rPr>
          <w:sz w:val="18"/>
          <w:szCs w:val="18"/>
        </w:rPr>
      </w:pPr>
    </w:p>
    <w:p w:rsidRPr="00504A3D" w:rsidR="00A52F67" w:rsidP="00A52F67" w:rsidRDefault="00A52F67">
      <w:pPr>
        <w:tabs>
          <w:tab w:val="left" w:pos="540"/>
        </w:tabs>
        <w:spacing w:line="276" w:lineRule="auto"/>
        <w:rPr>
          <w:szCs w:val="18"/>
          <w:lang w:val="en-US"/>
        </w:rPr>
      </w:pPr>
      <w:r w:rsidRPr="00F056AD">
        <w:rPr>
          <w:szCs w:val="18"/>
          <w:lang w:val="en-GB"/>
        </w:rPr>
        <w:lastRenderedPageBreak/>
        <w:t xml:space="preserve">APE, Rebelgroup Advisory BV (juli 2010) Effectevaluatie btw-compensatiefonds. </w:t>
      </w:r>
      <w:r w:rsidRPr="00F056AD" w:rsidR="00F056AD">
        <w:rPr>
          <w:lang w:val="en-GB"/>
        </w:rPr>
        <w:t>http://www.ape.nl/include/downloadFile.asp?id=191</w:t>
      </w:r>
    </w:p>
    <w:p w:rsidRPr="00F056AD" w:rsidR="00A17C6E" w:rsidRDefault="00A17C6E">
      <w:pPr>
        <w:rPr>
          <w:szCs w:val="18"/>
          <w:lang w:val="en-GB"/>
        </w:rPr>
      </w:pPr>
    </w:p>
    <w:sectPr w:rsidRPr="00F056AD" w:rsidR="00A17C6E"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F46" w:rsidRDefault="00F42F46" w:rsidP="00A52F67">
      <w:pPr>
        <w:spacing w:line="240" w:lineRule="auto"/>
      </w:pPr>
      <w:r>
        <w:separator/>
      </w:r>
    </w:p>
  </w:endnote>
  <w:endnote w:type="continuationSeparator" w:id="0">
    <w:p w:rsidR="00F42F46" w:rsidRDefault="00F42F46" w:rsidP="00A52F6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F46" w:rsidRDefault="00F42F46" w:rsidP="00A52F67">
      <w:pPr>
        <w:spacing w:line="240" w:lineRule="auto"/>
      </w:pPr>
      <w:r>
        <w:separator/>
      </w:r>
    </w:p>
  </w:footnote>
  <w:footnote w:type="continuationSeparator" w:id="0">
    <w:p w:rsidR="00F42F46" w:rsidRDefault="00F42F46" w:rsidP="00A52F67">
      <w:pPr>
        <w:spacing w:line="240" w:lineRule="auto"/>
      </w:pPr>
      <w:r>
        <w:continuationSeparator/>
      </w:r>
    </w:p>
  </w:footnote>
  <w:footnote w:id="1">
    <w:p w:rsidR="009F6FAA" w:rsidRPr="00C46E13" w:rsidRDefault="009F6FAA" w:rsidP="00A52F67">
      <w:pPr>
        <w:pStyle w:val="Voetnoottekst"/>
      </w:pPr>
      <w:r w:rsidRPr="00504A3D">
        <w:rPr>
          <w:rStyle w:val="Voetnootmarkering"/>
        </w:rPr>
        <w:footnoteRef/>
      </w:r>
      <w:r w:rsidRPr="00504A3D">
        <w:t xml:space="preserve"> </w:t>
      </w:r>
      <w:r w:rsidRPr="00504A3D">
        <w:rPr>
          <w:sz w:val="16"/>
          <w:szCs w:val="16"/>
        </w:rPr>
        <w:t xml:space="preserve">De betaalde btw moet voor teruggave aan voorwaarden voldoen in de </w:t>
      </w:r>
      <w:hyperlink r:id="rId1" w:history="1">
        <w:r w:rsidRPr="00504A3D">
          <w:rPr>
            <w:rStyle w:val="Hyperlink"/>
            <w:rFonts w:eastAsiaTheme="majorEastAsia"/>
            <w:sz w:val="16"/>
            <w:szCs w:val="16"/>
          </w:rPr>
          <w:t>Wet op het BTW-compensatiefonds</w:t>
        </w:r>
      </w:hyperlink>
      <w:r>
        <w:t>.</w:t>
      </w:r>
    </w:p>
  </w:footnote>
  <w:footnote w:id="2">
    <w:p w:rsidR="009F6FAA" w:rsidRPr="00C46E13" w:rsidRDefault="009F6FAA" w:rsidP="00A52F67">
      <w:pPr>
        <w:pStyle w:val="Voetnoottekst"/>
        <w:rPr>
          <w:sz w:val="16"/>
          <w:szCs w:val="16"/>
        </w:rPr>
      </w:pPr>
      <w:r>
        <w:rPr>
          <w:rStyle w:val="Voetnootmarkering"/>
          <w:sz w:val="16"/>
          <w:szCs w:val="16"/>
        </w:rPr>
        <w:footnoteRef/>
      </w:r>
      <w:r w:rsidRPr="00504A3D">
        <w:rPr>
          <w:sz w:val="16"/>
          <w:szCs w:val="16"/>
        </w:rPr>
        <w:t xml:space="preserve"> </w:t>
      </w:r>
      <w:hyperlink r:id="rId2" w:history="1">
        <w:r w:rsidRPr="00BC27B5">
          <w:rPr>
            <w:rStyle w:val="Hyperlink"/>
            <w:rFonts w:eastAsiaTheme="majorEastAsia"/>
            <w:sz w:val="16"/>
            <w:szCs w:val="16"/>
          </w:rPr>
          <w:t>Tweede Kamer, 2012–2013, 33 400 B, nr. 7</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7884"/>
    <w:multiLevelType w:val="multilevel"/>
    <w:tmpl w:val="9A2C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1"/>
    <w:footnote w:id="0"/>
  </w:footnotePr>
  <w:endnotePr>
    <w:endnote w:id="-1"/>
    <w:endnote w:id="0"/>
  </w:endnotePr>
  <w:compat/>
  <w:rsids>
    <w:rsidRoot w:val="00A52F67"/>
    <w:rsid w:val="000244B1"/>
    <w:rsid w:val="000E4657"/>
    <w:rsid w:val="00101A88"/>
    <w:rsid w:val="00133D00"/>
    <w:rsid w:val="00176E4B"/>
    <w:rsid w:val="00185D75"/>
    <w:rsid w:val="001C0DAF"/>
    <w:rsid w:val="002E6EEE"/>
    <w:rsid w:val="00361808"/>
    <w:rsid w:val="003B6657"/>
    <w:rsid w:val="003D6E89"/>
    <w:rsid w:val="0041392D"/>
    <w:rsid w:val="00447064"/>
    <w:rsid w:val="00494C1A"/>
    <w:rsid w:val="00514C96"/>
    <w:rsid w:val="005A3570"/>
    <w:rsid w:val="005B61B1"/>
    <w:rsid w:val="005D2A6F"/>
    <w:rsid w:val="006007F7"/>
    <w:rsid w:val="006012F5"/>
    <w:rsid w:val="006B5866"/>
    <w:rsid w:val="006D5665"/>
    <w:rsid w:val="006F570D"/>
    <w:rsid w:val="00733C8D"/>
    <w:rsid w:val="00746E61"/>
    <w:rsid w:val="007541C9"/>
    <w:rsid w:val="00756389"/>
    <w:rsid w:val="007D1310"/>
    <w:rsid w:val="008749FA"/>
    <w:rsid w:val="00905545"/>
    <w:rsid w:val="009915BB"/>
    <w:rsid w:val="009929FC"/>
    <w:rsid w:val="009D6542"/>
    <w:rsid w:val="009F6FAA"/>
    <w:rsid w:val="00A17C6E"/>
    <w:rsid w:val="00A52F67"/>
    <w:rsid w:val="00B535F0"/>
    <w:rsid w:val="00BA74F3"/>
    <w:rsid w:val="00BB47E9"/>
    <w:rsid w:val="00D354EF"/>
    <w:rsid w:val="00D5601D"/>
    <w:rsid w:val="00D61B87"/>
    <w:rsid w:val="00D83BA3"/>
    <w:rsid w:val="00F056AD"/>
    <w:rsid w:val="00F22CDC"/>
    <w:rsid w:val="00F4050B"/>
    <w:rsid w:val="00F42F4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52F67"/>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qFormat/>
    <w:rsid w:val="00D83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qFormat/>
    <w:rsid w:val="00A52F67"/>
    <w:pPr>
      <w:keepNext/>
      <w:spacing w:before="240" w:after="60"/>
      <w:outlineLvl w:val="1"/>
    </w:pPr>
    <w:rPr>
      <w:rFonts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rsid w:val="00A52F67"/>
    <w:rPr>
      <w:rFonts w:ascii="Verdana" w:eastAsia="Times New Roman" w:hAnsi="Verdana" w:cs="Arial"/>
      <w:b/>
      <w:bCs/>
      <w:i/>
      <w:iCs/>
      <w:sz w:val="28"/>
      <w:szCs w:val="28"/>
      <w:lang w:eastAsia="nl-NL"/>
    </w:rPr>
  </w:style>
  <w:style w:type="character" w:styleId="Hyperlink">
    <w:name w:val="Hyperlink"/>
    <w:basedOn w:val="Standaardalinea-lettertype"/>
    <w:rsid w:val="00A52F67"/>
    <w:rPr>
      <w:color w:val="0000FF"/>
      <w:u w:val="single"/>
    </w:rPr>
  </w:style>
  <w:style w:type="paragraph" w:styleId="Voetnoottekst">
    <w:name w:val="footnote text"/>
    <w:basedOn w:val="Standaard"/>
    <w:link w:val="VoetnoottekstChar"/>
    <w:rsid w:val="00A52F67"/>
    <w:pPr>
      <w:spacing w:line="180" w:lineRule="atLeast"/>
    </w:pPr>
    <w:rPr>
      <w:sz w:val="13"/>
      <w:szCs w:val="20"/>
    </w:rPr>
  </w:style>
  <w:style w:type="character" w:customStyle="1" w:styleId="VoetnoottekstChar">
    <w:name w:val="Voetnoottekst Char"/>
    <w:basedOn w:val="Standaardalinea-lettertype"/>
    <w:link w:val="Voetnoottekst"/>
    <w:rsid w:val="00A52F67"/>
    <w:rPr>
      <w:rFonts w:ascii="Verdana" w:eastAsia="Times New Roman" w:hAnsi="Verdana" w:cs="Times New Roman"/>
      <w:sz w:val="13"/>
      <w:szCs w:val="20"/>
      <w:lang w:eastAsia="nl-NL"/>
    </w:rPr>
  </w:style>
  <w:style w:type="character" w:styleId="Voetnootmarkering">
    <w:name w:val="footnote reference"/>
    <w:basedOn w:val="Standaardalinea-lettertype"/>
    <w:uiPriority w:val="99"/>
    <w:semiHidden/>
    <w:unhideWhenUsed/>
    <w:rsid w:val="00A52F67"/>
    <w:rPr>
      <w:vertAlign w:val="superscript"/>
    </w:rPr>
  </w:style>
  <w:style w:type="paragraph" w:styleId="Lijstalinea">
    <w:name w:val="List Paragraph"/>
    <w:basedOn w:val="Standaard"/>
    <w:uiPriority w:val="34"/>
    <w:qFormat/>
    <w:rsid w:val="00A52F67"/>
    <w:pPr>
      <w:widowControl w:val="0"/>
      <w:ind w:left="720"/>
      <w:contextualSpacing/>
    </w:pPr>
    <w:rPr>
      <w:rFonts w:ascii="Arial" w:hAnsi="Arial"/>
      <w:spacing w:val="5"/>
      <w:sz w:val="19"/>
      <w:szCs w:val="20"/>
    </w:rPr>
  </w:style>
  <w:style w:type="paragraph" w:customStyle="1" w:styleId="Default">
    <w:name w:val="Default"/>
    <w:rsid w:val="00A52F67"/>
    <w:pPr>
      <w:autoSpaceDE w:val="0"/>
      <w:autoSpaceDN w:val="0"/>
      <w:adjustRightInd w:val="0"/>
      <w:spacing w:after="0" w:line="240" w:lineRule="auto"/>
    </w:pPr>
    <w:rPr>
      <w:rFonts w:ascii="Verdana" w:hAnsi="Verdana" w:cs="Verdana"/>
      <w:color w:val="000000"/>
      <w:sz w:val="24"/>
      <w:szCs w:val="24"/>
    </w:rPr>
  </w:style>
  <w:style w:type="character" w:styleId="Verwijzingopmerking">
    <w:name w:val="annotation reference"/>
    <w:basedOn w:val="Standaardalinea-lettertype"/>
    <w:uiPriority w:val="99"/>
    <w:semiHidden/>
    <w:unhideWhenUsed/>
    <w:rsid w:val="00A52F67"/>
    <w:rPr>
      <w:sz w:val="16"/>
      <w:szCs w:val="16"/>
    </w:rPr>
  </w:style>
  <w:style w:type="paragraph" w:styleId="Tekstopmerking">
    <w:name w:val="annotation text"/>
    <w:basedOn w:val="Standaard"/>
    <w:link w:val="TekstopmerkingChar"/>
    <w:uiPriority w:val="99"/>
    <w:semiHidden/>
    <w:unhideWhenUsed/>
    <w:rsid w:val="00A52F6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52F67"/>
    <w:rPr>
      <w:rFonts w:ascii="Verdana" w:eastAsia="Times New Roman" w:hAnsi="Verdana" w:cs="Times New Roman"/>
      <w:sz w:val="20"/>
      <w:szCs w:val="20"/>
      <w:lang w:eastAsia="nl-NL"/>
    </w:rPr>
  </w:style>
  <w:style w:type="paragraph" w:styleId="Ballontekst">
    <w:name w:val="Balloon Text"/>
    <w:basedOn w:val="Standaard"/>
    <w:link w:val="BallontekstChar"/>
    <w:uiPriority w:val="99"/>
    <w:semiHidden/>
    <w:unhideWhenUsed/>
    <w:rsid w:val="00A52F6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52F67"/>
    <w:rPr>
      <w:rFonts w:ascii="Tahoma" w:eastAsia="Times New Roman" w:hAnsi="Tahoma" w:cs="Tahoma"/>
      <w:sz w:val="16"/>
      <w:szCs w:val="16"/>
      <w:lang w:eastAsia="nl-NL"/>
    </w:rPr>
  </w:style>
  <w:style w:type="paragraph" w:styleId="Onderwerpvanopmerking">
    <w:name w:val="annotation subject"/>
    <w:basedOn w:val="Tekstopmerking"/>
    <w:next w:val="Tekstopmerking"/>
    <w:link w:val="OnderwerpvanopmerkingChar"/>
    <w:uiPriority w:val="99"/>
    <w:semiHidden/>
    <w:unhideWhenUsed/>
    <w:rsid w:val="00A52F67"/>
    <w:rPr>
      <w:b/>
      <w:bCs/>
    </w:rPr>
  </w:style>
  <w:style w:type="character" w:customStyle="1" w:styleId="OnderwerpvanopmerkingChar">
    <w:name w:val="Onderwerp van opmerking Char"/>
    <w:basedOn w:val="TekstopmerkingChar"/>
    <w:link w:val="Onderwerpvanopmerking"/>
    <w:uiPriority w:val="99"/>
    <w:semiHidden/>
    <w:rsid w:val="00A52F67"/>
    <w:rPr>
      <w:b/>
      <w:bCs/>
    </w:rPr>
  </w:style>
  <w:style w:type="paragraph" w:styleId="Koptekst">
    <w:name w:val="header"/>
    <w:basedOn w:val="Standaard"/>
    <w:link w:val="KoptekstChar"/>
    <w:uiPriority w:val="99"/>
    <w:semiHidden/>
    <w:unhideWhenUsed/>
    <w:rsid w:val="00D354EF"/>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D354EF"/>
    <w:rPr>
      <w:rFonts w:ascii="Verdana" w:eastAsia="Times New Roman" w:hAnsi="Verdana" w:cs="Times New Roman"/>
      <w:sz w:val="18"/>
      <w:szCs w:val="24"/>
      <w:lang w:eastAsia="nl-NL"/>
    </w:rPr>
  </w:style>
  <w:style w:type="paragraph" w:styleId="Voettekst">
    <w:name w:val="footer"/>
    <w:basedOn w:val="Standaard"/>
    <w:link w:val="VoettekstChar"/>
    <w:uiPriority w:val="99"/>
    <w:semiHidden/>
    <w:unhideWhenUsed/>
    <w:rsid w:val="00D354EF"/>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D354EF"/>
    <w:rPr>
      <w:rFonts w:ascii="Verdana" w:eastAsia="Times New Roman" w:hAnsi="Verdana" w:cs="Times New Roman"/>
      <w:sz w:val="18"/>
      <w:szCs w:val="24"/>
      <w:lang w:eastAsia="nl-NL"/>
    </w:rPr>
  </w:style>
  <w:style w:type="character" w:styleId="GevolgdeHyperlink">
    <w:name w:val="FollowedHyperlink"/>
    <w:basedOn w:val="Standaardalinea-lettertype"/>
    <w:uiPriority w:val="99"/>
    <w:semiHidden/>
    <w:unhideWhenUsed/>
    <w:rsid w:val="00F056AD"/>
    <w:rPr>
      <w:color w:val="800080" w:themeColor="followedHyperlink"/>
      <w:u w:val="single"/>
    </w:rPr>
  </w:style>
  <w:style w:type="paragraph" w:styleId="Revisie">
    <w:name w:val="Revision"/>
    <w:hidden/>
    <w:uiPriority w:val="99"/>
    <w:semiHidden/>
    <w:rsid w:val="005D2A6F"/>
    <w:pPr>
      <w:spacing w:after="0" w:line="240" w:lineRule="auto"/>
    </w:pPr>
    <w:rPr>
      <w:rFonts w:ascii="Verdana" w:eastAsia="Times New Roman" w:hAnsi="Verdana" w:cs="Times New Roman"/>
      <w:sz w:val="18"/>
      <w:szCs w:val="24"/>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33400-B-7.html" TargetMode="External"/><Relationship Id="rId1" Type="http://schemas.openxmlformats.org/officeDocument/2006/relationships/hyperlink" Target="http://wetten.overheid.nl/BWBR0013817/geldigheidsdatum_14-04-2015"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954</ap:Words>
  <ap:Characters>5250</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2015-09-14T10:20:00.0000000Z</dcterms:created>
  <dcterms:modified xsi:type="dcterms:W3CDTF">2015-09-14T10:20:00.0000000Z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0x010100CD72B8024A19B44F8D94CD01938F14DA</vt:lpwstr>
  </property>
</Properties>
</file>