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5F" w:rsidP="000019C1" w:rsidRDefault="003E0B5F">
      <w:pPr>
        <w:autoSpaceDE w:val="0"/>
        <w:autoSpaceDN w:val="0"/>
        <w:adjustRightInd w:val="0"/>
        <w:spacing w:line="312" w:lineRule="auto"/>
        <w:rPr>
          <w:rFonts w:cs="Arial"/>
          <w:b/>
          <w:szCs w:val="20"/>
        </w:rPr>
      </w:pPr>
      <w:r>
        <w:rPr>
          <w:rFonts w:cs="Arial"/>
          <w:b/>
          <w:noProof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editId="58E5C957" wp14:anchorId="739C93FA">
            <wp:simplePos x="0" y="0"/>
            <wp:positionH relativeFrom="column">
              <wp:posOffset>4222115</wp:posOffset>
            </wp:positionH>
            <wp:positionV relativeFrom="paragraph">
              <wp:posOffset>0</wp:posOffset>
            </wp:positionV>
            <wp:extent cx="2095500" cy="428625"/>
            <wp:effectExtent l="0" t="0" r="0" b="9525"/>
            <wp:wrapSquare wrapText="bothSides"/>
            <wp:docPr id="1" name="Afbeelding 1" descr="Beschrijving: C:\Users\temming\Desktop\Logo_StedenNetwer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eschrijving: C:\Users\temming\Desktop\Logo_StedenNetwerk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B5F" w:rsidP="000019C1" w:rsidRDefault="003E0B5F">
      <w:pPr>
        <w:autoSpaceDE w:val="0"/>
        <w:autoSpaceDN w:val="0"/>
        <w:adjustRightInd w:val="0"/>
        <w:spacing w:line="312" w:lineRule="auto"/>
        <w:rPr>
          <w:rFonts w:cs="Arial"/>
          <w:b/>
          <w:szCs w:val="20"/>
        </w:rPr>
      </w:pPr>
    </w:p>
    <w:p w:rsidR="003E0B5F" w:rsidP="000019C1" w:rsidRDefault="003E0B5F">
      <w:pPr>
        <w:autoSpaceDE w:val="0"/>
        <w:autoSpaceDN w:val="0"/>
        <w:adjustRightInd w:val="0"/>
        <w:spacing w:line="312" w:lineRule="auto"/>
        <w:rPr>
          <w:rFonts w:cs="Arial"/>
          <w:b/>
          <w:szCs w:val="20"/>
        </w:rPr>
      </w:pPr>
    </w:p>
    <w:p w:rsidR="003E0B5F" w:rsidP="000019C1" w:rsidRDefault="003E0B5F">
      <w:pPr>
        <w:autoSpaceDE w:val="0"/>
        <w:autoSpaceDN w:val="0"/>
        <w:adjustRightInd w:val="0"/>
        <w:spacing w:line="312" w:lineRule="auto"/>
        <w:rPr>
          <w:rFonts w:cs="Arial"/>
          <w:b/>
          <w:szCs w:val="20"/>
        </w:rPr>
      </w:pPr>
    </w:p>
    <w:p w:rsidR="003E0B5F" w:rsidP="000019C1" w:rsidRDefault="003E0B5F">
      <w:pPr>
        <w:autoSpaceDE w:val="0"/>
        <w:autoSpaceDN w:val="0"/>
        <w:adjustRightInd w:val="0"/>
        <w:spacing w:line="312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Bijdrage G32 Ronde T</w:t>
      </w:r>
      <w:r w:rsidRPr="00723A38" w:rsidR="00723A38">
        <w:rPr>
          <w:rFonts w:cs="Arial"/>
          <w:b/>
          <w:szCs w:val="20"/>
        </w:rPr>
        <w:t>afel S</w:t>
      </w:r>
      <w:r>
        <w:rPr>
          <w:rFonts w:cs="Arial"/>
          <w:b/>
          <w:szCs w:val="20"/>
        </w:rPr>
        <w:t xml:space="preserve">tedelijke Vernieuwing, Blok 3: </w:t>
      </w:r>
      <w:r w:rsidRPr="00723A38" w:rsidR="00723A38">
        <w:rPr>
          <w:rFonts w:cs="Arial"/>
          <w:b/>
          <w:szCs w:val="20"/>
        </w:rPr>
        <w:t xml:space="preserve"> De bouwopgave in de stad</w:t>
      </w:r>
    </w:p>
    <w:p w:rsidR="003E0B5F" w:rsidP="000019C1" w:rsidRDefault="002D39DB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Wethouder Gerrie</w:t>
      </w:r>
      <w:bookmarkStart w:name="_GoBack" w:id="0"/>
      <w:bookmarkEnd w:id="0"/>
      <w:r w:rsidR="003E0B5F">
        <w:rPr>
          <w:rFonts w:cs="Arial"/>
          <w:szCs w:val="20"/>
        </w:rPr>
        <w:t xml:space="preserve"> </w:t>
      </w:r>
      <w:proofErr w:type="spellStart"/>
      <w:r w:rsidR="003E0B5F">
        <w:rPr>
          <w:rFonts w:cs="Arial"/>
          <w:szCs w:val="20"/>
        </w:rPr>
        <w:t>Elfrink</w:t>
      </w:r>
      <w:proofErr w:type="spellEnd"/>
      <w:r w:rsidR="003E0B5F">
        <w:rPr>
          <w:rFonts w:cs="Arial"/>
          <w:szCs w:val="20"/>
        </w:rPr>
        <w:t xml:space="preserve">  (gemeente Arnhem)</w:t>
      </w:r>
    </w:p>
    <w:p w:rsidRPr="00723A38" w:rsidR="00723A38" w:rsidP="000019C1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10 september 2015</w:t>
      </w:r>
    </w:p>
    <w:p w:rsidR="00723A38" w:rsidP="000019C1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Pr="000019C1" w:rsidR="000019C1" w:rsidP="000019C1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Voor gemeenten is op dit moment de grootste vraag: </w:t>
      </w:r>
      <w:r w:rsidRPr="000019C1" w:rsidR="000019C1">
        <w:rPr>
          <w:rFonts w:cs="Arial"/>
          <w:szCs w:val="20"/>
        </w:rPr>
        <w:t xml:space="preserve">Hoe gaan we zorgen dat er </w:t>
      </w:r>
      <w:r w:rsidR="000019C1">
        <w:rPr>
          <w:rFonts w:cs="Arial"/>
          <w:szCs w:val="20"/>
        </w:rPr>
        <w:t>voldoende geï</w:t>
      </w:r>
      <w:r w:rsidRPr="000019C1" w:rsidR="000019C1">
        <w:rPr>
          <w:rFonts w:cs="Arial"/>
          <w:szCs w:val="20"/>
        </w:rPr>
        <w:t xml:space="preserve">nvesteerd wordt </w:t>
      </w:r>
      <w:r>
        <w:rPr>
          <w:rFonts w:cs="Arial"/>
          <w:szCs w:val="20"/>
        </w:rPr>
        <w:t>een passend woningaanbod in onze steden</w:t>
      </w:r>
      <w:r w:rsidRPr="000019C1" w:rsidR="000019C1">
        <w:rPr>
          <w:rFonts w:cs="Arial"/>
          <w:szCs w:val="20"/>
        </w:rPr>
        <w:t>?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 xml:space="preserve">Gemeenten </w:t>
      </w:r>
      <w:r w:rsidR="00723A38">
        <w:rPr>
          <w:rFonts w:cs="Arial"/>
          <w:szCs w:val="20"/>
        </w:rPr>
        <w:t xml:space="preserve">bouwen niet zelf, dat laten zij over aan de markt. </w:t>
      </w:r>
      <w:r w:rsidRPr="000019C1">
        <w:rPr>
          <w:rFonts w:cs="Arial"/>
          <w:szCs w:val="20"/>
        </w:rPr>
        <w:t xml:space="preserve">Marktpartijen blijken slechts </w:t>
      </w:r>
      <w:proofErr w:type="spellStart"/>
      <w:r w:rsidRPr="000019C1">
        <w:rPr>
          <w:rFonts w:cs="Arial"/>
          <w:szCs w:val="20"/>
        </w:rPr>
        <w:t>bereíd</w:t>
      </w:r>
      <w:proofErr w:type="spellEnd"/>
      <w:r w:rsidRPr="000019C1">
        <w:rPr>
          <w:rFonts w:cs="Arial"/>
          <w:szCs w:val="20"/>
        </w:rPr>
        <w:t xml:space="preserve"> te investeren waar dat voor</w:t>
      </w:r>
      <w:r w:rsidR="00723A38"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 xml:space="preserve">hen (voldoende) rendeert. </w:t>
      </w:r>
      <w:r w:rsidR="00723A38">
        <w:rPr>
          <w:rFonts w:cs="Arial"/>
          <w:szCs w:val="20"/>
        </w:rPr>
        <w:t xml:space="preserve">En corporaties worden o.a. door de verhuurderheffing ernstig belemmerd in hun investeringscapaciteit. </w:t>
      </w:r>
      <w:r w:rsidRPr="000019C1">
        <w:rPr>
          <w:rFonts w:cs="Arial"/>
          <w:szCs w:val="20"/>
        </w:rPr>
        <w:t>Gemeenten hebben een andere rol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 xml:space="preserve">en taak. </w:t>
      </w:r>
      <w:r w:rsidR="00723A38">
        <w:rPr>
          <w:rFonts w:cs="Arial"/>
          <w:szCs w:val="20"/>
        </w:rPr>
        <w:t xml:space="preserve">Zij </w:t>
      </w:r>
      <w:r w:rsidRPr="000019C1" w:rsidR="00723A38">
        <w:rPr>
          <w:rFonts w:cs="Arial"/>
          <w:szCs w:val="20"/>
        </w:rPr>
        <w:t>moeten voortdurend investeren in onderhoud, beheer en aanpassingen van de openbare</w:t>
      </w:r>
      <w:r w:rsidR="00723A38">
        <w:rPr>
          <w:rFonts w:cs="Arial"/>
          <w:szCs w:val="20"/>
        </w:rPr>
        <w:t xml:space="preserve"> </w:t>
      </w:r>
      <w:r w:rsidRPr="000019C1" w:rsidR="00723A38">
        <w:rPr>
          <w:rFonts w:cs="Arial"/>
          <w:szCs w:val="20"/>
        </w:rPr>
        <w:t>ruimte, aan en rond woningen en gebouwen, in wijken en buurten om achteruitgang tegen te gaan en</w:t>
      </w:r>
      <w:r w:rsidR="00723A38">
        <w:rPr>
          <w:rFonts w:cs="Arial"/>
          <w:szCs w:val="20"/>
        </w:rPr>
        <w:t xml:space="preserve"> </w:t>
      </w:r>
      <w:r w:rsidRPr="000019C1" w:rsidR="00723A38">
        <w:rPr>
          <w:rFonts w:cs="Arial"/>
          <w:szCs w:val="20"/>
        </w:rPr>
        <w:t>te sturen op gewenste ontwikkelingen.</w:t>
      </w:r>
      <w:r w:rsidR="00723A38"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Veiligheid en leefbaarheid zijn</w:t>
      </w:r>
      <w:r w:rsidR="00723A38"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voor gemeenten kernbegrippen. Deze verantwoordelijkheid van de overheid is in de Grondwet</w:t>
      </w:r>
      <w:r w:rsidR="00723A38"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vastgelegd (art 21 en 22lid 2). Het effect van niet of minder investeren is in veel gemeenten al</w:t>
      </w:r>
      <w:r w:rsidR="00723A38"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zichtbaar aan het worden.</w:t>
      </w:r>
    </w:p>
    <w:p w:rsidR="00723A38" w:rsidP="000019C1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 xml:space="preserve">De stedelijke vernieuwingsopgave bestaat gewoon nog. Zowel in corporatiebezit als particulier bezit. </w:t>
      </w:r>
      <w:r>
        <w:rPr>
          <w:rFonts w:cs="Arial"/>
          <w:szCs w:val="20"/>
        </w:rPr>
        <w:t>I</w:t>
      </w:r>
      <w:r w:rsidRPr="000019C1">
        <w:rPr>
          <w:rFonts w:cs="Arial"/>
          <w:szCs w:val="20"/>
        </w:rPr>
        <w:t>n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 xml:space="preserve">2012 heeft toenmalig minister Spies onderzoeksbureau </w:t>
      </w:r>
      <w:proofErr w:type="spellStart"/>
      <w:r w:rsidRPr="000019C1">
        <w:rPr>
          <w:rFonts w:cs="Arial"/>
          <w:szCs w:val="20"/>
        </w:rPr>
        <w:t>Abf</w:t>
      </w:r>
      <w:proofErr w:type="spellEnd"/>
      <w:r w:rsidRPr="000019C1">
        <w:rPr>
          <w:rFonts w:cs="Arial"/>
          <w:szCs w:val="20"/>
        </w:rPr>
        <w:t xml:space="preserve"> al onde</w:t>
      </w:r>
      <w:r>
        <w:rPr>
          <w:rFonts w:cs="Arial"/>
          <w:szCs w:val="20"/>
        </w:rPr>
        <w:t>r</w:t>
      </w:r>
      <w:r w:rsidRPr="000019C1">
        <w:rPr>
          <w:rFonts w:cs="Arial"/>
          <w:szCs w:val="20"/>
        </w:rPr>
        <w:t>zoek laten doen naar de opgave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stedelijke vernieuwing en nieuwbouw. Conclusie was dat, zelfs als we alle mogelijke investeringen die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anderen zouden kunnen doen, volledig aan hen doorberekenen, er nog altijd een tekort van 220 à240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miljoen euro per jaar over blijft.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Voor hoe de rekening van deze opgave betaald moet worden heeft nog niemand een oplossing. Het is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te kort door de bocht om die rekening feitelijk bij de gemeenten te leggen, met nog 'uit de lucht te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toveren' nieuwe investeerders.</w:t>
      </w:r>
    </w:p>
    <w:p w:rsidR="00723A38" w:rsidP="000019C1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Het rijk heeft de stedelijke vernieuwingstaken gedecentraliseerd, echter vanaf 1 januari 2015 zonder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middelen. Door het wegvallen van traditionele investeringsbronnen en de verminderde opbrengsten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van het grondbedrijf is een structureel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 xml:space="preserve">gat in de gemeentelijke begroting ontstaan. Het </w:t>
      </w:r>
      <w:proofErr w:type="spellStart"/>
      <w:r w:rsidRPr="000019C1">
        <w:rPr>
          <w:rFonts w:cs="Arial"/>
          <w:szCs w:val="20"/>
        </w:rPr>
        <w:t>EIB</w:t>
      </w:r>
      <w:proofErr w:type="spellEnd"/>
      <w:r w:rsidRPr="000019C1">
        <w:rPr>
          <w:rFonts w:cs="Arial"/>
          <w:szCs w:val="20"/>
        </w:rPr>
        <w:t xml:space="preserve"> rekent (o.m.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door de inbrengwaarde van bestaand vastgoed), dat er een tekort op de grondexploitatie zit van tussen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de 16.000 tot 27.000 euro per woning.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Ook is er door oplopende onderhoudsachterstand aan panden een steeds groter wordend (open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einde) risico voor de gemeentelijke begroting door de aanschrijvingsplicht. Als gemeenten eigenaren</w:t>
      </w:r>
    </w:p>
    <w:p w:rsidRPr="000019C1" w:rsidR="00723A38" w:rsidP="00723A38" w:rsidRDefault="00723A38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aanschrijven op basis van de woningwet en de eigenaar kan het noodzakelijke onderhoud niet betalen,</w:t>
      </w:r>
      <w:r>
        <w:rPr>
          <w:rFonts w:cs="Arial"/>
          <w:szCs w:val="20"/>
        </w:rPr>
        <w:t xml:space="preserve"> </w:t>
      </w:r>
      <w:r w:rsidRPr="000019C1">
        <w:rPr>
          <w:rFonts w:cs="Arial"/>
          <w:szCs w:val="20"/>
        </w:rPr>
        <w:t>dan moet de gemeente het zelf uit laten voeren, de kosten voorschieten en terugvorderen.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De afgenomen financiële mogelijkheden van huurders en (woning)eigenaren zorgen voor meer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 xml:space="preserve">onderhoudsachterstand. De </w:t>
      </w:r>
      <w:proofErr w:type="spellStart"/>
      <w:r w:rsidRPr="000019C1">
        <w:rPr>
          <w:rFonts w:cs="Arial"/>
          <w:szCs w:val="20"/>
        </w:rPr>
        <w:t>boveninflatoire</w:t>
      </w:r>
      <w:proofErr w:type="spellEnd"/>
      <w:r w:rsidRPr="000019C1">
        <w:rPr>
          <w:rFonts w:cs="Arial"/>
          <w:szCs w:val="20"/>
        </w:rPr>
        <w:t xml:space="preserve"> en inkomensafhankelijke huurverhogingen, de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aangescherpte hypotheekeisen, de hypotheken onder water en de maximaal benutte leencapaciteit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hebben allemaal gevolg voor de bestedingsruimte van huishoudens.</w:t>
      </w:r>
    </w:p>
    <w:p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De corporaties melden dat de verhuurderheffing van 1,7 miljard en de kerntakendiscussie hen in de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weg staan. Dit geld wordt uit de sociale huursector gehaald en niet meer verplicht geïnvesteerd in het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fysiek domein. Andere (markt)partijen hebben te kampen met de gevolgen van de economische crisis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en investeren ook minder.</w:t>
      </w:r>
    </w:p>
    <w:p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Fiscale regels zouden leegstand moeten ontmoedigen. Het is veel bestuurders een doorn in het oog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dat een muurtje op een weiland fiscaal al telt als 'bestaand bebouwd gebied' en dat een leegstaand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pand fiscaal de eigenaar blijkbaar meer oplevert dan het leegstaan zelf zou kosten.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De rol van de banken bij transformeren van leeg</w:t>
      </w:r>
      <w:r>
        <w:rPr>
          <w:rFonts w:cs="Arial"/>
          <w:szCs w:val="20"/>
        </w:rPr>
        <w:t>staande panden, particuliere won</w:t>
      </w:r>
      <w:r w:rsidRPr="000019C1">
        <w:rPr>
          <w:rFonts w:cs="Arial"/>
          <w:szCs w:val="20"/>
        </w:rPr>
        <w:t>ingverbetering en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herstructurering is ook een lastige, door hypothecaire verplichtingen kunnen banken gewenste</w:t>
      </w:r>
    </w:p>
    <w:p w:rsidRPr="000019C1" w:rsidR="000019C1" w:rsidP="000019C1" w:rsidRDefault="000019C1">
      <w:pPr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 w:rsidRPr="000019C1">
        <w:rPr>
          <w:rFonts w:cs="Arial"/>
          <w:szCs w:val="20"/>
        </w:rPr>
        <w:t>ontwikkelingen blokkeren.</w:t>
      </w:r>
    </w:p>
    <w:p w:rsidRPr="000019C1" w:rsidR="000019C1" w:rsidRDefault="000019C1">
      <w:pPr>
        <w:spacing w:line="312" w:lineRule="auto"/>
        <w:rPr>
          <w:rFonts w:cs="Arial"/>
          <w:szCs w:val="20"/>
        </w:rPr>
      </w:pPr>
    </w:p>
    <w:sectPr w:rsidRPr="000019C1" w:rsidR="000019C1" w:rsidSect="0011168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E0EEC"/>
    <w:multiLevelType w:val="hybridMultilevel"/>
    <w:tmpl w:val="21F87BB4"/>
    <w:lvl w:ilvl="0" w:tplc="9896419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587C"/>
    <w:multiLevelType w:val="hybridMultilevel"/>
    <w:tmpl w:val="D032AD72"/>
    <w:lvl w:ilvl="0" w:tplc="BBE275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937C0"/>
    <w:multiLevelType w:val="hybridMultilevel"/>
    <w:tmpl w:val="64686DEC"/>
    <w:lvl w:ilvl="0" w:tplc="ACC44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1"/>
    <w:rsid w:val="000019C1"/>
    <w:rsid w:val="000D0C0A"/>
    <w:rsid w:val="00111682"/>
    <w:rsid w:val="002070B5"/>
    <w:rsid w:val="002D39DB"/>
    <w:rsid w:val="003448A2"/>
    <w:rsid w:val="003E0B5F"/>
    <w:rsid w:val="004569B7"/>
    <w:rsid w:val="00723A38"/>
    <w:rsid w:val="007A44FF"/>
    <w:rsid w:val="00B05EFD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529CD-555F-4641-B9BB-4EFDFB8B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0C0A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00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570</ap:Words>
  <ap:Characters>3135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2015-09-01T12:26:00.0000000Z</dcterms:created>
  <dcterms:modified xsi:type="dcterms:W3CDTF">2015-09-02T10:09:00.0000000Z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0x01010069162D6E7FAD4C47A790F14C88268334</vt:lpwstr>
  </property>
</Properties>
</file>