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E1" w:rsidP="00772EE1" w:rsidRDefault="00772EE1">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772EE1" w:rsidP="00772EE1" w:rsidRDefault="00772EE1">
      <w:pPr>
        <w:rPr>
          <w:rFonts w:asciiTheme="minorHAnsi" w:hAnsiTheme="minorHAnsi"/>
          <w:sz w:val="22"/>
          <w:szCs w:val="22"/>
        </w:rPr>
      </w:pPr>
    </w:p>
    <w:p w:rsidRPr="00BF35EE" w:rsidR="00772EE1" w:rsidP="00772EE1" w:rsidRDefault="00772EE1">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732C7E">
        <w:rPr>
          <w:rFonts w:asciiTheme="minorHAnsi" w:hAnsiTheme="minorHAnsi"/>
          <w:sz w:val="22"/>
          <w:szCs w:val="22"/>
          <w:u w:val="single"/>
        </w:rPr>
        <w:t>t/m week 48</w:t>
      </w:r>
      <w:r>
        <w:rPr>
          <w:rFonts w:asciiTheme="minorHAnsi" w:hAnsiTheme="minorHAnsi"/>
          <w:sz w:val="22"/>
          <w:szCs w:val="22"/>
          <w:u w:val="single"/>
        </w:rPr>
        <w:t xml:space="preserve"> </w:t>
      </w:r>
      <w:r w:rsidRPr="00BF35EE">
        <w:rPr>
          <w:rFonts w:asciiTheme="minorHAnsi" w:hAnsiTheme="minorHAnsi"/>
          <w:sz w:val="22"/>
          <w:szCs w:val="22"/>
          <w:u w:val="single"/>
        </w:rPr>
        <w:t>(</w:t>
      </w:r>
      <w:r w:rsidR="00732C7E">
        <w:rPr>
          <w:rFonts w:asciiTheme="minorHAnsi" w:hAnsiTheme="minorHAnsi"/>
          <w:sz w:val="22"/>
          <w:szCs w:val="22"/>
          <w:u w:val="single"/>
        </w:rPr>
        <w:t>21</w:t>
      </w:r>
      <w:r>
        <w:rPr>
          <w:rFonts w:asciiTheme="minorHAnsi" w:hAnsiTheme="minorHAnsi"/>
          <w:sz w:val="22"/>
          <w:szCs w:val="22"/>
          <w:u w:val="single"/>
        </w:rPr>
        <w:t xml:space="preserve"> november </w:t>
      </w:r>
      <w:r w:rsidRPr="003C35BA">
        <w:rPr>
          <w:rFonts w:asciiTheme="minorHAnsi" w:hAnsiTheme="minorHAnsi"/>
          <w:sz w:val="22"/>
          <w:szCs w:val="22"/>
          <w:u w:val="single"/>
        </w:rPr>
        <w:t xml:space="preserve">2015 </w:t>
      </w:r>
      <w:r>
        <w:rPr>
          <w:rFonts w:asciiTheme="minorHAnsi" w:hAnsiTheme="minorHAnsi"/>
          <w:sz w:val="22"/>
          <w:szCs w:val="22"/>
          <w:u w:val="single"/>
        </w:rPr>
        <w:t>–</w:t>
      </w:r>
      <w:r w:rsidRPr="003C35BA">
        <w:rPr>
          <w:rFonts w:asciiTheme="minorHAnsi" w:hAnsiTheme="minorHAnsi"/>
          <w:sz w:val="22"/>
          <w:szCs w:val="22"/>
          <w:u w:val="single"/>
        </w:rPr>
        <w:t xml:space="preserve"> </w:t>
      </w:r>
      <w:r w:rsidR="00732C7E">
        <w:rPr>
          <w:rFonts w:asciiTheme="minorHAnsi" w:hAnsiTheme="minorHAnsi"/>
          <w:sz w:val="22"/>
          <w:szCs w:val="22"/>
          <w:u w:val="single"/>
        </w:rPr>
        <w:t>4 december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sidR="005938F8">
        <w:rPr>
          <w:rFonts w:asciiTheme="minorHAnsi" w:hAnsiTheme="minorHAnsi"/>
          <w:sz w:val="22"/>
          <w:szCs w:val="22"/>
          <w:u w:val="single"/>
        </w:rPr>
        <w:t>10</w:t>
      </w:r>
      <w:bookmarkStart w:name="_GoBack" w:id="0"/>
      <w:bookmarkEnd w:id="0"/>
      <w:r w:rsidR="00732C7E">
        <w:rPr>
          <w:rFonts w:asciiTheme="minorHAnsi" w:hAnsiTheme="minorHAnsi"/>
          <w:sz w:val="22"/>
          <w:szCs w:val="22"/>
          <w:u w:val="single"/>
        </w:rPr>
        <w:t xml:space="preserve"> december</w:t>
      </w:r>
      <w:r>
        <w:rPr>
          <w:rFonts w:asciiTheme="minorHAnsi" w:hAnsiTheme="minorHAnsi"/>
          <w:sz w:val="22"/>
          <w:szCs w:val="22"/>
          <w:u w:val="single"/>
        </w:rPr>
        <w:t xml:space="preserve"> 2015.</w:t>
      </w:r>
    </w:p>
    <w:p w:rsidRPr="00F67F5B" w:rsidR="00772EE1" w:rsidP="00772EE1" w:rsidRDefault="00772EE1">
      <w:pPr>
        <w:rPr>
          <w:rFonts w:asciiTheme="minorHAnsi" w:hAnsiTheme="minorHAnsi"/>
          <w:sz w:val="22"/>
          <w:szCs w:val="22"/>
        </w:rPr>
      </w:pPr>
    </w:p>
    <w:p w:rsidRPr="00F67F5B" w:rsidR="00772EE1" w:rsidP="00772EE1" w:rsidRDefault="00772EE1">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772EE1" w:rsidTr="004137AA">
        <w:trPr>
          <w:trHeight w:val="1550"/>
        </w:trPr>
        <w:tc>
          <w:tcPr>
            <w:tcW w:w="1433" w:type="dxa"/>
            <w:shd w:val="clear" w:color="auto" w:fill="auto"/>
            <w:textDirection w:val="btLr"/>
            <w:vAlign w:val="bottom"/>
            <w:hideMark/>
          </w:tcPr>
          <w:p w:rsidRPr="00F50A0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772EE1" w:rsidP="004137AA" w:rsidRDefault="00772EE1">
            <w:pPr>
              <w:rPr>
                <w:rFonts w:asciiTheme="minorHAnsi" w:hAnsiTheme="minorHAnsi"/>
                <w:b/>
                <w:bCs/>
                <w:color w:val="000000"/>
                <w:sz w:val="22"/>
                <w:szCs w:val="22"/>
              </w:rPr>
            </w:pPr>
          </w:p>
          <w:p w:rsidRPr="00F50A0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772EE1" w:rsidP="004137AA" w:rsidRDefault="00772EE1">
            <w:pP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3136"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772EE1" w:rsidTr="004137AA">
        <w:trPr>
          <w:trHeight w:val="300"/>
        </w:trPr>
        <w:tc>
          <w:tcPr>
            <w:tcW w:w="1433"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772EE1" w:rsidP="004137AA" w:rsidRDefault="00772EE1">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772EE1" w:rsidP="004137AA" w:rsidRDefault="00772EE1">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732C7E"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24-nov-15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32C7E"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732C7E" w:rsidP="004137AA" w:rsidRDefault="00732C7E">
            <w:pPr>
              <w:rPr>
                <w:rFonts w:ascii="Calibri" w:hAnsi="Calibri"/>
                <w:color w:val="000000"/>
                <w:sz w:val="22"/>
                <w:szCs w:val="22"/>
              </w:rPr>
            </w:pPr>
            <w:r>
              <w:rPr>
                <w:rFonts w:ascii="Calibri" w:hAnsi="Calibri"/>
                <w:color w:val="000000"/>
                <w:sz w:val="22"/>
                <w:szCs w:val="22"/>
              </w:rPr>
              <w:t xml:space="preserve">MEDEDELING VAN DE COMMISSIE AAN HET EUROPEES PARLEMENT overeenkomstig artikel 294, lid 6, van het Verdrag betreffende de werking van de Europese Unie over het standpunt van de Raad met het oog op de aanneming van een richtlijn van het Europees Parlement en de Raad betreffende de aanpassing van het merkenrecht der lidstaten (herschikking) </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732C7E">
            <w:pPr>
              <w:rPr>
                <w:rFonts w:ascii="Calibri" w:hAnsi="Calibri"/>
                <w:color w:val="0000FF"/>
                <w:sz w:val="22"/>
                <w:szCs w:val="22"/>
                <w:u w:val="single"/>
              </w:rPr>
            </w:pPr>
            <w:r>
              <w:rPr>
                <w:rFonts w:ascii="Calibri" w:hAnsi="Calibri"/>
                <w:color w:val="0000FF"/>
                <w:sz w:val="22"/>
                <w:szCs w:val="22"/>
                <w:u w:val="single"/>
              </w:rPr>
              <w:t>588</w:t>
            </w:r>
          </w:p>
          <w:p w:rsidR="00732C7E" w:rsidP="004137AA" w:rsidRDefault="00732C7E">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732C7E" w:rsidP="004137AA" w:rsidRDefault="00732C7E">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732C7E" w:rsidP="004137AA" w:rsidRDefault="00732C7E">
            <w:pPr>
              <w:rPr>
                <w:rFonts w:ascii="Calibri" w:hAnsi="Calibri"/>
                <w:color w:val="000000"/>
                <w:sz w:val="22"/>
                <w:szCs w:val="22"/>
              </w:rPr>
            </w:pPr>
          </w:p>
        </w:tc>
      </w:tr>
      <w:tr w:rsidR="00732C7E"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24-nov-15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32C7E"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732C7E" w:rsidP="004137AA" w:rsidRDefault="00732C7E">
            <w:pPr>
              <w:rPr>
                <w:rFonts w:ascii="Calibri" w:hAnsi="Calibri"/>
                <w:color w:val="000000"/>
                <w:sz w:val="22"/>
                <w:szCs w:val="22"/>
              </w:rPr>
            </w:pPr>
            <w:r>
              <w:rPr>
                <w:rFonts w:ascii="Calibri" w:hAnsi="Calibri"/>
                <w:color w:val="000000"/>
                <w:sz w:val="22"/>
                <w:szCs w:val="22"/>
              </w:rPr>
              <w:t>MEDEDELING VAN DE COMMISSIE AAN HET EUROPEES PARLEMENT overeenkomstig artikel 294, lid 6, van het Verdrag betreffende de werking van de Europese Unie over het standpunt van de Raad inzake de vaststelling van een Verordening van het Europees Parlement en de Raad tot wijziging van Verordening (EG) nr. 207/2009 van de Raad van 26 februari 2009 inzake het Gemeenschapsmerk, tot wijziging van Verordening (EG) nr. 2868/95 van de Commissie tot uitvoering van Verordening (EG) nr. 40/94 van de Raad inzake het Gemeenschapsmerk, en tot intrekking van Verordening (EG) nr. 2869/95 van de Commissie inzake de aan het Bureau voor harmonisatie binnen de interne markt (merken, tekeningen en modellen) te betalen taksen</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5938F8">
            <w:pPr>
              <w:rPr>
                <w:rFonts w:ascii="Calibri" w:hAnsi="Calibri"/>
                <w:color w:val="0000FF"/>
                <w:sz w:val="22"/>
                <w:szCs w:val="22"/>
                <w:u w:val="single"/>
              </w:rPr>
            </w:pPr>
            <w:hyperlink w:history="1" r:id="rId7">
              <w:r w:rsidR="00732C7E">
                <w:rPr>
                  <w:rStyle w:val="Hyperlink"/>
                  <w:rFonts w:ascii="Calibri" w:hAnsi="Calibri"/>
                  <w:sz w:val="22"/>
                  <w:szCs w:val="22"/>
                </w:rPr>
                <w:t>589</w:t>
              </w:r>
            </w:hyperlink>
          </w:p>
          <w:p w:rsidR="00732C7E" w:rsidP="004137AA" w:rsidRDefault="00732C7E">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732C7E" w:rsidP="004137AA" w:rsidRDefault="00732C7E">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732C7E" w:rsidP="004137AA" w:rsidRDefault="00732C7E">
            <w:pPr>
              <w:rPr>
                <w:rFonts w:ascii="Calibri" w:hAnsi="Calibri"/>
                <w:color w:val="000000"/>
                <w:sz w:val="22"/>
                <w:szCs w:val="22"/>
              </w:rPr>
            </w:pPr>
          </w:p>
        </w:tc>
      </w:tr>
      <w:tr w:rsidR="00772EE1"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t>24-nov-15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72EE1" w:rsidP="004137AA" w:rsidRDefault="00772EE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72EE1" w:rsidP="004137AA" w:rsidRDefault="00772EE1">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6B11B0" w:rsidR="00772EE1" w:rsidP="004137AA" w:rsidRDefault="00732C7E">
            <w:pPr>
              <w:rPr>
                <w:rFonts w:ascii="Calibri" w:hAnsi="Calibri"/>
                <w:color w:val="000000"/>
                <w:sz w:val="22"/>
                <w:szCs w:val="22"/>
              </w:rPr>
            </w:pPr>
            <w:r>
              <w:rPr>
                <w:rFonts w:ascii="Calibri" w:hAnsi="Calibri"/>
                <w:color w:val="000000"/>
                <w:sz w:val="22"/>
                <w:szCs w:val="22"/>
              </w:rPr>
              <w:t>Voorstel voor een Verordening van de Raad tot vaststelling, voor 2016, van de vangstmogelijkheden voor bepaalde visbestanden in de Zwarte Zee</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72EE1">
            <w:pPr>
              <w:rPr>
                <w:rFonts w:ascii="Calibri" w:hAnsi="Calibri"/>
                <w:color w:val="0000FF"/>
                <w:sz w:val="22"/>
                <w:szCs w:val="22"/>
                <w:u w:val="single"/>
              </w:rPr>
            </w:pPr>
          </w:p>
          <w:p w:rsidR="00772EE1" w:rsidP="004137AA" w:rsidRDefault="005938F8">
            <w:pPr>
              <w:rPr>
                <w:rFonts w:ascii="Calibri" w:hAnsi="Calibri"/>
                <w:color w:val="0000FF"/>
                <w:sz w:val="22"/>
                <w:szCs w:val="22"/>
                <w:u w:val="single"/>
              </w:rPr>
            </w:pPr>
            <w:hyperlink w:history="1" r:id="rId8">
              <w:r w:rsidR="00732C7E">
                <w:rPr>
                  <w:rStyle w:val="Hyperlink"/>
                  <w:rFonts w:ascii="Calibri" w:hAnsi="Calibri"/>
                  <w:sz w:val="22"/>
                  <w:szCs w:val="22"/>
                </w:rPr>
                <w:t>579</w:t>
              </w:r>
            </w:hyperlink>
          </w:p>
          <w:p w:rsidR="00772EE1" w:rsidP="004137AA" w:rsidRDefault="00772EE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772EE1" w:rsidP="004137AA" w:rsidRDefault="00772EE1">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Pr="00B80CC7" w:rsidR="00B80CC7" w:rsidP="00B80CC7" w:rsidRDefault="00B80CC7">
            <w:pPr>
              <w:rPr>
                <w:rFonts w:ascii="Calibri" w:hAnsi="Calibri"/>
                <w:color w:val="000000"/>
                <w:sz w:val="22"/>
                <w:szCs w:val="22"/>
              </w:rPr>
            </w:pPr>
            <w:r w:rsidRPr="00B80CC7">
              <w:rPr>
                <w:rFonts w:ascii="Calibri" w:hAnsi="Calibri"/>
                <w:color w:val="000000"/>
                <w:sz w:val="22"/>
                <w:szCs w:val="22"/>
              </w:rPr>
              <w:t>Het Luxemburgse voorzittersch</w:t>
            </w:r>
            <w:r>
              <w:rPr>
                <w:rFonts w:ascii="Calibri" w:hAnsi="Calibri"/>
                <w:color w:val="000000"/>
                <w:sz w:val="22"/>
                <w:szCs w:val="22"/>
              </w:rPr>
              <w:t>ap is voornemens om tijdens de Landbouw- en Visserijraad van december e</w:t>
            </w:r>
            <w:r w:rsidRPr="00B80CC7">
              <w:rPr>
                <w:rFonts w:ascii="Calibri" w:hAnsi="Calibri"/>
                <w:color w:val="000000"/>
                <w:sz w:val="22"/>
                <w:szCs w:val="22"/>
              </w:rPr>
              <w:t>en politiek</w:t>
            </w:r>
          </w:p>
          <w:p w:rsidR="00772EE1" w:rsidP="00B80CC7" w:rsidRDefault="00B80CC7">
            <w:pPr>
              <w:rPr>
                <w:rFonts w:ascii="Calibri" w:hAnsi="Calibri"/>
                <w:color w:val="000000"/>
                <w:sz w:val="22"/>
                <w:szCs w:val="22"/>
              </w:rPr>
            </w:pPr>
            <w:r w:rsidRPr="00B80CC7">
              <w:rPr>
                <w:rFonts w:ascii="Calibri" w:hAnsi="Calibri"/>
                <w:color w:val="000000"/>
                <w:sz w:val="22"/>
                <w:szCs w:val="22"/>
              </w:rPr>
              <w:lastRenderedPageBreak/>
              <w:t>akkoord te bereiken over de</w:t>
            </w:r>
            <w:r>
              <w:rPr>
                <w:rFonts w:ascii="Calibri" w:hAnsi="Calibri"/>
                <w:color w:val="000000"/>
                <w:sz w:val="22"/>
                <w:szCs w:val="22"/>
              </w:rPr>
              <w:t>ze</w:t>
            </w:r>
            <w:r w:rsidRPr="00B80CC7">
              <w:rPr>
                <w:rFonts w:ascii="Calibri" w:hAnsi="Calibri"/>
                <w:color w:val="000000"/>
                <w:sz w:val="22"/>
                <w:szCs w:val="22"/>
              </w:rPr>
              <w:t xml:space="preserve"> </w:t>
            </w:r>
            <w:r>
              <w:rPr>
                <w:rFonts w:ascii="Calibri" w:hAnsi="Calibri"/>
                <w:color w:val="000000"/>
                <w:sz w:val="22"/>
                <w:szCs w:val="22"/>
              </w:rPr>
              <w:t xml:space="preserve">verordening. </w:t>
            </w:r>
            <w:r w:rsidRPr="00B80CC7">
              <w:rPr>
                <w:rFonts w:ascii="Calibri" w:hAnsi="Calibri"/>
                <w:color w:val="000000"/>
                <w:sz w:val="22"/>
                <w:szCs w:val="22"/>
              </w:rPr>
              <w:t>Daar de Raad binnen 6 weken een besluit hierover</w:t>
            </w:r>
            <w:r>
              <w:rPr>
                <w:rFonts w:ascii="Calibri" w:hAnsi="Calibri"/>
                <w:color w:val="000000"/>
                <w:sz w:val="22"/>
                <w:szCs w:val="22"/>
              </w:rPr>
              <w:t xml:space="preserve"> </w:t>
            </w:r>
            <w:r w:rsidRPr="00B80CC7">
              <w:rPr>
                <w:rFonts w:ascii="Calibri" w:hAnsi="Calibri"/>
                <w:color w:val="000000"/>
                <w:sz w:val="22"/>
                <w:szCs w:val="22"/>
              </w:rPr>
              <w:t xml:space="preserve">neemt, is </w:t>
            </w:r>
            <w:r>
              <w:rPr>
                <w:rFonts w:ascii="Calibri" w:hAnsi="Calibri"/>
                <w:color w:val="000000"/>
                <w:sz w:val="22"/>
                <w:szCs w:val="22"/>
              </w:rPr>
              <w:t xml:space="preserve">door het kabinet </w:t>
            </w:r>
            <w:r w:rsidRPr="00B80CC7">
              <w:rPr>
                <w:rFonts w:ascii="Calibri" w:hAnsi="Calibri"/>
                <w:color w:val="000000"/>
                <w:sz w:val="22"/>
                <w:szCs w:val="22"/>
              </w:rPr>
              <w:t>besloten geen BNC-fiche op te stellen</w:t>
            </w:r>
            <w:r>
              <w:rPr>
                <w:rFonts w:ascii="Calibri" w:hAnsi="Calibri"/>
                <w:color w:val="000000"/>
                <w:sz w:val="22"/>
                <w:szCs w:val="22"/>
              </w:rPr>
              <w:t>. U bent reeds over de Nederlandse inzet geïnformeerd via de geannoteerde agenda.</w:t>
            </w:r>
          </w:p>
        </w:tc>
      </w:tr>
      <w:tr w:rsidR="00772EE1"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lastRenderedPageBreak/>
              <w:t>26-nov-15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72EE1"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076630" w:rsidR="00772EE1" w:rsidP="004137AA" w:rsidRDefault="00732C7E">
            <w:pPr>
              <w:rPr>
                <w:rFonts w:ascii="Calibri" w:hAnsi="Calibri"/>
                <w:color w:val="000000"/>
                <w:sz w:val="22"/>
                <w:szCs w:val="22"/>
              </w:rPr>
            </w:pPr>
            <w:proofErr w:type="spellStart"/>
            <w:r>
              <w:rPr>
                <w:rFonts w:ascii="Calibri" w:hAnsi="Calibri"/>
                <w:color w:val="000000"/>
                <w:sz w:val="22"/>
                <w:szCs w:val="22"/>
              </w:rPr>
              <w:t>Proposal</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a REGULATION OF THE EUROPEAN PARLIAMENT AND OF THE COUNCIL on the establishment of the </w:t>
            </w:r>
            <w:proofErr w:type="spellStart"/>
            <w:r>
              <w:rPr>
                <w:rFonts w:ascii="Calibri" w:hAnsi="Calibri"/>
                <w:color w:val="000000"/>
                <w:sz w:val="22"/>
                <w:szCs w:val="22"/>
              </w:rPr>
              <w:t>Structural</w:t>
            </w:r>
            <w:proofErr w:type="spellEnd"/>
            <w:r>
              <w:rPr>
                <w:rFonts w:ascii="Calibri" w:hAnsi="Calibri"/>
                <w:color w:val="000000"/>
                <w:sz w:val="22"/>
                <w:szCs w:val="22"/>
              </w:rPr>
              <w:t xml:space="preserve"> Reform Support </w:t>
            </w:r>
            <w:proofErr w:type="spellStart"/>
            <w:r>
              <w:rPr>
                <w:rFonts w:ascii="Calibri" w:hAnsi="Calibri"/>
                <w:color w:val="000000"/>
                <w:sz w:val="22"/>
                <w:szCs w:val="22"/>
              </w:rPr>
              <w:t>Programme</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the </w:t>
            </w:r>
            <w:proofErr w:type="spellStart"/>
            <w:r>
              <w:rPr>
                <w:rFonts w:ascii="Calibri" w:hAnsi="Calibri"/>
                <w:color w:val="000000"/>
                <w:sz w:val="22"/>
                <w:szCs w:val="22"/>
              </w:rPr>
              <w:t>period</w:t>
            </w:r>
            <w:proofErr w:type="spellEnd"/>
            <w:r>
              <w:rPr>
                <w:rFonts w:ascii="Calibri" w:hAnsi="Calibri"/>
                <w:color w:val="000000"/>
                <w:sz w:val="22"/>
                <w:szCs w:val="22"/>
              </w:rPr>
              <w:t xml:space="preserve"> 2017 </w:t>
            </w:r>
            <w:proofErr w:type="spellStart"/>
            <w:r>
              <w:rPr>
                <w:rFonts w:ascii="Calibri" w:hAnsi="Calibri"/>
                <w:color w:val="000000"/>
                <w:sz w:val="22"/>
                <w:szCs w:val="22"/>
              </w:rPr>
              <w:t>to</w:t>
            </w:r>
            <w:proofErr w:type="spellEnd"/>
            <w:r>
              <w:rPr>
                <w:rFonts w:ascii="Calibri" w:hAnsi="Calibri"/>
                <w:color w:val="000000"/>
                <w:sz w:val="22"/>
                <w:szCs w:val="22"/>
              </w:rPr>
              <w:t xml:space="preserve"> 2020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amending</w:t>
            </w:r>
            <w:proofErr w:type="spellEnd"/>
            <w:r>
              <w:rPr>
                <w:rFonts w:ascii="Calibri" w:hAnsi="Calibri"/>
                <w:color w:val="000000"/>
                <w:sz w:val="22"/>
                <w:szCs w:val="22"/>
              </w:rPr>
              <w:t xml:space="preserve"> </w:t>
            </w:r>
            <w:proofErr w:type="spellStart"/>
            <w:r>
              <w:rPr>
                <w:rFonts w:ascii="Calibri" w:hAnsi="Calibri"/>
                <w:color w:val="000000"/>
                <w:sz w:val="22"/>
                <w:szCs w:val="22"/>
              </w:rPr>
              <w:t>Regulations</w:t>
            </w:r>
            <w:proofErr w:type="spellEnd"/>
            <w:r>
              <w:rPr>
                <w:rFonts w:ascii="Calibri" w:hAnsi="Calibri"/>
                <w:color w:val="000000"/>
                <w:sz w:val="22"/>
                <w:szCs w:val="22"/>
              </w:rPr>
              <w:t xml:space="preserve"> (EU) No 1303/2013 </w:t>
            </w:r>
            <w:proofErr w:type="spellStart"/>
            <w:r>
              <w:rPr>
                <w:rFonts w:ascii="Calibri" w:hAnsi="Calibri"/>
                <w:color w:val="000000"/>
                <w:sz w:val="22"/>
                <w:szCs w:val="22"/>
              </w:rPr>
              <w:t>and</w:t>
            </w:r>
            <w:proofErr w:type="spellEnd"/>
            <w:r>
              <w:rPr>
                <w:rFonts w:ascii="Calibri" w:hAnsi="Calibri"/>
                <w:color w:val="000000"/>
                <w:sz w:val="22"/>
                <w:szCs w:val="22"/>
              </w:rPr>
              <w:t xml:space="preserve"> (EU) No 1305/2013</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5938F8">
            <w:pPr>
              <w:rPr>
                <w:rFonts w:ascii="Calibri" w:hAnsi="Calibri"/>
                <w:color w:val="0000FF"/>
                <w:sz w:val="22"/>
                <w:szCs w:val="22"/>
                <w:u w:val="single"/>
              </w:rPr>
            </w:pPr>
            <w:hyperlink w:history="1" r:id="rId9">
              <w:r w:rsidR="00732C7E">
                <w:rPr>
                  <w:rStyle w:val="Hyperlink"/>
                  <w:rFonts w:ascii="Calibri" w:hAnsi="Calibri"/>
                  <w:sz w:val="22"/>
                  <w:szCs w:val="22"/>
                </w:rPr>
                <w:t>701</w:t>
              </w:r>
            </w:hyperlink>
          </w:p>
          <w:p w:rsidR="00772EE1" w:rsidP="004137AA" w:rsidRDefault="00772EE1"/>
        </w:tc>
        <w:tc>
          <w:tcPr>
            <w:tcW w:w="1052" w:type="dxa"/>
            <w:tcBorders>
              <w:top w:val="single" w:color="auto" w:sz="4" w:space="0"/>
              <w:left w:val="nil"/>
              <w:bottom w:val="single" w:color="auto" w:sz="4" w:space="0"/>
              <w:right w:val="single" w:color="auto" w:sz="4" w:space="0"/>
            </w:tcBorders>
            <w:shd w:val="clear" w:color="auto" w:fill="auto"/>
            <w:noWrap/>
          </w:tcPr>
          <w:p w:rsidR="00772EE1" w:rsidP="004137AA" w:rsidRDefault="008E0A4A">
            <w:pPr>
              <w:rPr>
                <w:rFonts w:ascii="Calibri" w:hAnsi="Calibri"/>
                <w:color w:val="000000"/>
                <w:sz w:val="22"/>
                <w:szCs w:val="22"/>
              </w:rPr>
            </w:pPr>
            <w:r>
              <w:rPr>
                <w:rFonts w:ascii="Calibri" w:hAnsi="Calibri"/>
                <w:color w:val="000000"/>
                <w:sz w:val="22"/>
                <w:szCs w:val="22"/>
              </w:rPr>
              <w:t>25-jan-15</w:t>
            </w:r>
          </w:p>
        </w:tc>
        <w:tc>
          <w:tcPr>
            <w:tcW w:w="3136" w:type="dxa"/>
            <w:tcBorders>
              <w:top w:val="single" w:color="auto" w:sz="4" w:space="0"/>
              <w:left w:val="nil"/>
              <w:bottom w:val="single" w:color="auto" w:sz="4" w:space="0"/>
              <w:right w:val="single" w:color="auto" w:sz="4" w:space="0"/>
            </w:tcBorders>
            <w:shd w:val="clear" w:color="auto" w:fill="auto"/>
          </w:tcPr>
          <w:p w:rsidR="00772EE1" w:rsidP="004137AA" w:rsidRDefault="004B40EF">
            <w:pPr>
              <w:rPr>
                <w:rFonts w:ascii="Calibri" w:hAnsi="Calibri"/>
                <w:color w:val="000000"/>
                <w:sz w:val="22"/>
                <w:szCs w:val="22"/>
              </w:rPr>
            </w:pPr>
            <w:r>
              <w:rPr>
                <w:rFonts w:ascii="Calibri" w:hAnsi="Calibri"/>
                <w:color w:val="000000"/>
                <w:sz w:val="22"/>
                <w:szCs w:val="22"/>
              </w:rPr>
              <w:t xml:space="preserve">Het BNC-fiche komt niet binnen de daarvoor geldende </w:t>
            </w:r>
            <w:proofErr w:type="spellStart"/>
            <w:r>
              <w:rPr>
                <w:rFonts w:ascii="Calibri" w:hAnsi="Calibri"/>
                <w:color w:val="000000"/>
                <w:sz w:val="22"/>
                <w:szCs w:val="22"/>
              </w:rPr>
              <w:t>zeswekentermijn</w:t>
            </w:r>
            <w:proofErr w:type="spellEnd"/>
            <w:r>
              <w:rPr>
                <w:rFonts w:ascii="Calibri" w:hAnsi="Calibri"/>
                <w:color w:val="000000"/>
                <w:sz w:val="22"/>
                <w:szCs w:val="22"/>
              </w:rPr>
              <w:t xml:space="preserve"> naar de Kamer. Per brief d.d. 10-12-2015 (</w:t>
            </w:r>
            <w:r w:rsidRPr="004B40EF">
              <w:rPr>
                <w:rFonts w:ascii="Calibri" w:hAnsi="Calibri"/>
                <w:color w:val="000000"/>
                <w:sz w:val="22"/>
                <w:szCs w:val="22"/>
              </w:rPr>
              <w:t>2015Z24203</w:t>
            </w:r>
            <w:r>
              <w:rPr>
                <w:rFonts w:ascii="Calibri" w:hAnsi="Calibri"/>
                <w:color w:val="000000"/>
                <w:sz w:val="22"/>
                <w:szCs w:val="22"/>
              </w:rPr>
              <w:t>) geeft de minister van EZ aan dat het BNC-fiche op zo kort mogelijke  termijn naar de Kamer wordt gestuurd.</w:t>
            </w:r>
          </w:p>
        </w:tc>
      </w:tr>
      <w:tr w:rsidR="00772EE1"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t>26-nov-15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72EE1"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72EE1" w:rsidP="004137AA" w:rsidRDefault="006363F6">
            <w:pPr>
              <w:rPr>
                <w:rFonts w:ascii="Calibri" w:hAnsi="Calibri"/>
                <w:color w:val="000000"/>
                <w:sz w:val="22"/>
                <w:szCs w:val="22"/>
              </w:rPr>
            </w:pPr>
            <w:r>
              <w:rPr>
                <w:rFonts w:ascii="Calibri" w:hAnsi="Calibri"/>
                <w:color w:val="000000"/>
                <w:sz w:val="22"/>
                <w:szCs w:val="22"/>
              </w:rPr>
              <w:t>Aanbeveling</w:t>
            </w:r>
          </w:p>
        </w:tc>
        <w:tc>
          <w:tcPr>
            <w:tcW w:w="6101" w:type="dxa"/>
            <w:tcBorders>
              <w:top w:val="single" w:color="auto" w:sz="4" w:space="0"/>
              <w:left w:val="nil"/>
              <w:bottom w:val="single" w:color="auto" w:sz="4" w:space="0"/>
              <w:right w:val="nil"/>
            </w:tcBorders>
            <w:shd w:val="clear" w:color="auto" w:fill="auto"/>
            <w:noWrap/>
          </w:tcPr>
          <w:p w:rsidRPr="00076630" w:rsidR="00772EE1" w:rsidP="004137AA" w:rsidRDefault="00732C7E">
            <w:pPr>
              <w:rPr>
                <w:rFonts w:ascii="Calibri" w:hAnsi="Calibri"/>
                <w:color w:val="000000"/>
                <w:sz w:val="22"/>
                <w:szCs w:val="22"/>
              </w:rPr>
            </w:pPr>
            <w:proofErr w:type="spellStart"/>
            <w:r w:rsidRPr="00732C7E">
              <w:rPr>
                <w:rFonts w:ascii="Calibri" w:hAnsi="Calibri"/>
                <w:color w:val="000000"/>
                <w:sz w:val="22"/>
                <w:szCs w:val="22"/>
              </w:rPr>
              <w:t>Recommendation</w:t>
            </w:r>
            <w:proofErr w:type="spellEnd"/>
            <w:r w:rsidRPr="00732C7E">
              <w:rPr>
                <w:rFonts w:ascii="Calibri" w:hAnsi="Calibri"/>
                <w:color w:val="000000"/>
                <w:sz w:val="22"/>
                <w:szCs w:val="22"/>
              </w:rPr>
              <w:t xml:space="preserve"> </w:t>
            </w:r>
            <w:proofErr w:type="spellStart"/>
            <w:r w:rsidRPr="00732C7E">
              <w:rPr>
                <w:rFonts w:ascii="Calibri" w:hAnsi="Calibri"/>
                <w:color w:val="000000"/>
                <w:sz w:val="22"/>
                <w:szCs w:val="22"/>
              </w:rPr>
              <w:t>for</w:t>
            </w:r>
            <w:proofErr w:type="spellEnd"/>
            <w:r w:rsidRPr="00732C7E">
              <w:rPr>
                <w:rFonts w:ascii="Calibri" w:hAnsi="Calibri"/>
                <w:color w:val="000000"/>
                <w:sz w:val="22"/>
                <w:szCs w:val="22"/>
              </w:rPr>
              <w:t xml:space="preserve"> a COUNCIL RECOMMENDATION on the </w:t>
            </w:r>
            <w:proofErr w:type="spellStart"/>
            <w:r w:rsidRPr="00732C7E">
              <w:rPr>
                <w:rFonts w:ascii="Calibri" w:hAnsi="Calibri"/>
                <w:color w:val="000000"/>
                <w:sz w:val="22"/>
                <w:szCs w:val="22"/>
              </w:rPr>
              <w:t>economic</w:t>
            </w:r>
            <w:proofErr w:type="spellEnd"/>
            <w:r w:rsidRPr="00732C7E">
              <w:rPr>
                <w:rFonts w:ascii="Calibri" w:hAnsi="Calibri"/>
                <w:color w:val="000000"/>
                <w:sz w:val="22"/>
                <w:szCs w:val="22"/>
              </w:rPr>
              <w:t xml:space="preserve"> policy of the euro area</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5938F8">
            <w:pPr>
              <w:rPr>
                <w:rFonts w:ascii="Calibri" w:hAnsi="Calibri"/>
                <w:color w:val="0000FF"/>
                <w:sz w:val="22"/>
                <w:szCs w:val="22"/>
                <w:u w:val="single"/>
              </w:rPr>
            </w:pPr>
            <w:hyperlink w:history="1" r:id="rId10">
              <w:r w:rsidR="00732C7E">
                <w:rPr>
                  <w:rStyle w:val="Hyperlink"/>
                  <w:rFonts w:ascii="Calibri" w:hAnsi="Calibri"/>
                  <w:sz w:val="22"/>
                  <w:szCs w:val="22"/>
                </w:rPr>
                <w:t>692</w:t>
              </w:r>
            </w:hyperlink>
          </w:p>
          <w:p w:rsidR="00772EE1" w:rsidP="004137AA" w:rsidRDefault="00772EE1"/>
        </w:tc>
        <w:tc>
          <w:tcPr>
            <w:tcW w:w="1052" w:type="dxa"/>
            <w:tcBorders>
              <w:top w:val="single" w:color="auto" w:sz="4" w:space="0"/>
              <w:left w:val="nil"/>
              <w:bottom w:val="single" w:color="auto" w:sz="4" w:space="0"/>
              <w:right w:val="single" w:color="auto" w:sz="4" w:space="0"/>
            </w:tcBorders>
            <w:shd w:val="clear" w:color="auto" w:fill="auto"/>
            <w:noWrap/>
          </w:tcPr>
          <w:p w:rsidR="00772EE1" w:rsidP="004137AA" w:rsidRDefault="00772EE1">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772EE1" w:rsidP="006363F6" w:rsidRDefault="00772EE1">
            <w:pPr>
              <w:rPr>
                <w:rFonts w:ascii="Calibri" w:hAnsi="Calibri"/>
                <w:color w:val="000000"/>
                <w:sz w:val="22"/>
                <w:szCs w:val="22"/>
              </w:rPr>
            </w:pPr>
          </w:p>
        </w:tc>
      </w:tr>
    </w:tbl>
    <w:p w:rsidR="00772EE1" w:rsidP="00772EE1" w:rsidRDefault="00772EE1">
      <w:pPr>
        <w:pStyle w:val="Voetnoottekst"/>
        <w:rPr>
          <w:rFonts w:asciiTheme="minorHAnsi" w:hAnsiTheme="minorHAnsi"/>
          <w:b/>
        </w:rPr>
      </w:pPr>
    </w:p>
    <w:p w:rsidR="00772EE1" w:rsidP="00772EE1" w:rsidRDefault="00772EE1">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772EE1" w:rsidP="00772EE1" w:rsidRDefault="00772EE1">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772EE1" w:rsidP="00772EE1" w:rsidRDefault="00772EE1">
      <w:pPr>
        <w:pStyle w:val="Voetnoottekst"/>
        <w:rPr>
          <w:rFonts w:asciiTheme="minorHAnsi" w:hAnsiTheme="minorHAnsi"/>
        </w:rPr>
      </w:pPr>
    </w:p>
    <w:p w:rsidRPr="00962F35" w:rsidR="00772EE1" w:rsidP="00772EE1" w:rsidRDefault="00772EE1">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772EE1" w:rsidTr="004137AA">
        <w:tc>
          <w:tcPr>
            <w:tcW w:w="1384" w:type="dxa"/>
          </w:tcPr>
          <w:p w:rsidRPr="005C6EF4" w:rsidR="00772EE1" w:rsidP="004137AA" w:rsidRDefault="00772EE1">
            <w:pPr>
              <w:pStyle w:val="Voetnoottekst"/>
              <w:rPr>
                <w:rFonts w:asciiTheme="minorHAnsi" w:hAnsiTheme="minorHAnsi"/>
                <w:b/>
              </w:rPr>
            </w:pPr>
            <w:r w:rsidRPr="005C6EF4">
              <w:rPr>
                <w:rFonts w:asciiTheme="minorHAnsi" w:hAnsiTheme="minorHAnsi"/>
                <w:b/>
              </w:rPr>
              <w:t>Onderwerp</w:t>
            </w:r>
          </w:p>
        </w:tc>
        <w:tc>
          <w:tcPr>
            <w:tcW w:w="4820" w:type="dxa"/>
          </w:tcPr>
          <w:p w:rsidRPr="005C6EF4" w:rsidR="00772EE1" w:rsidP="004137AA" w:rsidRDefault="00772EE1">
            <w:pPr>
              <w:pStyle w:val="Voetnoottekst"/>
              <w:rPr>
                <w:rFonts w:asciiTheme="minorHAnsi" w:hAnsiTheme="minorHAnsi"/>
                <w:b/>
              </w:rPr>
            </w:pPr>
            <w:r w:rsidRPr="005C6EF4">
              <w:rPr>
                <w:rFonts w:asciiTheme="minorHAnsi" w:hAnsiTheme="minorHAnsi"/>
                <w:b/>
              </w:rPr>
              <w:t>Toelichting</w:t>
            </w:r>
          </w:p>
        </w:tc>
        <w:tc>
          <w:tcPr>
            <w:tcW w:w="3685" w:type="dxa"/>
          </w:tcPr>
          <w:p w:rsidRPr="005C6EF4" w:rsidR="00772EE1" w:rsidP="004137AA" w:rsidRDefault="00772EE1">
            <w:pPr>
              <w:pStyle w:val="Voetnoottekst"/>
              <w:rPr>
                <w:rFonts w:asciiTheme="minorHAnsi" w:hAnsiTheme="minorHAnsi"/>
                <w:b/>
              </w:rPr>
            </w:pPr>
            <w:r w:rsidRPr="005C6EF4">
              <w:rPr>
                <w:rFonts w:asciiTheme="minorHAnsi" w:hAnsiTheme="minorHAnsi"/>
                <w:b/>
              </w:rPr>
              <w:t>Mogelijke beïnvloedingsmomenten nationale parlement</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t>Groen- en witboek</w:t>
            </w:r>
          </w:p>
        </w:tc>
        <w:tc>
          <w:tcPr>
            <w:tcW w:w="4820" w:type="dxa"/>
          </w:tcPr>
          <w:p w:rsidRPr="005C6EF4" w:rsidR="00772EE1" w:rsidP="004137AA" w:rsidRDefault="00772EE1">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772EE1" w:rsidP="004137AA" w:rsidRDefault="00772EE1">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w:t>
            </w:r>
            <w:r w:rsidRPr="005C6EF4">
              <w:rPr>
                <w:rFonts w:asciiTheme="minorHAnsi" w:hAnsiTheme="minorHAnsi"/>
              </w:rPr>
              <w:lastRenderedPageBreak/>
              <w:t xml:space="preserve">ontwikkelen beleid. </w:t>
            </w:r>
          </w:p>
          <w:p w:rsidRPr="005C6EF4" w:rsidR="00772EE1" w:rsidP="004137AA" w:rsidRDefault="00772EE1">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772EE1" w:rsidP="004137AA" w:rsidRDefault="00772EE1">
            <w:pPr>
              <w:pStyle w:val="Voetnoottekst"/>
              <w:rPr>
                <w:rFonts w:asciiTheme="minorHAnsi" w:hAnsiTheme="minorHAnsi"/>
              </w:rPr>
            </w:pPr>
          </w:p>
          <w:p w:rsidRPr="005C6EF4" w:rsidR="00772EE1" w:rsidP="004137AA" w:rsidRDefault="00772EE1">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772EE1" w:rsidP="004137AA" w:rsidRDefault="00772EE1">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772EE1" w:rsidP="004137AA" w:rsidRDefault="00772EE1">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772EE1" w:rsidP="004137AA" w:rsidRDefault="00772EE1">
            <w:pPr>
              <w:pStyle w:val="Voetnoottekst"/>
              <w:rPr>
                <w:rFonts w:asciiTheme="minorHAnsi" w:hAnsiTheme="minorHAnsi"/>
              </w:rPr>
            </w:pPr>
            <w:r w:rsidRPr="005C6EF4">
              <w:rPr>
                <w:rFonts w:asciiTheme="minorHAnsi" w:hAnsiTheme="minorHAnsi"/>
              </w:rPr>
              <w:lastRenderedPageBreak/>
              <w:t>Desgewenst Eurocommissaris VWS uitnodigen om toelichting te geven</w:t>
            </w:r>
          </w:p>
          <w:p w:rsidRPr="005C6EF4" w:rsidR="00772EE1" w:rsidP="004137AA" w:rsidRDefault="00772EE1">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772EE1" w:rsidP="004137AA" w:rsidRDefault="00772EE1">
            <w:pPr>
              <w:pStyle w:val="Voetnoottekst"/>
              <w:rPr>
                <w:rFonts w:asciiTheme="minorHAnsi" w:hAnsiTheme="minorHAnsi"/>
              </w:rPr>
            </w:pPr>
            <w:r w:rsidRPr="005C6EF4">
              <w:rPr>
                <w:rFonts w:asciiTheme="minorHAnsi" w:hAnsiTheme="minorHAnsi"/>
              </w:rPr>
              <w:t>BNC-fiche bespreken</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772EE1" w:rsidP="004137AA" w:rsidRDefault="00772EE1">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772EE1" w:rsidP="004137AA" w:rsidRDefault="00772EE1">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772EE1" w:rsidP="004137AA" w:rsidRDefault="00772EE1">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772EE1" w:rsidP="004137AA" w:rsidRDefault="00772EE1">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772EE1" w:rsidP="004137AA" w:rsidRDefault="00772EE1">
            <w:pPr>
              <w:pStyle w:val="Voetnoottekst"/>
              <w:rPr>
                <w:rFonts w:asciiTheme="minorHAnsi" w:hAnsiTheme="minorHAnsi"/>
              </w:rPr>
            </w:pPr>
            <w:r w:rsidRPr="005C6EF4">
              <w:rPr>
                <w:rFonts w:asciiTheme="minorHAnsi" w:hAnsiTheme="minorHAnsi"/>
              </w:rPr>
              <w:t>Subsidiariteitstoets overwegen</w:t>
            </w:r>
          </w:p>
          <w:p w:rsidRPr="005C6EF4" w:rsidR="00772EE1" w:rsidP="004137AA" w:rsidRDefault="00772EE1">
            <w:pPr>
              <w:pStyle w:val="Voetnoottekst"/>
              <w:rPr>
                <w:rFonts w:asciiTheme="minorHAnsi" w:hAnsiTheme="minorHAnsi"/>
              </w:rPr>
            </w:pPr>
            <w:r w:rsidRPr="005C6EF4">
              <w:rPr>
                <w:rFonts w:asciiTheme="minorHAnsi" w:hAnsiTheme="minorHAnsi"/>
              </w:rPr>
              <w:t>Behandelvoorbehoud overwegen</w:t>
            </w:r>
          </w:p>
          <w:p w:rsidRPr="005C6EF4" w:rsidR="00772EE1" w:rsidP="004137AA" w:rsidRDefault="00772EE1">
            <w:pPr>
              <w:pStyle w:val="Voetnoottekst"/>
              <w:rPr>
                <w:rFonts w:asciiTheme="minorHAnsi" w:hAnsiTheme="minorHAnsi"/>
              </w:rPr>
            </w:pPr>
            <w:r w:rsidRPr="005C6EF4">
              <w:rPr>
                <w:rFonts w:asciiTheme="minorHAnsi" w:hAnsiTheme="minorHAnsi"/>
              </w:rPr>
              <w:t>BNC-fiche bespreken</w:t>
            </w:r>
          </w:p>
          <w:p w:rsidRPr="005C6EF4" w:rsidR="00772EE1" w:rsidP="004137AA" w:rsidRDefault="00772EE1">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772EE1" w:rsidP="004137AA" w:rsidRDefault="00772EE1">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772EE1" w:rsidP="004137AA" w:rsidRDefault="00772EE1">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772EE1" w:rsidP="004137AA" w:rsidRDefault="00772EE1">
            <w:pPr>
              <w:pStyle w:val="Voetnoottekst"/>
              <w:rPr>
                <w:rFonts w:asciiTheme="minorHAnsi" w:hAnsiTheme="minorHAnsi"/>
              </w:rPr>
            </w:pPr>
            <w:r w:rsidRPr="005C6EF4">
              <w:rPr>
                <w:rFonts w:asciiTheme="minorHAnsi" w:hAnsiTheme="minorHAnsi"/>
              </w:rPr>
              <w:t>Nationale wetgevingstraject (</w:t>
            </w:r>
            <w:proofErr w:type="spellStart"/>
            <w:r w:rsidRPr="005C6EF4">
              <w:rPr>
                <w:rFonts w:asciiTheme="minorHAnsi" w:hAnsiTheme="minorHAnsi"/>
              </w:rPr>
              <w:t>ihkv</w:t>
            </w:r>
            <w:proofErr w:type="spellEnd"/>
            <w:r w:rsidRPr="005C6EF4">
              <w:rPr>
                <w:rFonts w:asciiTheme="minorHAnsi" w:hAnsiTheme="minorHAnsi"/>
              </w:rPr>
              <w:t xml:space="preserve"> implementatie richt</w:t>
            </w:r>
            <w:r>
              <w:rPr>
                <w:rFonts w:asciiTheme="minorHAnsi" w:hAnsiTheme="minorHAnsi"/>
              </w:rPr>
              <w:t>l</w:t>
            </w:r>
            <w:r w:rsidRPr="005C6EF4">
              <w:rPr>
                <w:rFonts w:asciiTheme="minorHAnsi" w:hAnsiTheme="minorHAnsi"/>
              </w:rPr>
              <w:t>ijn naar nationale wetgeving)</w:t>
            </w:r>
          </w:p>
          <w:p w:rsidRPr="005C6EF4" w:rsidR="00772EE1" w:rsidP="004137AA" w:rsidRDefault="00772EE1">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lastRenderedPageBreak/>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772EE1" w:rsidP="004137AA" w:rsidRDefault="00772EE1">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subsidiariteitstoets. </w:t>
            </w:r>
          </w:p>
          <w:p w:rsidR="00772EE1" w:rsidP="004137AA" w:rsidRDefault="00772EE1">
            <w:pPr>
              <w:pStyle w:val="Voetnoottekst"/>
              <w:rPr>
                <w:rFonts w:asciiTheme="minorHAnsi" w:hAnsiTheme="minorHAnsi"/>
              </w:rPr>
            </w:pPr>
            <w:r>
              <w:rPr>
                <w:rFonts w:asciiTheme="minorHAnsi" w:hAnsiTheme="minorHAnsi"/>
              </w:rPr>
              <w:t>Dit moet binnen 8 weken na het uitkomen van het voorstel</w:t>
            </w:r>
          </w:p>
          <w:p w:rsidR="00772EE1" w:rsidP="004137AA" w:rsidRDefault="00772EE1">
            <w:pPr>
              <w:pStyle w:val="Voetnoottekst"/>
              <w:rPr>
                <w:rFonts w:asciiTheme="minorHAnsi" w:hAnsiTheme="minorHAnsi"/>
              </w:rPr>
            </w:pPr>
          </w:p>
          <w:p w:rsidRPr="005C6EF4" w:rsidR="00772EE1" w:rsidP="004137AA" w:rsidRDefault="00772EE1">
            <w:pPr>
              <w:pStyle w:val="Voetnoottekst"/>
              <w:rPr>
                <w:rFonts w:asciiTheme="minorHAnsi" w:hAnsiTheme="minorHAnsi"/>
              </w:rPr>
            </w:pP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Behandel</w:t>
            </w:r>
            <w:r>
              <w:rPr>
                <w:rFonts w:asciiTheme="minorHAnsi" w:hAnsiTheme="minorHAnsi"/>
              </w:rPr>
              <w:t>-</w:t>
            </w:r>
            <w:r w:rsidRPr="005C6EF4">
              <w:rPr>
                <w:rFonts w:asciiTheme="minorHAnsi" w:hAnsiTheme="minorHAnsi"/>
              </w:rPr>
              <w:t>voorbehoud</w:t>
            </w:r>
          </w:p>
        </w:tc>
        <w:tc>
          <w:tcPr>
            <w:tcW w:w="4820" w:type="dxa"/>
          </w:tcPr>
          <w:p w:rsidRPr="006D2BFD" w:rsidR="00772EE1" w:rsidP="004137AA" w:rsidRDefault="00772EE1">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772EE1" w:rsidP="004137AA" w:rsidRDefault="00772EE1">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772EE1" w:rsidP="004137AA" w:rsidRDefault="00772EE1">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772EE1" w:rsidP="004137AA" w:rsidRDefault="00772EE1">
            <w:pPr>
              <w:pStyle w:val="Voetnoottekst"/>
              <w:rPr>
                <w:rFonts w:asciiTheme="minorHAnsi" w:hAnsiTheme="minorHAnsi"/>
              </w:rPr>
            </w:pPr>
            <w:r>
              <w:rPr>
                <w:rFonts w:asciiTheme="minorHAnsi" w:hAnsiTheme="minorHAnsi"/>
              </w:rPr>
              <w:t xml:space="preserve">Bij wetgevende voorstellen kan een commissie besluiten tot het uitvoeren van een behandelvoorbehoud. </w:t>
            </w:r>
          </w:p>
          <w:p w:rsidR="00772EE1" w:rsidP="004137AA" w:rsidRDefault="00772EE1">
            <w:pPr>
              <w:pStyle w:val="Voetnoottekst"/>
              <w:rPr>
                <w:rFonts w:asciiTheme="minorHAnsi" w:hAnsiTheme="minorHAnsi"/>
              </w:rPr>
            </w:pPr>
            <w:r>
              <w:rPr>
                <w:rFonts w:asciiTheme="minorHAnsi" w:hAnsiTheme="minorHAnsi"/>
              </w:rPr>
              <w:t>Dit moet binnen 8 weken na het uitkomen van het voorstel</w:t>
            </w:r>
          </w:p>
          <w:p w:rsidR="00772EE1" w:rsidP="004137AA" w:rsidRDefault="00772EE1">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772EE1" w:rsidP="004137AA" w:rsidRDefault="00772EE1">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t xml:space="preserve">Openbare </w:t>
            </w:r>
            <w:r w:rsidRPr="005C6EF4">
              <w:rPr>
                <w:rFonts w:asciiTheme="minorHAnsi" w:hAnsiTheme="minorHAnsi"/>
              </w:rPr>
              <w:lastRenderedPageBreak/>
              <w:t>raadpleging</w:t>
            </w:r>
          </w:p>
        </w:tc>
        <w:tc>
          <w:tcPr>
            <w:tcW w:w="4820" w:type="dxa"/>
          </w:tcPr>
          <w:p w:rsidRPr="005C6EF4" w:rsidR="00772EE1" w:rsidP="004137AA" w:rsidRDefault="00772EE1">
            <w:pPr>
              <w:pStyle w:val="Normaalweb"/>
              <w:rPr>
                <w:rFonts w:asciiTheme="minorHAnsi" w:hAnsiTheme="minorHAnsi"/>
                <w:sz w:val="20"/>
                <w:szCs w:val="20"/>
              </w:rPr>
            </w:pPr>
            <w:r w:rsidRPr="002140D2">
              <w:rPr>
                <w:rFonts w:asciiTheme="minorHAnsi" w:hAnsiTheme="minorHAnsi"/>
                <w:sz w:val="20"/>
                <w:szCs w:val="20"/>
              </w:rPr>
              <w:lastRenderedPageBreak/>
              <w:t xml:space="preserve">Als de Europese Commissie nieuw beleid ontwikkelt of </w:t>
            </w:r>
            <w:r w:rsidRPr="002140D2">
              <w:rPr>
                <w:rFonts w:asciiTheme="minorHAnsi" w:hAnsiTheme="minorHAnsi"/>
                <w:sz w:val="20"/>
                <w:szCs w:val="20"/>
              </w:rPr>
              <w:lastRenderedPageBreak/>
              <w:t xml:space="preserve">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772EE1" w:rsidP="004137AA" w:rsidRDefault="00772EE1">
            <w:pPr>
              <w:pStyle w:val="Voetnoottekst"/>
              <w:rPr>
                <w:rFonts w:asciiTheme="minorHAnsi" w:hAnsiTheme="minorHAnsi"/>
              </w:rPr>
            </w:pPr>
            <w:r>
              <w:rPr>
                <w:rFonts w:asciiTheme="minorHAnsi" w:hAnsiTheme="minorHAnsi"/>
              </w:rPr>
              <w:lastRenderedPageBreak/>
              <w:t xml:space="preserve">In commissieverband meedoen aan de </w:t>
            </w:r>
            <w:r>
              <w:rPr>
                <w:rFonts w:asciiTheme="minorHAnsi" w:hAnsiTheme="minorHAnsi"/>
              </w:rPr>
              <w:lastRenderedPageBreak/>
              <w:t>openbare raadpleging</w:t>
            </w:r>
          </w:p>
          <w:p w:rsidR="00772EE1" w:rsidP="004137AA" w:rsidRDefault="00772EE1">
            <w:pPr>
              <w:pStyle w:val="Voetnoottekst"/>
              <w:rPr>
                <w:rFonts w:asciiTheme="minorHAnsi" w:hAnsiTheme="minorHAnsi"/>
              </w:rPr>
            </w:pPr>
            <w:r>
              <w:rPr>
                <w:rFonts w:asciiTheme="minorHAnsi" w:hAnsiTheme="minorHAnsi"/>
              </w:rPr>
              <w:t>Aan fracties overlaten om mee te doen aan de openbare raadpleging</w:t>
            </w:r>
          </w:p>
          <w:p w:rsidRPr="005C6EF4" w:rsidR="00772EE1" w:rsidP="004137AA" w:rsidRDefault="00772EE1">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772EE1" w:rsidTr="004137AA">
        <w:tc>
          <w:tcPr>
            <w:tcW w:w="1384" w:type="dxa"/>
          </w:tcPr>
          <w:p w:rsidRPr="005C6EF4" w:rsidR="00772EE1" w:rsidP="004137AA" w:rsidRDefault="00772EE1">
            <w:pPr>
              <w:pStyle w:val="Voetnoottekst"/>
              <w:rPr>
                <w:rFonts w:asciiTheme="minorHAnsi" w:hAnsiTheme="minorHAnsi"/>
              </w:rPr>
            </w:pPr>
            <w:proofErr w:type="spellStart"/>
            <w:r w:rsidRPr="005C6EF4">
              <w:rPr>
                <w:rFonts w:asciiTheme="minorHAnsi" w:hAnsiTheme="minorHAnsi"/>
              </w:rPr>
              <w:lastRenderedPageBreak/>
              <w:t>Roadmap</w:t>
            </w:r>
            <w:proofErr w:type="spellEnd"/>
          </w:p>
        </w:tc>
        <w:tc>
          <w:tcPr>
            <w:tcW w:w="4820" w:type="dxa"/>
          </w:tcPr>
          <w:p w:rsidRPr="002140D2" w:rsidR="00772EE1" w:rsidP="004137AA" w:rsidRDefault="00772EE1">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772EE1" w:rsidP="004137AA" w:rsidRDefault="00772EE1">
            <w:pPr>
              <w:pStyle w:val="Voetnoottekst"/>
              <w:rPr>
                <w:rFonts w:asciiTheme="minorHAnsi" w:hAnsiTheme="minorHAnsi"/>
              </w:rPr>
            </w:pPr>
            <w:r>
              <w:rPr>
                <w:rFonts w:asciiTheme="minorHAnsi" w:hAnsiTheme="minorHAnsi"/>
              </w:rPr>
              <w:t xml:space="preserve">Tijdens algemeen overleg minister vragen om appreciatie van het traject van de </w:t>
            </w:r>
            <w:proofErr w:type="spellStart"/>
            <w:r>
              <w:rPr>
                <w:rFonts w:asciiTheme="minorHAnsi" w:hAnsiTheme="minorHAnsi"/>
              </w:rPr>
              <w:t>roadmap</w:t>
            </w:r>
            <w:proofErr w:type="spellEnd"/>
          </w:p>
          <w:p w:rsidR="00772EE1" w:rsidP="004137AA" w:rsidRDefault="00772EE1">
            <w:pPr>
              <w:pStyle w:val="Voetnoottekst"/>
              <w:rPr>
                <w:rFonts w:asciiTheme="minorHAnsi" w:hAnsiTheme="minorHAnsi"/>
              </w:rPr>
            </w:pPr>
            <w:r>
              <w:rPr>
                <w:rFonts w:asciiTheme="minorHAnsi" w:hAnsiTheme="minorHAnsi"/>
              </w:rPr>
              <w:t>Aangekondigde Openbare raadpleging afwachten</w:t>
            </w:r>
          </w:p>
          <w:p w:rsidRPr="005C6EF4" w:rsidR="00772EE1" w:rsidP="004137AA" w:rsidRDefault="00772EE1">
            <w:pPr>
              <w:pStyle w:val="Voetnoottekst"/>
              <w:rPr>
                <w:rFonts w:asciiTheme="minorHAnsi" w:hAnsiTheme="minorHAnsi"/>
              </w:rPr>
            </w:pPr>
            <w:r>
              <w:rPr>
                <w:rFonts w:asciiTheme="minorHAnsi" w:hAnsiTheme="minorHAnsi"/>
              </w:rPr>
              <w:t>BNC-fiche afwachten</w:t>
            </w:r>
          </w:p>
        </w:tc>
      </w:tr>
    </w:tbl>
    <w:p w:rsidRPr="00CE1B84" w:rsidR="00772EE1" w:rsidP="00772EE1" w:rsidRDefault="00772EE1">
      <w:pPr>
        <w:pStyle w:val="Voetnoottekst"/>
        <w:rPr>
          <w:rFonts w:asciiTheme="minorHAnsi" w:hAnsiTheme="minorHAnsi"/>
        </w:rPr>
      </w:pPr>
    </w:p>
    <w:p w:rsidR="00772EE1" w:rsidP="00772EE1" w:rsidRDefault="00772EE1"/>
    <w:p w:rsidR="00772EE1" w:rsidP="00772EE1" w:rsidRDefault="00772EE1"/>
    <w:p w:rsidR="00772EE1" w:rsidP="00772EE1" w:rsidRDefault="00772EE1"/>
    <w:p w:rsidR="00772EE1" w:rsidP="00772EE1" w:rsidRDefault="00772EE1"/>
    <w:p w:rsidR="00772EE1" w:rsidP="00772EE1" w:rsidRDefault="00772EE1"/>
    <w:p w:rsidR="0046131B" w:rsidRDefault="0046131B"/>
    <w:sectPr w:rsidR="0046131B"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AE" w:rsidRDefault="00792908">
      <w:r>
        <w:separator/>
      </w:r>
    </w:p>
  </w:endnote>
  <w:endnote w:type="continuationSeparator" w:id="0">
    <w:p w:rsidR="00B76CAE" w:rsidRDefault="0079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8E0A4A">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938F8">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5938F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AE" w:rsidRDefault="00792908">
      <w:r>
        <w:separator/>
      </w:r>
    </w:p>
  </w:footnote>
  <w:footnote w:type="continuationSeparator" w:id="0">
    <w:p w:rsidR="00B76CAE" w:rsidRDefault="0079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E1"/>
    <w:rsid w:val="00433D6E"/>
    <w:rsid w:val="0046131B"/>
    <w:rsid w:val="004B40EF"/>
    <w:rsid w:val="005938F8"/>
    <w:rsid w:val="006060C0"/>
    <w:rsid w:val="006363F6"/>
    <w:rsid w:val="00732C7E"/>
    <w:rsid w:val="00772EE1"/>
    <w:rsid w:val="00792908"/>
    <w:rsid w:val="008E0A4A"/>
    <w:rsid w:val="00B76CAE"/>
    <w:rsid w:val="00B80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2E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72EE1"/>
    <w:pPr>
      <w:tabs>
        <w:tab w:val="center" w:pos="4536"/>
        <w:tab w:val="right" w:pos="9072"/>
      </w:tabs>
    </w:pPr>
  </w:style>
  <w:style w:type="character" w:customStyle="1" w:styleId="VoettekstChar">
    <w:name w:val="Voettekst Char"/>
    <w:basedOn w:val="Standaardalinea-lettertype"/>
    <w:link w:val="Voettekst"/>
    <w:uiPriority w:val="99"/>
    <w:rsid w:val="00772EE1"/>
    <w:rPr>
      <w:sz w:val="24"/>
      <w:szCs w:val="24"/>
    </w:rPr>
  </w:style>
  <w:style w:type="character" w:styleId="Hyperlink">
    <w:name w:val="Hyperlink"/>
    <w:basedOn w:val="Standaardalinea-lettertype"/>
    <w:uiPriority w:val="99"/>
    <w:unhideWhenUsed/>
    <w:rsid w:val="00772EE1"/>
    <w:rPr>
      <w:color w:val="0000FF"/>
      <w:u w:val="single"/>
    </w:rPr>
  </w:style>
  <w:style w:type="character" w:styleId="Zwaar">
    <w:name w:val="Strong"/>
    <w:basedOn w:val="Standaardalinea-lettertype"/>
    <w:uiPriority w:val="22"/>
    <w:qFormat/>
    <w:rsid w:val="00772EE1"/>
    <w:rPr>
      <w:b/>
      <w:bCs/>
    </w:rPr>
  </w:style>
  <w:style w:type="paragraph" w:styleId="Voetnoottekst">
    <w:name w:val="footnote text"/>
    <w:basedOn w:val="Standaard"/>
    <w:link w:val="VoetnoottekstChar"/>
    <w:rsid w:val="00772EE1"/>
    <w:rPr>
      <w:sz w:val="20"/>
      <w:szCs w:val="20"/>
    </w:rPr>
  </w:style>
  <w:style w:type="character" w:customStyle="1" w:styleId="VoetnoottekstChar">
    <w:name w:val="Voetnoottekst Char"/>
    <w:basedOn w:val="Standaardalinea-lettertype"/>
    <w:link w:val="Voetnoottekst"/>
    <w:rsid w:val="00772EE1"/>
  </w:style>
  <w:style w:type="paragraph" w:styleId="Normaalweb">
    <w:name w:val="Normal (Web)"/>
    <w:basedOn w:val="Standaard"/>
    <w:uiPriority w:val="99"/>
    <w:unhideWhenUsed/>
    <w:rsid w:val="00772EE1"/>
    <w:pPr>
      <w:spacing w:before="100" w:beforeAutospacing="1" w:after="100" w:afterAutospacing="1"/>
    </w:pPr>
  </w:style>
  <w:style w:type="table" w:styleId="Tabelraster">
    <w:name w:val="Table Grid"/>
    <w:basedOn w:val="Standaardtabel"/>
    <w:rsid w:val="0077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2EE1"/>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2E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72EE1"/>
    <w:pPr>
      <w:tabs>
        <w:tab w:val="center" w:pos="4536"/>
        <w:tab w:val="right" w:pos="9072"/>
      </w:tabs>
    </w:pPr>
  </w:style>
  <w:style w:type="character" w:customStyle="1" w:styleId="VoettekstChar">
    <w:name w:val="Voettekst Char"/>
    <w:basedOn w:val="Standaardalinea-lettertype"/>
    <w:link w:val="Voettekst"/>
    <w:uiPriority w:val="99"/>
    <w:rsid w:val="00772EE1"/>
    <w:rPr>
      <w:sz w:val="24"/>
      <w:szCs w:val="24"/>
    </w:rPr>
  </w:style>
  <w:style w:type="character" w:styleId="Hyperlink">
    <w:name w:val="Hyperlink"/>
    <w:basedOn w:val="Standaardalinea-lettertype"/>
    <w:uiPriority w:val="99"/>
    <w:unhideWhenUsed/>
    <w:rsid w:val="00772EE1"/>
    <w:rPr>
      <w:color w:val="0000FF"/>
      <w:u w:val="single"/>
    </w:rPr>
  </w:style>
  <w:style w:type="character" w:styleId="Zwaar">
    <w:name w:val="Strong"/>
    <w:basedOn w:val="Standaardalinea-lettertype"/>
    <w:uiPriority w:val="22"/>
    <w:qFormat/>
    <w:rsid w:val="00772EE1"/>
    <w:rPr>
      <w:b/>
      <w:bCs/>
    </w:rPr>
  </w:style>
  <w:style w:type="paragraph" w:styleId="Voetnoottekst">
    <w:name w:val="footnote text"/>
    <w:basedOn w:val="Standaard"/>
    <w:link w:val="VoetnoottekstChar"/>
    <w:rsid w:val="00772EE1"/>
    <w:rPr>
      <w:sz w:val="20"/>
      <w:szCs w:val="20"/>
    </w:rPr>
  </w:style>
  <w:style w:type="character" w:customStyle="1" w:styleId="VoetnoottekstChar">
    <w:name w:val="Voetnoottekst Char"/>
    <w:basedOn w:val="Standaardalinea-lettertype"/>
    <w:link w:val="Voetnoottekst"/>
    <w:rsid w:val="00772EE1"/>
  </w:style>
  <w:style w:type="paragraph" w:styleId="Normaalweb">
    <w:name w:val="Normal (Web)"/>
    <w:basedOn w:val="Standaard"/>
    <w:uiPriority w:val="99"/>
    <w:unhideWhenUsed/>
    <w:rsid w:val="00772EE1"/>
    <w:pPr>
      <w:spacing w:before="100" w:beforeAutospacing="1" w:after="100" w:afterAutospacing="1"/>
    </w:pPr>
  </w:style>
  <w:style w:type="table" w:styleId="Tabelraster">
    <w:name w:val="Table Grid"/>
    <w:basedOn w:val="Standaardtabel"/>
    <w:rsid w:val="0077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2EE1"/>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8930">
      <w:bodyDiv w:val="1"/>
      <w:marLeft w:val="0"/>
      <w:marRight w:val="0"/>
      <w:marTop w:val="0"/>
      <w:marBottom w:val="0"/>
      <w:divBdr>
        <w:top w:val="none" w:sz="0" w:space="0" w:color="auto"/>
        <w:left w:val="none" w:sz="0" w:space="0" w:color="auto"/>
        <w:bottom w:val="none" w:sz="0" w:space="0" w:color="auto"/>
        <w:right w:val="none" w:sz="0" w:space="0" w:color="auto"/>
      </w:divBdr>
    </w:div>
    <w:div w:id="191379665">
      <w:bodyDiv w:val="1"/>
      <w:marLeft w:val="0"/>
      <w:marRight w:val="0"/>
      <w:marTop w:val="0"/>
      <w:marBottom w:val="0"/>
      <w:divBdr>
        <w:top w:val="none" w:sz="0" w:space="0" w:color="auto"/>
        <w:left w:val="none" w:sz="0" w:space="0" w:color="auto"/>
        <w:bottom w:val="none" w:sz="0" w:space="0" w:color="auto"/>
        <w:right w:val="none" w:sz="0" w:space="0" w:color="auto"/>
      </w:divBdr>
    </w:div>
    <w:div w:id="332951846">
      <w:bodyDiv w:val="1"/>
      <w:marLeft w:val="0"/>
      <w:marRight w:val="0"/>
      <w:marTop w:val="0"/>
      <w:marBottom w:val="0"/>
      <w:divBdr>
        <w:top w:val="none" w:sz="0" w:space="0" w:color="auto"/>
        <w:left w:val="none" w:sz="0" w:space="0" w:color="auto"/>
        <w:bottom w:val="none" w:sz="0" w:space="0" w:color="auto"/>
        <w:right w:val="none" w:sz="0" w:space="0" w:color="auto"/>
      </w:divBdr>
    </w:div>
    <w:div w:id="669134910">
      <w:bodyDiv w:val="1"/>
      <w:marLeft w:val="0"/>
      <w:marRight w:val="0"/>
      <w:marTop w:val="0"/>
      <w:marBottom w:val="0"/>
      <w:divBdr>
        <w:top w:val="none" w:sz="0" w:space="0" w:color="auto"/>
        <w:left w:val="none" w:sz="0" w:space="0" w:color="auto"/>
        <w:bottom w:val="none" w:sz="0" w:space="0" w:color="auto"/>
        <w:right w:val="none" w:sz="0" w:space="0" w:color="auto"/>
      </w:divBdr>
    </w:div>
    <w:div w:id="685448094">
      <w:bodyDiv w:val="1"/>
      <w:marLeft w:val="0"/>
      <w:marRight w:val="0"/>
      <w:marTop w:val="0"/>
      <w:marBottom w:val="0"/>
      <w:divBdr>
        <w:top w:val="none" w:sz="0" w:space="0" w:color="auto"/>
        <w:left w:val="none" w:sz="0" w:space="0" w:color="auto"/>
        <w:bottom w:val="none" w:sz="0" w:space="0" w:color="auto"/>
        <w:right w:val="none" w:sz="0" w:space="0" w:color="auto"/>
      </w:divBdr>
    </w:div>
    <w:div w:id="831288107">
      <w:bodyDiv w:val="1"/>
      <w:marLeft w:val="0"/>
      <w:marRight w:val="0"/>
      <w:marTop w:val="0"/>
      <w:marBottom w:val="0"/>
      <w:divBdr>
        <w:top w:val="none" w:sz="0" w:space="0" w:color="auto"/>
        <w:left w:val="none" w:sz="0" w:space="0" w:color="auto"/>
        <w:bottom w:val="none" w:sz="0" w:space="0" w:color="auto"/>
        <w:right w:val="none" w:sz="0" w:space="0" w:color="auto"/>
      </w:divBdr>
    </w:div>
    <w:div w:id="897743980">
      <w:bodyDiv w:val="1"/>
      <w:marLeft w:val="0"/>
      <w:marRight w:val="0"/>
      <w:marTop w:val="0"/>
      <w:marBottom w:val="0"/>
      <w:divBdr>
        <w:top w:val="none" w:sz="0" w:space="0" w:color="auto"/>
        <w:left w:val="none" w:sz="0" w:space="0" w:color="auto"/>
        <w:bottom w:val="none" w:sz="0" w:space="0" w:color="auto"/>
        <w:right w:val="none" w:sz="0" w:space="0" w:color="auto"/>
      </w:divBdr>
    </w:div>
    <w:div w:id="978808177">
      <w:bodyDiv w:val="1"/>
      <w:marLeft w:val="0"/>
      <w:marRight w:val="0"/>
      <w:marTop w:val="0"/>
      <w:marBottom w:val="0"/>
      <w:divBdr>
        <w:top w:val="none" w:sz="0" w:space="0" w:color="auto"/>
        <w:left w:val="none" w:sz="0" w:space="0" w:color="auto"/>
        <w:bottom w:val="none" w:sz="0" w:space="0" w:color="auto"/>
        <w:right w:val="none" w:sz="0" w:space="0" w:color="auto"/>
      </w:divBdr>
    </w:div>
    <w:div w:id="1110200484">
      <w:bodyDiv w:val="1"/>
      <w:marLeft w:val="0"/>
      <w:marRight w:val="0"/>
      <w:marTop w:val="0"/>
      <w:marBottom w:val="0"/>
      <w:divBdr>
        <w:top w:val="none" w:sz="0" w:space="0" w:color="auto"/>
        <w:left w:val="none" w:sz="0" w:space="0" w:color="auto"/>
        <w:bottom w:val="none" w:sz="0" w:space="0" w:color="auto"/>
        <w:right w:val="none" w:sz="0" w:space="0" w:color="auto"/>
      </w:divBdr>
    </w:div>
    <w:div w:id="1214195692">
      <w:bodyDiv w:val="1"/>
      <w:marLeft w:val="0"/>
      <w:marRight w:val="0"/>
      <w:marTop w:val="0"/>
      <w:marBottom w:val="0"/>
      <w:divBdr>
        <w:top w:val="none" w:sz="0" w:space="0" w:color="auto"/>
        <w:left w:val="none" w:sz="0" w:space="0" w:color="auto"/>
        <w:bottom w:val="none" w:sz="0" w:space="0" w:color="auto"/>
        <w:right w:val="none" w:sz="0" w:space="0" w:color="auto"/>
      </w:divBdr>
    </w:div>
    <w:div w:id="1338121149">
      <w:bodyDiv w:val="1"/>
      <w:marLeft w:val="0"/>
      <w:marRight w:val="0"/>
      <w:marTop w:val="0"/>
      <w:marBottom w:val="0"/>
      <w:divBdr>
        <w:top w:val="none" w:sz="0" w:space="0" w:color="auto"/>
        <w:left w:val="none" w:sz="0" w:space="0" w:color="auto"/>
        <w:bottom w:val="none" w:sz="0" w:space="0" w:color="auto"/>
        <w:right w:val="none" w:sz="0" w:space="0" w:color="auto"/>
      </w:divBdr>
    </w:div>
    <w:div w:id="1646859620">
      <w:bodyDiv w:val="1"/>
      <w:marLeft w:val="0"/>
      <w:marRight w:val="0"/>
      <w:marTop w:val="0"/>
      <w:marBottom w:val="0"/>
      <w:divBdr>
        <w:top w:val="none" w:sz="0" w:space="0" w:color="auto"/>
        <w:left w:val="none" w:sz="0" w:space="0" w:color="auto"/>
        <w:bottom w:val="none" w:sz="0" w:space="0" w:color="auto"/>
        <w:right w:val="none" w:sz="0" w:space="0" w:color="auto"/>
      </w:divBdr>
    </w:div>
    <w:div w:id="1825589484">
      <w:bodyDiv w:val="1"/>
      <w:marLeft w:val="0"/>
      <w:marRight w:val="0"/>
      <w:marTop w:val="0"/>
      <w:marBottom w:val="0"/>
      <w:divBdr>
        <w:top w:val="none" w:sz="0" w:space="0" w:color="auto"/>
        <w:left w:val="none" w:sz="0" w:space="0" w:color="auto"/>
        <w:bottom w:val="none" w:sz="0" w:space="0" w:color="auto"/>
        <w:right w:val="none" w:sz="0" w:space="0" w:color="auto"/>
      </w:divBdr>
    </w:div>
    <w:div w:id="20011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50579.do"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ipex.eu/IPEXL-WEB/dossier/document/COM20150589.do" TargetMode="External" Id="rId7" /><Relationship Type="http://schemas.openxmlformats.org/officeDocument/2006/relationships/footer" Target="footer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yperlink" Target="http://ec.europa.eu/yourvoice/consultations/index_nl.htm" TargetMode="External" Id="rId11" /><Relationship Type="http://schemas.openxmlformats.org/officeDocument/2006/relationships/footnotes" Target="footnotes.xml" Id="rId5" /><Relationship Type="http://schemas.openxmlformats.org/officeDocument/2006/relationships/hyperlink" Target="http://www.ipex.eu/IPEXL-WEB/dossier/document/COM20150692.do" TargetMode="External" Id="rId10" /><Relationship Type="http://schemas.openxmlformats.org/officeDocument/2006/relationships/webSettings" Target="webSettings.xml" Id="rId4" /><Relationship Type="http://schemas.openxmlformats.org/officeDocument/2006/relationships/hyperlink" Target="http://www.ipex.eu/IPEXL-WEB/dossier/document/COM20150701.do"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1591</ap:Words>
  <ap:Characters>8752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2015-12-08T14:17:00.0000000Z</dcterms:created>
  <dcterms:modified xsi:type="dcterms:W3CDTF">2015-12-10T15:20:00.0000000Z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0x01010009653D5E147B4A4F87D1428CB705C618</vt:lpwstr>
  </property>
</Properties>
</file>