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docProps/app.xml" ContentType="application/vnd.openxmlformats-officedocument.extended-properties+xml"/>
  <Override PartName="/word/fontTable.xml" ContentType="application/vnd.openxmlformats-officedocument.wordprocessingml.fontTable+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word/people.xml" ContentType="application/vnd.openxmlformats-officedocument.wordprocessingml.people+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BE0750" w:rsidR="00DA4CA3" w:rsidP="00E66794" w:rsidRDefault="00D869BC">
      <w:pPr>
        <w:jc w:val="center"/>
        <w:rPr>
          <w:b/>
          <w:sz w:val="24"/>
        </w:rPr>
      </w:pPr>
      <w:bookmarkStart w:name="_GoBack" w:id="0"/>
      <w:bookmarkEnd w:id="0"/>
      <w:r w:rsidRPr="00BE0750">
        <w:rPr>
          <w:b/>
          <w:sz w:val="24"/>
        </w:rPr>
        <w:t>Verslag</w:t>
      </w:r>
      <w:r w:rsidRPr="00BE0750" w:rsidR="00E66794">
        <w:rPr>
          <w:b/>
          <w:sz w:val="24"/>
        </w:rPr>
        <w:t xml:space="preserve"> van de </w:t>
      </w:r>
      <w:r w:rsidRPr="00BE0750" w:rsidR="00246693">
        <w:rPr>
          <w:b/>
          <w:sz w:val="24"/>
        </w:rPr>
        <w:t xml:space="preserve">informele </w:t>
      </w:r>
      <w:r w:rsidRPr="00BE0750" w:rsidR="00E66794">
        <w:rPr>
          <w:b/>
          <w:sz w:val="24"/>
        </w:rPr>
        <w:t>bijeenkomst van</w:t>
      </w:r>
    </w:p>
    <w:p w:rsidRPr="00BE0750" w:rsidR="00E66794" w:rsidP="00E66794" w:rsidRDefault="00E66794">
      <w:pPr>
        <w:jc w:val="center"/>
        <w:rPr>
          <w:b/>
          <w:sz w:val="24"/>
        </w:rPr>
      </w:pPr>
      <w:r w:rsidRPr="00BE0750">
        <w:rPr>
          <w:b/>
          <w:sz w:val="24"/>
        </w:rPr>
        <w:t>de Raad Justitie en Binnenlandse Zaken,</w:t>
      </w:r>
    </w:p>
    <w:p w:rsidRPr="00BE0750" w:rsidR="00E66794" w:rsidP="00E66794" w:rsidRDefault="00CA5BA8">
      <w:pPr>
        <w:jc w:val="center"/>
        <w:rPr>
          <w:b/>
          <w:sz w:val="24"/>
        </w:rPr>
      </w:pPr>
      <w:r w:rsidRPr="00BE0750">
        <w:rPr>
          <w:b/>
          <w:sz w:val="24"/>
        </w:rPr>
        <w:t xml:space="preserve">9-10 </w:t>
      </w:r>
      <w:r w:rsidRPr="00BE0750" w:rsidR="00BE76E5">
        <w:rPr>
          <w:b/>
          <w:sz w:val="24"/>
        </w:rPr>
        <w:t>j</w:t>
      </w:r>
      <w:r w:rsidRPr="00BE0750">
        <w:rPr>
          <w:b/>
          <w:sz w:val="24"/>
        </w:rPr>
        <w:t>ul</w:t>
      </w:r>
      <w:r w:rsidRPr="00BE0750" w:rsidR="00BE76E5">
        <w:rPr>
          <w:b/>
          <w:sz w:val="24"/>
        </w:rPr>
        <w:t>i 2015</w:t>
      </w:r>
      <w:r w:rsidRPr="00BE0750" w:rsidR="00246693">
        <w:rPr>
          <w:b/>
          <w:sz w:val="24"/>
        </w:rPr>
        <w:t xml:space="preserve"> </w:t>
      </w:r>
      <w:r w:rsidRPr="00BE0750" w:rsidR="00E66794">
        <w:rPr>
          <w:b/>
          <w:sz w:val="24"/>
        </w:rPr>
        <w:t xml:space="preserve">te </w:t>
      </w:r>
      <w:r w:rsidRPr="00BE0750">
        <w:rPr>
          <w:b/>
          <w:sz w:val="24"/>
        </w:rPr>
        <w:t>Luxemburg</w:t>
      </w:r>
    </w:p>
    <w:p w:rsidRPr="00BE0750" w:rsidR="00E66794" w:rsidP="00E66794" w:rsidRDefault="00E66794">
      <w:pPr>
        <w:rPr>
          <w:sz w:val="24"/>
        </w:rPr>
      </w:pPr>
    </w:p>
    <w:p w:rsidRPr="00BE0750" w:rsidR="00254516" w:rsidP="006A58AD" w:rsidRDefault="00EB220E">
      <w:pPr>
        <w:rPr>
          <w:bCs/>
          <w:iCs/>
          <w:sz w:val="20"/>
          <w:szCs w:val="20"/>
        </w:rPr>
      </w:pPr>
      <w:r w:rsidRPr="00BE0750">
        <w:rPr>
          <w:b/>
          <w:bCs/>
          <w:iCs/>
          <w:sz w:val="20"/>
          <w:szCs w:val="20"/>
        </w:rPr>
        <w:t>Belangrijkste zaken</w:t>
      </w:r>
      <w:r w:rsidRPr="00BE0750" w:rsidR="00A94E9C">
        <w:rPr>
          <w:bCs/>
          <w:iCs/>
          <w:sz w:val="20"/>
          <w:szCs w:val="20"/>
        </w:rPr>
        <w:t xml:space="preserve"> </w:t>
      </w:r>
    </w:p>
    <w:p w:rsidR="00DB38A3" w:rsidP="006A58AD" w:rsidRDefault="00DB38A3">
      <w:pPr>
        <w:rPr>
          <w:b/>
          <w:bCs/>
          <w:szCs w:val="18"/>
        </w:rPr>
      </w:pPr>
    </w:p>
    <w:p w:rsidRPr="005A08CD" w:rsidR="00254516" w:rsidP="006A58AD" w:rsidRDefault="00DB38A3">
      <w:pPr>
        <w:rPr>
          <w:bCs/>
          <w:iCs/>
          <w:sz w:val="20"/>
          <w:szCs w:val="20"/>
        </w:rPr>
      </w:pPr>
      <w:r w:rsidRPr="005A08CD">
        <w:rPr>
          <w:b/>
          <w:bCs/>
          <w:sz w:val="20"/>
          <w:szCs w:val="20"/>
        </w:rPr>
        <w:t>I. Binnenlandse Zaken, Immigratie en Asiel</w:t>
      </w:r>
      <w:r w:rsidRPr="005A08CD" w:rsidR="0080685B">
        <w:rPr>
          <w:b/>
          <w:bCs/>
          <w:sz w:val="20"/>
          <w:szCs w:val="20"/>
        </w:rPr>
        <w:t xml:space="preserve"> (9 juli 2015)</w:t>
      </w:r>
    </w:p>
    <w:p w:rsidRPr="005A08CD" w:rsidR="00DB38A3" w:rsidP="006A58AD" w:rsidRDefault="00DB38A3">
      <w:pPr>
        <w:rPr>
          <w:b/>
          <w:bCs/>
          <w:iCs/>
          <w:sz w:val="20"/>
          <w:szCs w:val="20"/>
        </w:rPr>
      </w:pPr>
    </w:p>
    <w:p w:rsidRPr="005A08CD" w:rsidR="00254516" w:rsidP="006A58AD" w:rsidRDefault="00254516">
      <w:pPr>
        <w:rPr>
          <w:b/>
          <w:bCs/>
          <w:iCs/>
          <w:sz w:val="20"/>
          <w:szCs w:val="20"/>
        </w:rPr>
      </w:pPr>
      <w:r w:rsidRPr="005A08CD">
        <w:rPr>
          <w:b/>
          <w:bCs/>
          <w:iCs/>
          <w:sz w:val="20"/>
          <w:szCs w:val="20"/>
        </w:rPr>
        <w:t xml:space="preserve">Terrorisme: </w:t>
      </w:r>
    </w:p>
    <w:p w:rsidR="0072422A" w:rsidP="00A52C0B" w:rsidRDefault="0072422A">
      <w:pPr>
        <w:pStyle w:val="Geenafstand"/>
        <w:rPr>
          <w:rFonts w:ascii="Verdana" w:hAnsi="Verdana"/>
          <w:sz w:val="20"/>
          <w:szCs w:val="20"/>
        </w:rPr>
      </w:pPr>
    </w:p>
    <w:p w:rsidRPr="005A08CD" w:rsidR="00A52C0B" w:rsidP="00A52C0B" w:rsidRDefault="00A52C0B">
      <w:pPr>
        <w:pStyle w:val="Geenafstand"/>
        <w:rPr>
          <w:rFonts w:ascii="Verdana" w:hAnsi="Verdana"/>
          <w:sz w:val="20"/>
          <w:szCs w:val="20"/>
        </w:rPr>
      </w:pPr>
      <w:r w:rsidRPr="005A08CD">
        <w:rPr>
          <w:rFonts w:ascii="Verdana" w:hAnsi="Verdana"/>
          <w:sz w:val="20"/>
          <w:szCs w:val="20"/>
        </w:rPr>
        <w:t>Zes diensthoofden, leden van de Counter Terrorist Group (CTG), presente</w:t>
      </w:r>
      <w:r w:rsidR="003316D7">
        <w:rPr>
          <w:rFonts w:ascii="Verdana" w:hAnsi="Verdana"/>
          <w:sz w:val="20"/>
          <w:szCs w:val="20"/>
        </w:rPr>
        <w:t>e</w:t>
      </w:r>
      <w:r w:rsidRPr="005A08CD">
        <w:rPr>
          <w:rFonts w:ascii="Verdana" w:hAnsi="Verdana"/>
          <w:sz w:val="20"/>
          <w:szCs w:val="20"/>
        </w:rPr>
        <w:t>r</w:t>
      </w:r>
      <w:r w:rsidR="003316D7">
        <w:rPr>
          <w:rFonts w:ascii="Verdana" w:hAnsi="Verdana"/>
          <w:sz w:val="20"/>
          <w:szCs w:val="20"/>
        </w:rPr>
        <w:t>d</w:t>
      </w:r>
      <w:r w:rsidRPr="005A08CD">
        <w:rPr>
          <w:rFonts w:ascii="Verdana" w:hAnsi="Verdana"/>
          <w:sz w:val="20"/>
          <w:szCs w:val="20"/>
        </w:rPr>
        <w:t>en vanuit verschillende invalshoeken hun visie op de huidige terroristische dreiging en de aanpak ervan in Europees verband, voor het eerst sinds de oprichting van de CTG in 2001. In de JBZ-raad wordt de cruciale rol van de inlichtingen-en veiligheidsdiensten op C</w:t>
      </w:r>
      <w:r w:rsidR="00DB4F88">
        <w:rPr>
          <w:rFonts w:ascii="Verdana" w:hAnsi="Verdana"/>
          <w:sz w:val="20"/>
          <w:szCs w:val="20"/>
        </w:rPr>
        <w:t xml:space="preserve">ounter </w:t>
      </w:r>
      <w:r w:rsidRPr="005A08CD">
        <w:rPr>
          <w:rFonts w:ascii="Verdana" w:hAnsi="Verdana"/>
          <w:sz w:val="20"/>
          <w:szCs w:val="20"/>
        </w:rPr>
        <w:t>T</w:t>
      </w:r>
      <w:r w:rsidR="00DB4F88">
        <w:rPr>
          <w:rFonts w:ascii="Verdana" w:hAnsi="Verdana"/>
          <w:sz w:val="20"/>
          <w:szCs w:val="20"/>
        </w:rPr>
        <w:t>errorisme</w:t>
      </w:r>
      <w:r w:rsidR="006276D3">
        <w:rPr>
          <w:rFonts w:ascii="Verdana" w:hAnsi="Verdana"/>
          <w:sz w:val="20"/>
          <w:szCs w:val="20"/>
        </w:rPr>
        <w:t xml:space="preserve"> (CT)</w:t>
      </w:r>
      <w:r w:rsidR="00DB4F88">
        <w:rPr>
          <w:rFonts w:ascii="Verdana" w:hAnsi="Verdana"/>
          <w:sz w:val="20"/>
          <w:szCs w:val="20"/>
        </w:rPr>
        <w:t xml:space="preserve"> bevestigd en wordt </w:t>
      </w:r>
      <w:r w:rsidRPr="005A08CD">
        <w:rPr>
          <w:rFonts w:ascii="Verdana" w:hAnsi="Verdana"/>
          <w:sz w:val="20"/>
          <w:szCs w:val="20"/>
        </w:rPr>
        <w:t>de</w:t>
      </w:r>
      <w:r w:rsidR="00DB4F88">
        <w:rPr>
          <w:rFonts w:ascii="Verdana" w:hAnsi="Verdana"/>
          <w:sz w:val="20"/>
          <w:szCs w:val="20"/>
        </w:rPr>
        <w:t xml:space="preserve"> complexiteit van het werk</w:t>
      </w:r>
      <w:r w:rsidRPr="005A08CD">
        <w:rPr>
          <w:rFonts w:ascii="Verdana" w:hAnsi="Verdana"/>
          <w:sz w:val="20"/>
          <w:szCs w:val="20"/>
        </w:rPr>
        <w:t xml:space="preserve"> erkend. De EU kan daarbij helpen, o.a. met informat</w:t>
      </w:r>
      <w:r w:rsidR="00D3100B">
        <w:rPr>
          <w:rFonts w:ascii="Verdana" w:hAnsi="Verdana"/>
          <w:sz w:val="20"/>
          <w:szCs w:val="20"/>
        </w:rPr>
        <w:t>ie</w:t>
      </w:r>
      <w:r w:rsidR="003316D7">
        <w:rPr>
          <w:rFonts w:ascii="Verdana" w:hAnsi="Verdana"/>
          <w:sz w:val="20"/>
          <w:szCs w:val="20"/>
        </w:rPr>
        <w:t xml:space="preserve">systemen.  PNR en dataretentie </w:t>
      </w:r>
      <w:r w:rsidR="00E256A0">
        <w:rPr>
          <w:rFonts w:ascii="Verdana" w:hAnsi="Verdana"/>
          <w:sz w:val="20"/>
          <w:szCs w:val="20"/>
        </w:rPr>
        <w:t>kunnen</w:t>
      </w:r>
      <w:r w:rsidR="003316D7">
        <w:rPr>
          <w:rFonts w:ascii="Verdana" w:hAnsi="Verdana"/>
          <w:sz w:val="20"/>
          <w:szCs w:val="20"/>
        </w:rPr>
        <w:t xml:space="preserve"> behulpzaam zijn</w:t>
      </w:r>
      <w:r w:rsidRPr="005A08CD">
        <w:rPr>
          <w:rFonts w:ascii="Verdana" w:hAnsi="Verdana"/>
          <w:sz w:val="20"/>
          <w:szCs w:val="20"/>
        </w:rPr>
        <w:t xml:space="preserve"> opdat de inlichtingendiensten </w:t>
      </w:r>
      <w:r w:rsidR="00697903">
        <w:rPr>
          <w:rFonts w:ascii="Verdana" w:hAnsi="Verdana"/>
          <w:sz w:val="20"/>
          <w:szCs w:val="20"/>
        </w:rPr>
        <w:t xml:space="preserve">hun werk </w:t>
      </w:r>
      <w:r w:rsidR="0072422A">
        <w:rPr>
          <w:rFonts w:ascii="Verdana" w:hAnsi="Verdana"/>
          <w:sz w:val="20"/>
          <w:szCs w:val="20"/>
        </w:rPr>
        <w:t>kunnen doen. Veel lidstaten</w:t>
      </w:r>
      <w:r w:rsidR="00697903">
        <w:rPr>
          <w:rFonts w:ascii="Verdana" w:hAnsi="Verdana"/>
          <w:sz w:val="20"/>
          <w:szCs w:val="20"/>
        </w:rPr>
        <w:t xml:space="preserve"> vo</w:t>
      </w:r>
      <w:r w:rsidRPr="005A08CD">
        <w:rPr>
          <w:rFonts w:ascii="Verdana" w:hAnsi="Verdana"/>
          <w:sz w:val="20"/>
          <w:szCs w:val="20"/>
        </w:rPr>
        <w:t>nden dat deze briefing nuttig was en kan worden herhaald tijde</w:t>
      </w:r>
      <w:r w:rsidR="00DB4F88">
        <w:rPr>
          <w:rFonts w:ascii="Verdana" w:hAnsi="Verdana"/>
          <w:sz w:val="20"/>
          <w:szCs w:val="20"/>
        </w:rPr>
        <w:t>ns een volgende (informele) Raad</w:t>
      </w:r>
      <w:r w:rsidRPr="005A08CD">
        <w:rPr>
          <w:rFonts w:ascii="Verdana" w:hAnsi="Verdana"/>
          <w:sz w:val="20"/>
          <w:szCs w:val="20"/>
        </w:rPr>
        <w:t>.</w:t>
      </w:r>
    </w:p>
    <w:p w:rsidRPr="00BE0750" w:rsidR="00DB38A3" w:rsidP="006A58AD" w:rsidRDefault="00DB38A3">
      <w:pPr>
        <w:rPr>
          <w:rFonts w:cs="Verdana"/>
          <w:sz w:val="20"/>
          <w:szCs w:val="20"/>
        </w:rPr>
      </w:pPr>
    </w:p>
    <w:p w:rsidRPr="00BE0750" w:rsidR="007265DB" w:rsidP="00D11FAA" w:rsidRDefault="003316D7">
      <w:pPr>
        <w:spacing w:after="200"/>
        <w:rPr>
          <w:b/>
          <w:sz w:val="20"/>
          <w:szCs w:val="20"/>
        </w:rPr>
      </w:pPr>
      <w:r w:rsidRPr="00BE0750">
        <w:rPr>
          <w:b/>
          <w:sz w:val="20"/>
          <w:szCs w:val="20"/>
        </w:rPr>
        <w:t>Asiel en Migratie</w:t>
      </w:r>
      <w:r w:rsidRPr="00BE0750" w:rsidR="00C95FB3">
        <w:rPr>
          <w:b/>
          <w:sz w:val="20"/>
          <w:szCs w:val="20"/>
        </w:rPr>
        <w:t>:</w:t>
      </w:r>
    </w:p>
    <w:p w:rsidRPr="00BE0750" w:rsidR="00D11FAA" w:rsidP="00D11FAA" w:rsidRDefault="007265DB">
      <w:pPr>
        <w:spacing w:after="200"/>
        <w:rPr>
          <w:sz w:val="20"/>
          <w:szCs w:val="20"/>
        </w:rPr>
      </w:pPr>
      <w:r w:rsidRPr="00BE0750">
        <w:rPr>
          <w:sz w:val="20"/>
          <w:szCs w:val="20"/>
        </w:rPr>
        <w:t>De ministers bespraken</w:t>
      </w:r>
      <w:r w:rsidRPr="00BE0750" w:rsidR="0095391C">
        <w:rPr>
          <w:sz w:val="20"/>
          <w:szCs w:val="20"/>
        </w:rPr>
        <w:t xml:space="preserve"> opnieuw </w:t>
      </w:r>
      <w:r w:rsidRPr="00BE0750">
        <w:rPr>
          <w:sz w:val="20"/>
          <w:szCs w:val="20"/>
        </w:rPr>
        <w:t xml:space="preserve"> in vervolg op de</w:t>
      </w:r>
      <w:r w:rsidRPr="00BE0750" w:rsidR="00D57DEE">
        <w:rPr>
          <w:sz w:val="20"/>
          <w:szCs w:val="20"/>
        </w:rPr>
        <w:t xml:space="preserve"> JBZ-raad van 15 en 16 juni 2015</w:t>
      </w:r>
      <w:r w:rsidRPr="00BE0750">
        <w:rPr>
          <w:sz w:val="20"/>
          <w:szCs w:val="20"/>
        </w:rPr>
        <w:t xml:space="preserve">  de uitvoering van de Verklaring van de Europese Raad, het verschijnen van de Europese Migratieagenda en de eerste implementatievoorstellen.</w:t>
      </w:r>
    </w:p>
    <w:p w:rsidRPr="00BE0750" w:rsidR="00D11FAA" w:rsidP="00D11FAA" w:rsidRDefault="00C95FB3">
      <w:pPr>
        <w:spacing w:after="200"/>
        <w:rPr>
          <w:sz w:val="20"/>
          <w:szCs w:val="20"/>
        </w:rPr>
      </w:pPr>
      <w:r w:rsidRPr="00BE0750">
        <w:rPr>
          <w:sz w:val="20"/>
          <w:szCs w:val="20"/>
        </w:rPr>
        <w:t>De voorzitter</w:t>
      </w:r>
      <w:r w:rsidRPr="00BE0750" w:rsidR="00D11FAA">
        <w:rPr>
          <w:sz w:val="20"/>
          <w:szCs w:val="20"/>
        </w:rPr>
        <w:t xml:space="preserve"> wees op de toegenomen crises wereldwijd die tot intensievere </w:t>
      </w:r>
      <w:r w:rsidRPr="00BE0750">
        <w:rPr>
          <w:sz w:val="20"/>
          <w:szCs w:val="20"/>
        </w:rPr>
        <w:t xml:space="preserve">migratiestromen </w:t>
      </w:r>
      <w:r w:rsidRPr="00BE0750" w:rsidR="00D11FAA">
        <w:rPr>
          <w:sz w:val="20"/>
          <w:szCs w:val="20"/>
        </w:rPr>
        <w:t>hebben geleid. Landen die grenzen aan de conflictgebieden, in het bijzonder Egypte, Irak, Jordanië en</w:t>
      </w:r>
      <w:r w:rsidRPr="00BE0750" w:rsidR="00E74AF8">
        <w:rPr>
          <w:sz w:val="20"/>
          <w:szCs w:val="20"/>
        </w:rPr>
        <w:t xml:space="preserve"> Libanon hebben ongeveer 2,1 miljoen</w:t>
      </w:r>
      <w:r w:rsidRPr="00BE0750" w:rsidR="00D11FAA">
        <w:rPr>
          <w:sz w:val="20"/>
          <w:szCs w:val="20"/>
        </w:rPr>
        <w:t xml:space="preserve"> Syris</w:t>
      </w:r>
      <w:r w:rsidRPr="00BE0750" w:rsidR="00E74AF8">
        <w:rPr>
          <w:sz w:val="20"/>
          <w:szCs w:val="20"/>
        </w:rPr>
        <w:t>che vluchtelingen opgenomen. Turkije</w:t>
      </w:r>
      <w:r w:rsidRPr="00BE0750" w:rsidR="00D11FAA">
        <w:rPr>
          <w:sz w:val="20"/>
          <w:szCs w:val="20"/>
        </w:rPr>
        <w:t xml:space="preserve"> alleen al ongeveer 1,7 miljoen. EU-lidstaten moeten daarom ook solidariteit tonen</w:t>
      </w:r>
      <w:r w:rsidRPr="00BE0750">
        <w:rPr>
          <w:sz w:val="20"/>
          <w:szCs w:val="20"/>
        </w:rPr>
        <w:t>.</w:t>
      </w:r>
    </w:p>
    <w:p w:rsidRPr="00BE0750" w:rsidR="00D11FAA" w:rsidP="00D11FAA" w:rsidRDefault="00D11FAA">
      <w:pPr>
        <w:spacing w:after="200"/>
        <w:rPr>
          <w:sz w:val="20"/>
          <w:szCs w:val="20"/>
        </w:rPr>
      </w:pPr>
      <w:r w:rsidRPr="00BE0750">
        <w:rPr>
          <w:sz w:val="20"/>
          <w:szCs w:val="20"/>
        </w:rPr>
        <w:t xml:space="preserve">De interventies van de verschillende lidstaten spitsten zich veelal toe op het al dan niet verplichte karakter van de Commissievoorstellen inzake een tijdelijk noodmechanisme voor herplaatsing. </w:t>
      </w:r>
    </w:p>
    <w:p w:rsidRPr="00BE0750" w:rsidR="00DB38A3" w:rsidP="00D11FAA" w:rsidRDefault="00D11FAA">
      <w:pPr>
        <w:rPr>
          <w:b/>
          <w:bCs/>
          <w:iCs/>
          <w:sz w:val="20"/>
          <w:szCs w:val="20"/>
        </w:rPr>
      </w:pPr>
      <w:r w:rsidRPr="00BE0750">
        <w:rPr>
          <w:sz w:val="20"/>
          <w:szCs w:val="20"/>
        </w:rPr>
        <w:t>De Commissie vroeg aandacht voor de uitzonderlijke migratiedruk aan de Europese buitengrenzen, en gaf in dit verband aan dat de Europese Migratieagenda een testcase is voor de solidariteit tussen de lidstaten.</w:t>
      </w:r>
    </w:p>
    <w:p w:rsidRPr="00BE0750" w:rsidR="007265DB" w:rsidP="006A58AD" w:rsidRDefault="007265DB">
      <w:pPr>
        <w:rPr>
          <w:b/>
          <w:bCs/>
          <w:iCs/>
          <w:sz w:val="20"/>
          <w:szCs w:val="20"/>
        </w:rPr>
      </w:pPr>
    </w:p>
    <w:p w:rsidRPr="00BE0750" w:rsidR="006A58AD" w:rsidP="006A58AD" w:rsidRDefault="000F585B">
      <w:pPr>
        <w:rPr>
          <w:sz w:val="20"/>
          <w:szCs w:val="20"/>
        </w:rPr>
      </w:pPr>
      <w:r w:rsidRPr="00BE0750">
        <w:rPr>
          <w:sz w:val="20"/>
          <w:szCs w:val="20"/>
        </w:rPr>
        <w:t>Nederland</w:t>
      </w:r>
      <w:r w:rsidRPr="00BE0750" w:rsidR="005F6446">
        <w:rPr>
          <w:sz w:val="20"/>
          <w:szCs w:val="20"/>
        </w:rPr>
        <w:t xml:space="preserve"> </w:t>
      </w:r>
      <w:r w:rsidRPr="00BE0750" w:rsidR="007265DB">
        <w:rPr>
          <w:sz w:val="20"/>
          <w:szCs w:val="20"/>
        </w:rPr>
        <w:t>benadrukte</w:t>
      </w:r>
      <w:r w:rsidRPr="00BE0750" w:rsidR="005F6446">
        <w:rPr>
          <w:sz w:val="20"/>
          <w:szCs w:val="20"/>
        </w:rPr>
        <w:t xml:space="preserve"> het belang van </w:t>
      </w:r>
      <w:r w:rsidRPr="00BE0750" w:rsidR="001772A7">
        <w:rPr>
          <w:sz w:val="20"/>
          <w:szCs w:val="20"/>
        </w:rPr>
        <w:t>deelname aan Commissie</w:t>
      </w:r>
      <w:r w:rsidRPr="00BE0750" w:rsidR="006A58AD">
        <w:rPr>
          <w:sz w:val="20"/>
          <w:szCs w:val="20"/>
        </w:rPr>
        <w:t>voorstel voor herves</w:t>
      </w:r>
      <w:r w:rsidRPr="00BE0750" w:rsidR="005F6446">
        <w:rPr>
          <w:sz w:val="20"/>
          <w:szCs w:val="20"/>
        </w:rPr>
        <w:t>tiging en herplaatsing.</w:t>
      </w:r>
      <w:r w:rsidRPr="00BE0750" w:rsidR="00AD2B21">
        <w:rPr>
          <w:sz w:val="20"/>
          <w:szCs w:val="20"/>
        </w:rPr>
        <w:t xml:space="preserve"> </w:t>
      </w:r>
      <w:r w:rsidRPr="00BE0750" w:rsidR="005F6446">
        <w:rPr>
          <w:sz w:val="20"/>
          <w:szCs w:val="20"/>
        </w:rPr>
        <w:t>Voorwaarde</w:t>
      </w:r>
      <w:r w:rsidRPr="00BE0750" w:rsidR="006A58AD">
        <w:rPr>
          <w:sz w:val="20"/>
          <w:szCs w:val="20"/>
        </w:rPr>
        <w:t xml:space="preserve"> hiervoor is dat alle lidstaten meedoen, met een substantieel aanta</w:t>
      </w:r>
      <w:r w:rsidRPr="00BE0750" w:rsidR="00D57DEE">
        <w:rPr>
          <w:sz w:val="20"/>
          <w:szCs w:val="20"/>
        </w:rPr>
        <w:t xml:space="preserve">l. </w:t>
      </w:r>
    </w:p>
    <w:p w:rsidRPr="00BE0750" w:rsidR="006C642F" w:rsidP="009743AD" w:rsidRDefault="006C642F">
      <w:pPr>
        <w:rPr>
          <w:sz w:val="20"/>
          <w:szCs w:val="20"/>
        </w:rPr>
      </w:pPr>
    </w:p>
    <w:p w:rsidRPr="00BE0750" w:rsidR="009743AD" w:rsidP="009743AD" w:rsidRDefault="009743AD">
      <w:pPr>
        <w:rPr>
          <w:sz w:val="20"/>
          <w:szCs w:val="20"/>
        </w:rPr>
      </w:pPr>
      <w:r w:rsidRPr="00BE0750">
        <w:rPr>
          <w:sz w:val="20"/>
          <w:szCs w:val="20"/>
        </w:rPr>
        <w:t xml:space="preserve">In aansluiting op deze discussie </w:t>
      </w:r>
      <w:r w:rsidRPr="00BE0750" w:rsidR="006C642F">
        <w:rPr>
          <w:sz w:val="20"/>
          <w:szCs w:val="20"/>
        </w:rPr>
        <w:t>meldde het Luxemburgse</w:t>
      </w:r>
      <w:r w:rsidRPr="00BE0750" w:rsidR="00D57DEE">
        <w:rPr>
          <w:sz w:val="20"/>
          <w:szCs w:val="20"/>
        </w:rPr>
        <w:t xml:space="preserve"> V</w:t>
      </w:r>
      <w:r w:rsidRPr="00BE0750" w:rsidR="006C642F">
        <w:rPr>
          <w:sz w:val="20"/>
          <w:szCs w:val="20"/>
        </w:rPr>
        <w:t>oorzitterschap</w:t>
      </w:r>
      <w:r w:rsidRPr="00BE0750">
        <w:rPr>
          <w:sz w:val="20"/>
          <w:szCs w:val="20"/>
        </w:rPr>
        <w:t xml:space="preserve"> dat het st</w:t>
      </w:r>
      <w:r w:rsidRPr="00BE0750" w:rsidR="006C642F">
        <w:rPr>
          <w:sz w:val="20"/>
          <w:szCs w:val="20"/>
        </w:rPr>
        <w:t>reefgetal voor hervestiging (Commissie</w:t>
      </w:r>
      <w:r w:rsidRPr="00BE0750">
        <w:rPr>
          <w:sz w:val="20"/>
          <w:szCs w:val="20"/>
        </w:rPr>
        <w:t>voorstel 20.000) overschreden werd. Het st</w:t>
      </w:r>
      <w:r w:rsidRPr="00BE0750" w:rsidR="006C642F">
        <w:rPr>
          <w:sz w:val="20"/>
          <w:szCs w:val="20"/>
        </w:rPr>
        <w:t>reefgetal voor herplaatsing (Commissie</w:t>
      </w:r>
      <w:r w:rsidRPr="00BE0750">
        <w:rPr>
          <w:sz w:val="20"/>
          <w:szCs w:val="20"/>
        </w:rPr>
        <w:t>voorstel 4</w:t>
      </w:r>
      <w:r w:rsidRPr="00BE0750" w:rsidR="00EA7B60">
        <w:rPr>
          <w:sz w:val="20"/>
          <w:szCs w:val="20"/>
        </w:rPr>
        <w:t>0.000) werd nog niet bereikt. Het Luxemburgs Voorzitterschap</w:t>
      </w:r>
      <w:r w:rsidRPr="00BE0750">
        <w:rPr>
          <w:sz w:val="20"/>
          <w:szCs w:val="20"/>
        </w:rPr>
        <w:t xml:space="preserve"> </w:t>
      </w:r>
      <w:r w:rsidRPr="00BE0750" w:rsidR="00C95FB3">
        <w:rPr>
          <w:sz w:val="20"/>
          <w:szCs w:val="20"/>
        </w:rPr>
        <w:t>kondigde daarom</w:t>
      </w:r>
      <w:r w:rsidRPr="00BE0750">
        <w:rPr>
          <w:sz w:val="20"/>
          <w:szCs w:val="20"/>
        </w:rPr>
        <w:t xml:space="preserve"> een extra JBZ-Raad </w:t>
      </w:r>
      <w:r w:rsidRPr="00BE0750" w:rsidR="00C95FB3">
        <w:rPr>
          <w:sz w:val="20"/>
          <w:szCs w:val="20"/>
        </w:rPr>
        <w:t xml:space="preserve">aan op </w:t>
      </w:r>
      <w:r w:rsidRPr="00BE0750">
        <w:rPr>
          <w:sz w:val="20"/>
          <w:szCs w:val="20"/>
        </w:rPr>
        <w:t xml:space="preserve">20 juli in Brussel. </w:t>
      </w:r>
    </w:p>
    <w:p w:rsidRPr="00BE0750" w:rsidR="00DB38A3" w:rsidP="00DB38A3" w:rsidRDefault="00DB38A3">
      <w:pPr>
        <w:pStyle w:val="Kop1"/>
        <w:spacing w:before="0" w:after="0"/>
        <w:rPr>
          <w:rFonts w:ascii="Verdana" w:hAnsi="Verdana"/>
          <w:sz w:val="20"/>
          <w:szCs w:val="20"/>
        </w:rPr>
      </w:pPr>
    </w:p>
    <w:p w:rsidRPr="005A08CD" w:rsidR="00DB38A3" w:rsidP="00DB38A3" w:rsidRDefault="00DB38A3">
      <w:pPr>
        <w:pStyle w:val="Kop1"/>
        <w:spacing w:before="0" w:after="0"/>
        <w:rPr>
          <w:rFonts w:ascii="Verdana" w:hAnsi="Verdana"/>
          <w:sz w:val="20"/>
          <w:szCs w:val="20"/>
        </w:rPr>
      </w:pPr>
      <w:r w:rsidRPr="005A08CD">
        <w:rPr>
          <w:rFonts w:ascii="Verdana" w:hAnsi="Verdana"/>
          <w:sz w:val="20"/>
          <w:szCs w:val="20"/>
        </w:rPr>
        <w:t>II. Veiligheid en Justitie, Grondrechten en Burgerschap</w:t>
      </w:r>
      <w:r w:rsidRPr="005A08CD" w:rsidR="0080685B">
        <w:rPr>
          <w:rFonts w:ascii="Verdana" w:hAnsi="Verdana"/>
          <w:sz w:val="20"/>
          <w:szCs w:val="20"/>
        </w:rPr>
        <w:t xml:space="preserve"> (10 juli 2015)</w:t>
      </w:r>
    </w:p>
    <w:p w:rsidRPr="005A08CD" w:rsidR="00ED1BA9" w:rsidP="00DB314D" w:rsidRDefault="00ED1BA9">
      <w:pPr>
        <w:rPr>
          <w:b/>
          <w:bCs/>
          <w:iCs/>
          <w:sz w:val="20"/>
          <w:szCs w:val="20"/>
        </w:rPr>
      </w:pPr>
    </w:p>
    <w:p w:rsidR="0072422A" w:rsidP="0072422A" w:rsidRDefault="0072422A">
      <w:pPr>
        <w:pStyle w:val="Geenafstand"/>
        <w:rPr>
          <w:rFonts w:ascii="Verdana" w:hAnsi="Verdana"/>
          <w:b/>
          <w:bCs/>
          <w:iCs/>
          <w:sz w:val="20"/>
          <w:szCs w:val="20"/>
        </w:rPr>
      </w:pPr>
      <w:r>
        <w:rPr>
          <w:rFonts w:ascii="Verdana" w:hAnsi="Verdana"/>
          <w:b/>
          <w:bCs/>
          <w:iCs/>
          <w:sz w:val="20"/>
          <w:szCs w:val="20"/>
        </w:rPr>
        <w:t xml:space="preserve">PIF-richtlijn: </w:t>
      </w:r>
    </w:p>
    <w:p w:rsidR="0072422A" w:rsidP="0072422A" w:rsidRDefault="0072422A">
      <w:pPr>
        <w:pStyle w:val="Geenafstand"/>
        <w:rPr>
          <w:rFonts w:ascii="Verdana" w:hAnsi="Verdana"/>
          <w:b/>
          <w:bCs/>
          <w:iCs/>
          <w:sz w:val="20"/>
          <w:szCs w:val="20"/>
        </w:rPr>
      </w:pPr>
    </w:p>
    <w:p w:rsidR="0072422A" w:rsidP="0072422A" w:rsidRDefault="0072422A">
      <w:pPr>
        <w:pStyle w:val="Geenafstand"/>
        <w:rPr>
          <w:rFonts w:ascii="Verdana" w:hAnsi="Verdana"/>
          <w:sz w:val="20"/>
          <w:szCs w:val="20"/>
        </w:rPr>
      </w:pPr>
      <w:r>
        <w:rPr>
          <w:rFonts w:ascii="Verdana" w:hAnsi="Verdana"/>
          <w:sz w:val="20"/>
          <w:szCs w:val="20"/>
        </w:rPr>
        <w:t>De meeste lidstaten, waaronder Nederland, hielden vast aan het standpunt dat BTW buiten de reikwijdte van de PIF-richtlijn moet blijven</w:t>
      </w:r>
      <w:r w:rsidR="00AC7855">
        <w:rPr>
          <w:rFonts w:ascii="Verdana" w:hAnsi="Verdana"/>
          <w:b/>
          <w:sz w:val="20"/>
          <w:szCs w:val="20"/>
        </w:rPr>
        <w:t>.</w:t>
      </w:r>
      <w:r>
        <w:rPr>
          <w:rFonts w:ascii="Verdana" w:hAnsi="Verdana"/>
          <w:sz w:val="20"/>
          <w:szCs w:val="20"/>
        </w:rPr>
        <w:t xml:space="preserve"> </w:t>
      </w:r>
      <w:r>
        <w:rPr>
          <w:rFonts w:ascii="Verdana" w:hAnsi="Verdana"/>
          <w:sz w:val="20"/>
          <w:szCs w:val="20"/>
        </w:rPr>
        <w:br/>
        <w:t xml:space="preserve">Twee lidstaten spraken hun steun uit voor de idee BTW onder de reikwijdte van de PIF-richtlijn te brengen en daarmee ook rechtstreeks een bevoegdheid voor het EOM te </w:t>
      </w:r>
      <w:r>
        <w:rPr>
          <w:rFonts w:ascii="Verdana" w:hAnsi="Verdana"/>
          <w:sz w:val="20"/>
          <w:szCs w:val="20"/>
        </w:rPr>
        <w:lastRenderedPageBreak/>
        <w:t xml:space="preserve">creëren. Het Luxemburgs Voorzitterschap concludeerde dat de </w:t>
      </w:r>
      <w:r w:rsidR="00B668B6">
        <w:rPr>
          <w:rFonts w:ascii="Verdana" w:hAnsi="Verdana"/>
          <w:sz w:val="20"/>
          <w:szCs w:val="20"/>
        </w:rPr>
        <w:t>lidstaten</w:t>
      </w:r>
      <w:r>
        <w:rPr>
          <w:rFonts w:ascii="Verdana" w:hAnsi="Verdana"/>
          <w:sz w:val="20"/>
          <w:szCs w:val="20"/>
        </w:rPr>
        <w:t xml:space="preserve"> vasthoud</w:t>
      </w:r>
      <w:r w:rsidR="00B668B6">
        <w:rPr>
          <w:rFonts w:ascii="Verdana" w:hAnsi="Verdana"/>
          <w:sz w:val="20"/>
          <w:szCs w:val="20"/>
        </w:rPr>
        <w:t>en</w:t>
      </w:r>
      <w:r>
        <w:rPr>
          <w:rFonts w:ascii="Verdana" w:hAnsi="Verdana"/>
          <w:sz w:val="20"/>
          <w:szCs w:val="20"/>
        </w:rPr>
        <w:t xml:space="preserve"> aan het verzet tegen de wens van de Commissie en het EP om BTW onder de reikwijdte van de PIF-richtlijn te brengen. Zodra de uitspraak van het Hof van Justitie in de zaak Taricco beschikbaar is, zal de discussie opnieuw op de agenda komen.</w:t>
      </w:r>
    </w:p>
    <w:p w:rsidR="0072422A" w:rsidP="0072422A" w:rsidRDefault="0072422A">
      <w:pPr>
        <w:rPr>
          <w:bCs/>
          <w:iCs/>
          <w:sz w:val="20"/>
          <w:szCs w:val="20"/>
        </w:rPr>
      </w:pPr>
    </w:p>
    <w:p w:rsidR="0072422A" w:rsidP="0072422A" w:rsidRDefault="0072422A">
      <w:pPr>
        <w:rPr>
          <w:b/>
          <w:bCs/>
          <w:iCs/>
          <w:sz w:val="20"/>
          <w:szCs w:val="20"/>
        </w:rPr>
      </w:pPr>
      <w:r>
        <w:rPr>
          <w:b/>
          <w:bCs/>
          <w:iCs/>
          <w:sz w:val="20"/>
          <w:szCs w:val="20"/>
        </w:rPr>
        <w:t>EOM:</w:t>
      </w:r>
      <w:r>
        <w:rPr>
          <w:sz w:val="20"/>
          <w:szCs w:val="20"/>
        </w:rPr>
        <w:t xml:space="preserve"> </w:t>
      </w:r>
    </w:p>
    <w:p w:rsidR="0072422A" w:rsidP="0072422A" w:rsidRDefault="0072422A">
      <w:pPr>
        <w:rPr>
          <w:b/>
          <w:bCs/>
          <w:iCs/>
          <w:sz w:val="20"/>
          <w:szCs w:val="20"/>
        </w:rPr>
      </w:pPr>
    </w:p>
    <w:p w:rsidR="0072422A" w:rsidP="0072422A" w:rsidRDefault="0072422A">
      <w:pPr>
        <w:rPr>
          <w:sz w:val="20"/>
          <w:szCs w:val="20"/>
        </w:rPr>
      </w:pPr>
      <w:r>
        <w:rPr>
          <w:sz w:val="20"/>
          <w:szCs w:val="20"/>
        </w:rPr>
        <w:t>Het Luxemburgs</w:t>
      </w:r>
      <w:r w:rsidR="00AC7855">
        <w:rPr>
          <w:sz w:val="20"/>
          <w:szCs w:val="20"/>
        </w:rPr>
        <w:t>e</w:t>
      </w:r>
      <w:r>
        <w:rPr>
          <w:sz w:val="20"/>
          <w:szCs w:val="20"/>
        </w:rPr>
        <w:t xml:space="preserve"> Voorzitterschap heeft de ministers twee punten voorgelegd met de intentie politieke sturing te krijgen voor het werk op technisch niveau. In het voor de Informele JBZ Raad opgestelde discussiepaper zijn deze punten uiteengezet. Het gaat om 1) de wijze van samenwerken binnen het EOM in grensoverschrijdende zaken en 2) rechte</w:t>
      </w:r>
      <w:r w:rsidR="00AC7855">
        <w:rPr>
          <w:sz w:val="20"/>
          <w:szCs w:val="20"/>
        </w:rPr>
        <w:t>r</w:t>
      </w:r>
      <w:r>
        <w:rPr>
          <w:sz w:val="20"/>
          <w:szCs w:val="20"/>
        </w:rPr>
        <w:t>lijke controle (“judicial review”).</w:t>
      </w:r>
    </w:p>
    <w:p w:rsidR="0072422A" w:rsidP="0072422A" w:rsidRDefault="0072422A">
      <w:pPr>
        <w:rPr>
          <w:i/>
          <w:sz w:val="20"/>
          <w:szCs w:val="20"/>
        </w:rPr>
      </w:pPr>
    </w:p>
    <w:p w:rsidR="0072422A" w:rsidP="0072422A" w:rsidRDefault="0072422A">
      <w:pPr>
        <w:rPr>
          <w:i/>
          <w:sz w:val="20"/>
          <w:szCs w:val="20"/>
        </w:rPr>
      </w:pPr>
      <w:r>
        <w:rPr>
          <w:i/>
          <w:sz w:val="20"/>
          <w:szCs w:val="20"/>
        </w:rPr>
        <w:t>Ad 1)</w:t>
      </w:r>
    </w:p>
    <w:p w:rsidR="0072422A" w:rsidP="0072422A" w:rsidRDefault="0072422A">
      <w:pPr>
        <w:rPr>
          <w:sz w:val="20"/>
          <w:szCs w:val="20"/>
        </w:rPr>
      </w:pPr>
      <w:r>
        <w:rPr>
          <w:sz w:val="20"/>
          <w:szCs w:val="20"/>
        </w:rPr>
        <w:t xml:space="preserve">De meeste lidstaten gaven steun aan een systeem waarbij in een grensoverschrijdend onderzoek van het EOM met een enkele rechterlijke machtiging wordt gewerkt die is afgegeven door de rechter uit de lidstaat van de “assisting” Europese gedelegeerde aanklager. Enkele lidstaten kunnen alleen akkoord gaan met een enkele rechterlijke machtiging als die door de rechter uit de lidstaat van de “handling”  Europese gedelegeerde aanklager wordt afgegeven. Ook de Commissie pleit voor die benadering, maar stelt zich flexibel op. Het Luxemburgse Voorzitterschap </w:t>
      </w:r>
      <w:r w:rsidR="00AC7855">
        <w:rPr>
          <w:sz w:val="20"/>
          <w:szCs w:val="20"/>
        </w:rPr>
        <w:t xml:space="preserve">concludeerde dat op technisch niveau verder zal worden gewerkt aan een systeem met een enkele rechterlijke machtiging. Het </w:t>
      </w:r>
      <w:r>
        <w:rPr>
          <w:sz w:val="20"/>
          <w:szCs w:val="20"/>
        </w:rPr>
        <w:t xml:space="preserve">wil naar aanleiding van de discussie kijken naar een flexibele benadering voor wat de keuze voor de rechter in de lidstaat van de “assisting” of de “handling” gedelegeerde Europese aanklager betreft. </w:t>
      </w:r>
    </w:p>
    <w:p w:rsidR="0072422A" w:rsidP="0072422A" w:rsidRDefault="0072422A">
      <w:pPr>
        <w:rPr>
          <w:sz w:val="20"/>
          <w:szCs w:val="20"/>
        </w:rPr>
      </w:pPr>
    </w:p>
    <w:p w:rsidR="0072422A" w:rsidP="0072422A" w:rsidRDefault="00A23C60">
      <w:pPr>
        <w:rPr>
          <w:sz w:val="20"/>
          <w:szCs w:val="20"/>
        </w:rPr>
      </w:pPr>
      <w:r w:rsidRPr="00A23C60">
        <w:rPr>
          <w:sz w:val="20"/>
          <w:szCs w:val="20"/>
        </w:rPr>
        <w:t>Nederland heeft op dit punt aangegeven de mogelijkheid van dubbele rechterlijke machtigingen in overeenstemming met de nationale wetgeving in de betrokken lidstaten niet bezwaarlijk te vinden en opgemerkt dat bij een eventuele keuze voor een rechterlijke machtiging in een enkele lidstaat verder werk op technisch niveau nodig is voor de uitwerking van een dergelijk systeem</w:t>
      </w:r>
      <w:r>
        <w:rPr>
          <w:sz w:val="20"/>
          <w:szCs w:val="20"/>
        </w:rPr>
        <w:t>.</w:t>
      </w:r>
    </w:p>
    <w:p w:rsidR="0072422A" w:rsidP="0072422A" w:rsidRDefault="0072422A">
      <w:pPr>
        <w:rPr>
          <w:sz w:val="20"/>
          <w:szCs w:val="20"/>
        </w:rPr>
      </w:pPr>
    </w:p>
    <w:p w:rsidR="0072422A" w:rsidP="0072422A" w:rsidRDefault="0072422A">
      <w:pPr>
        <w:rPr>
          <w:i/>
          <w:sz w:val="20"/>
          <w:szCs w:val="20"/>
        </w:rPr>
      </w:pPr>
      <w:r>
        <w:rPr>
          <w:i/>
          <w:sz w:val="20"/>
          <w:szCs w:val="20"/>
        </w:rPr>
        <w:t>Ad 2)</w:t>
      </w:r>
    </w:p>
    <w:p w:rsidR="0072422A" w:rsidP="0072422A" w:rsidRDefault="0072422A">
      <w:pPr>
        <w:rPr>
          <w:sz w:val="20"/>
          <w:szCs w:val="20"/>
        </w:rPr>
      </w:pPr>
      <w:r>
        <w:rPr>
          <w:sz w:val="20"/>
          <w:szCs w:val="20"/>
        </w:rPr>
        <w:t>Een meerderheid van de lidstaten gaf steun aan optie 2 (rechte</w:t>
      </w:r>
      <w:r w:rsidR="00AC7855">
        <w:rPr>
          <w:sz w:val="20"/>
          <w:szCs w:val="20"/>
        </w:rPr>
        <w:t>r</w:t>
      </w:r>
      <w:r>
        <w:rPr>
          <w:sz w:val="20"/>
          <w:szCs w:val="20"/>
        </w:rPr>
        <w:t xml:space="preserve">lijke controle op het EOM door het </w:t>
      </w:r>
      <w:r w:rsidR="00AC7855">
        <w:rPr>
          <w:sz w:val="20"/>
          <w:szCs w:val="20"/>
        </w:rPr>
        <w:t xml:space="preserve">EU </w:t>
      </w:r>
      <w:r>
        <w:rPr>
          <w:sz w:val="20"/>
          <w:szCs w:val="20"/>
        </w:rPr>
        <w:t xml:space="preserve">Hof van Justitie), met dien verstande dat veel van deze lidstaten de rol van het </w:t>
      </w:r>
      <w:r w:rsidR="00AC7855">
        <w:rPr>
          <w:sz w:val="20"/>
          <w:szCs w:val="20"/>
        </w:rPr>
        <w:t xml:space="preserve">EU </w:t>
      </w:r>
      <w:r>
        <w:rPr>
          <w:sz w:val="20"/>
          <w:szCs w:val="20"/>
        </w:rPr>
        <w:t>Hof van Justitie beperkt willen houden tot bepaalde beslissingen die door het EOM rechtstreeks op basis van de verordening worden genomen. Deze lidstaten onderschrijven het standpunt van de Juridische Dienst van de Raad over deze kwestie.</w:t>
      </w:r>
    </w:p>
    <w:p w:rsidR="0072422A" w:rsidP="0072422A" w:rsidRDefault="0072422A">
      <w:pPr>
        <w:rPr>
          <w:sz w:val="20"/>
          <w:szCs w:val="20"/>
        </w:rPr>
      </w:pPr>
    </w:p>
    <w:p w:rsidR="0072422A" w:rsidP="0072422A" w:rsidRDefault="0072422A">
      <w:pPr>
        <w:rPr>
          <w:sz w:val="20"/>
          <w:szCs w:val="20"/>
        </w:rPr>
      </w:pPr>
      <w:r w:rsidRPr="0072422A">
        <w:rPr>
          <w:sz w:val="20"/>
          <w:szCs w:val="20"/>
        </w:rPr>
        <w:t>Nederland</w:t>
      </w:r>
      <w:r>
        <w:rPr>
          <w:sz w:val="20"/>
          <w:szCs w:val="20"/>
        </w:rPr>
        <w:t xml:space="preserve"> gaf</w:t>
      </w:r>
      <w:r>
        <w:rPr>
          <w:b/>
          <w:sz w:val="20"/>
          <w:szCs w:val="20"/>
        </w:rPr>
        <w:t xml:space="preserve"> </w:t>
      </w:r>
      <w:r>
        <w:rPr>
          <w:sz w:val="20"/>
          <w:szCs w:val="20"/>
        </w:rPr>
        <w:t>samen met enkele andere lidstaten steun aan de benadering van de Commissie in optie 1 (rechte</w:t>
      </w:r>
      <w:r w:rsidR="00AC7855">
        <w:rPr>
          <w:sz w:val="20"/>
          <w:szCs w:val="20"/>
        </w:rPr>
        <w:t>r</w:t>
      </w:r>
      <w:r>
        <w:rPr>
          <w:sz w:val="20"/>
          <w:szCs w:val="20"/>
        </w:rPr>
        <w:t xml:space="preserve">lijke controle door de nationale rechter). </w:t>
      </w:r>
    </w:p>
    <w:p w:rsidR="00A254C9" w:rsidP="0072422A" w:rsidRDefault="0072422A">
      <w:pPr>
        <w:rPr>
          <w:sz w:val="20"/>
          <w:szCs w:val="20"/>
        </w:rPr>
      </w:pPr>
      <w:r>
        <w:rPr>
          <w:sz w:val="20"/>
          <w:szCs w:val="20"/>
        </w:rPr>
        <w:t>Het Luxemburgse Voorzitterschap concludeerde daarop dat optie 2 als basis voor verdere besprekingen zal dienen.</w:t>
      </w:r>
    </w:p>
    <w:p w:rsidRPr="005A08CD" w:rsidR="0072422A" w:rsidP="0072422A" w:rsidRDefault="0072422A">
      <w:pPr>
        <w:rPr>
          <w:b/>
          <w:bCs/>
          <w:iCs/>
          <w:sz w:val="20"/>
          <w:szCs w:val="20"/>
        </w:rPr>
      </w:pPr>
    </w:p>
    <w:p w:rsidRPr="005A08CD" w:rsidR="00ED1BA9" w:rsidP="00DB314D" w:rsidRDefault="00ED1BA9">
      <w:pPr>
        <w:rPr>
          <w:b/>
          <w:bCs/>
          <w:iCs/>
          <w:sz w:val="20"/>
          <w:szCs w:val="20"/>
        </w:rPr>
      </w:pPr>
      <w:r w:rsidRPr="005A08CD">
        <w:rPr>
          <w:b/>
          <w:bCs/>
          <w:iCs/>
          <w:sz w:val="20"/>
          <w:szCs w:val="20"/>
        </w:rPr>
        <w:t>Verslag:</w:t>
      </w:r>
    </w:p>
    <w:p w:rsidR="00093C57" w:rsidP="00ED1BA9" w:rsidRDefault="00093C57">
      <w:pPr>
        <w:rPr>
          <w:b/>
          <w:bCs/>
          <w:sz w:val="20"/>
          <w:szCs w:val="20"/>
        </w:rPr>
      </w:pPr>
    </w:p>
    <w:p w:rsidRPr="005A08CD" w:rsidR="00ED1BA9" w:rsidP="00ED1BA9" w:rsidRDefault="00ED1BA9">
      <w:pPr>
        <w:rPr>
          <w:b/>
          <w:bCs/>
          <w:sz w:val="20"/>
          <w:szCs w:val="20"/>
        </w:rPr>
      </w:pPr>
      <w:r w:rsidRPr="005A08CD">
        <w:rPr>
          <w:b/>
          <w:bCs/>
          <w:sz w:val="20"/>
          <w:szCs w:val="20"/>
        </w:rPr>
        <w:t>I. Binnenlandse Zaken, Immigratie en Asiel</w:t>
      </w:r>
      <w:r w:rsidRPr="005A08CD" w:rsidR="0080685B">
        <w:rPr>
          <w:b/>
          <w:bCs/>
          <w:sz w:val="20"/>
          <w:szCs w:val="20"/>
        </w:rPr>
        <w:t xml:space="preserve"> (9 juli 2015)</w:t>
      </w:r>
    </w:p>
    <w:p w:rsidRPr="005A08CD" w:rsidR="00ED1BA9" w:rsidP="00DB314D" w:rsidRDefault="00ED1BA9">
      <w:pPr>
        <w:rPr>
          <w:b/>
          <w:bCs/>
          <w:iCs/>
          <w:sz w:val="20"/>
          <w:szCs w:val="20"/>
        </w:rPr>
      </w:pPr>
    </w:p>
    <w:p w:rsidRPr="00EE4823" w:rsidR="00E1198C" w:rsidP="00DB314D" w:rsidRDefault="00DB314D">
      <w:pPr>
        <w:rPr>
          <w:b/>
          <w:bCs/>
          <w:iCs/>
          <w:sz w:val="20"/>
          <w:szCs w:val="20"/>
        </w:rPr>
      </w:pPr>
      <w:r w:rsidRPr="00EE4823">
        <w:rPr>
          <w:b/>
          <w:bCs/>
          <w:iCs/>
          <w:sz w:val="20"/>
          <w:szCs w:val="20"/>
        </w:rPr>
        <w:t>Sessie I Terrorisme</w:t>
      </w:r>
    </w:p>
    <w:p w:rsidRPr="005A08CD" w:rsidR="00474AD1" w:rsidP="00474AD1" w:rsidRDefault="00474AD1">
      <w:pPr>
        <w:pStyle w:val="Geenafstand"/>
        <w:rPr>
          <w:rFonts w:ascii="Verdana" w:hAnsi="Verdana"/>
          <w:b/>
          <w:sz w:val="20"/>
          <w:szCs w:val="20"/>
        </w:rPr>
      </w:pPr>
    </w:p>
    <w:p w:rsidRPr="005A08CD" w:rsidR="00474AD1" w:rsidP="00474AD1" w:rsidRDefault="0072422A">
      <w:pPr>
        <w:pStyle w:val="Geenafstand"/>
        <w:rPr>
          <w:rFonts w:ascii="Verdana" w:hAnsi="Verdana"/>
          <w:sz w:val="20"/>
          <w:szCs w:val="20"/>
        </w:rPr>
      </w:pPr>
      <w:r>
        <w:rPr>
          <w:rFonts w:ascii="Verdana" w:hAnsi="Verdana"/>
          <w:sz w:val="20"/>
          <w:szCs w:val="20"/>
        </w:rPr>
        <w:t xml:space="preserve">Het </w:t>
      </w:r>
      <w:r w:rsidR="00C624FC">
        <w:rPr>
          <w:rFonts w:ascii="Verdana" w:hAnsi="Verdana"/>
          <w:sz w:val="20"/>
          <w:szCs w:val="20"/>
        </w:rPr>
        <w:t>Voorzitterschap</w:t>
      </w:r>
      <w:r w:rsidR="00B4306F">
        <w:rPr>
          <w:rFonts w:ascii="Verdana" w:hAnsi="Verdana"/>
          <w:sz w:val="20"/>
          <w:szCs w:val="20"/>
        </w:rPr>
        <w:t xml:space="preserve"> stond</w:t>
      </w:r>
      <w:r w:rsidRPr="005A08CD" w:rsidR="00474AD1">
        <w:rPr>
          <w:rFonts w:ascii="Verdana" w:hAnsi="Verdana"/>
          <w:sz w:val="20"/>
          <w:szCs w:val="20"/>
        </w:rPr>
        <w:t xml:space="preserve"> stil bij de aanslag in S</w:t>
      </w:r>
      <w:r>
        <w:rPr>
          <w:rFonts w:ascii="Verdana" w:hAnsi="Verdana"/>
          <w:sz w:val="20"/>
          <w:szCs w:val="20"/>
        </w:rPr>
        <w:t>ousse</w:t>
      </w:r>
      <w:r w:rsidRPr="005A08CD" w:rsidR="00474AD1">
        <w:rPr>
          <w:rFonts w:ascii="Verdana" w:hAnsi="Verdana"/>
          <w:sz w:val="20"/>
          <w:szCs w:val="20"/>
        </w:rPr>
        <w:t>, Tunesië, ‘een land op weg naar meer democratie’. Een korte stilte volg</w:t>
      </w:r>
      <w:r w:rsidR="009F3A11">
        <w:rPr>
          <w:rFonts w:ascii="Verdana" w:hAnsi="Verdana"/>
          <w:sz w:val="20"/>
          <w:szCs w:val="20"/>
        </w:rPr>
        <w:t>de</w:t>
      </w:r>
      <w:r w:rsidRPr="005A08CD" w:rsidR="00474AD1">
        <w:rPr>
          <w:rFonts w:ascii="Verdana" w:hAnsi="Verdana"/>
          <w:sz w:val="20"/>
          <w:szCs w:val="20"/>
        </w:rPr>
        <w:t xml:space="preserve"> in de vergadering.</w:t>
      </w:r>
    </w:p>
    <w:p w:rsidRPr="005A08CD" w:rsidR="00474AD1" w:rsidP="00474AD1" w:rsidRDefault="00C624FC">
      <w:pPr>
        <w:pStyle w:val="Geenafstand"/>
        <w:rPr>
          <w:rFonts w:ascii="Verdana" w:hAnsi="Verdana"/>
          <w:sz w:val="20"/>
          <w:szCs w:val="20"/>
        </w:rPr>
      </w:pPr>
      <w:r>
        <w:rPr>
          <w:rFonts w:ascii="Verdana" w:hAnsi="Verdana"/>
          <w:sz w:val="20"/>
          <w:szCs w:val="20"/>
        </w:rPr>
        <w:t xml:space="preserve">Het </w:t>
      </w:r>
      <w:r w:rsidR="00B4306F">
        <w:rPr>
          <w:rFonts w:ascii="Verdana" w:hAnsi="Verdana"/>
          <w:sz w:val="20"/>
          <w:szCs w:val="20"/>
        </w:rPr>
        <w:t>benadrukte vervolgens dat de I</w:t>
      </w:r>
      <w:r w:rsidR="0072422A">
        <w:rPr>
          <w:rFonts w:ascii="Verdana" w:hAnsi="Verdana"/>
          <w:sz w:val="20"/>
          <w:szCs w:val="20"/>
        </w:rPr>
        <w:t>nlichtingen- en Veiligheids</w:t>
      </w:r>
      <w:r w:rsidR="00B4306F">
        <w:rPr>
          <w:rFonts w:ascii="Verdana" w:hAnsi="Verdana"/>
          <w:sz w:val="20"/>
          <w:szCs w:val="20"/>
        </w:rPr>
        <w:t>diensten</w:t>
      </w:r>
      <w:r w:rsidRPr="005A08CD" w:rsidR="00474AD1">
        <w:rPr>
          <w:rFonts w:ascii="Verdana" w:hAnsi="Verdana"/>
          <w:sz w:val="20"/>
          <w:szCs w:val="20"/>
        </w:rPr>
        <w:t xml:space="preserve"> een sleutelrol </w:t>
      </w:r>
      <w:r w:rsidR="00B4306F">
        <w:rPr>
          <w:rFonts w:ascii="Verdana" w:hAnsi="Verdana"/>
          <w:sz w:val="20"/>
          <w:szCs w:val="20"/>
        </w:rPr>
        <w:t xml:space="preserve">vervullen </w:t>
      </w:r>
      <w:r w:rsidRPr="005A08CD" w:rsidR="00474AD1">
        <w:rPr>
          <w:rFonts w:ascii="Verdana" w:hAnsi="Verdana"/>
          <w:sz w:val="20"/>
          <w:szCs w:val="20"/>
        </w:rPr>
        <w:t xml:space="preserve">bij </w:t>
      </w:r>
      <w:r w:rsidR="0072422A">
        <w:rPr>
          <w:rFonts w:ascii="Verdana" w:hAnsi="Verdana"/>
          <w:sz w:val="20"/>
          <w:szCs w:val="20"/>
        </w:rPr>
        <w:t>contraterrorisme (CT)</w:t>
      </w:r>
      <w:r w:rsidR="00B4306F">
        <w:rPr>
          <w:rFonts w:ascii="Verdana" w:hAnsi="Verdana"/>
          <w:sz w:val="20"/>
          <w:szCs w:val="20"/>
        </w:rPr>
        <w:t>. De</w:t>
      </w:r>
      <w:r w:rsidRPr="005A08CD" w:rsidR="00474AD1">
        <w:rPr>
          <w:rFonts w:ascii="Verdana" w:hAnsi="Verdana"/>
          <w:sz w:val="20"/>
          <w:szCs w:val="20"/>
        </w:rPr>
        <w:t xml:space="preserve"> samenwerking onderling alsmede de samenwerking met politie is daarbij van groot belang. Vandaag is het de eerste keer dat </w:t>
      </w:r>
      <w:r w:rsidR="004045D6">
        <w:rPr>
          <w:rFonts w:ascii="Verdana" w:hAnsi="Verdana"/>
          <w:sz w:val="20"/>
          <w:szCs w:val="20"/>
        </w:rPr>
        <w:t xml:space="preserve">diensten uit de </w:t>
      </w:r>
      <w:r w:rsidRPr="005A08CD" w:rsidR="00474AD1">
        <w:rPr>
          <w:rFonts w:ascii="Verdana" w:hAnsi="Verdana"/>
          <w:sz w:val="20"/>
          <w:szCs w:val="20"/>
        </w:rPr>
        <w:t>C</w:t>
      </w:r>
      <w:r w:rsidR="004045D6">
        <w:rPr>
          <w:rFonts w:ascii="Verdana" w:hAnsi="Verdana"/>
          <w:sz w:val="20"/>
          <w:szCs w:val="20"/>
        </w:rPr>
        <w:t xml:space="preserve">ontraterrorisme </w:t>
      </w:r>
      <w:r w:rsidRPr="005A08CD" w:rsidR="00474AD1">
        <w:rPr>
          <w:rFonts w:ascii="Verdana" w:hAnsi="Verdana"/>
          <w:sz w:val="20"/>
          <w:szCs w:val="20"/>
        </w:rPr>
        <w:t>G</w:t>
      </w:r>
      <w:r w:rsidR="004045D6">
        <w:rPr>
          <w:rFonts w:ascii="Verdana" w:hAnsi="Verdana"/>
          <w:sz w:val="20"/>
          <w:szCs w:val="20"/>
        </w:rPr>
        <w:t>roep (CTG)</w:t>
      </w:r>
      <w:r w:rsidRPr="005A08CD" w:rsidR="00474AD1">
        <w:rPr>
          <w:rFonts w:ascii="Verdana" w:hAnsi="Verdana"/>
          <w:sz w:val="20"/>
          <w:szCs w:val="20"/>
        </w:rPr>
        <w:t xml:space="preserve"> hun opwachting maken in de JBZ-raad. </w:t>
      </w:r>
      <w:r w:rsidRPr="005A08CD" w:rsidR="00474AD1">
        <w:rPr>
          <w:rFonts w:ascii="Verdana" w:hAnsi="Verdana"/>
          <w:sz w:val="20"/>
          <w:szCs w:val="20"/>
        </w:rPr>
        <w:lastRenderedPageBreak/>
        <w:t xml:space="preserve">Nationale veiligheid is wel uitsluitend de verantwoordelijkheid van de lidstaten, </w:t>
      </w:r>
      <w:r w:rsidR="0072422A">
        <w:rPr>
          <w:rFonts w:ascii="Verdana" w:hAnsi="Verdana"/>
          <w:sz w:val="20"/>
          <w:szCs w:val="20"/>
        </w:rPr>
        <w:t xml:space="preserve">het </w:t>
      </w:r>
      <w:r w:rsidRPr="005A08CD" w:rsidR="005A2512">
        <w:rPr>
          <w:rFonts w:ascii="Verdana" w:hAnsi="Verdana"/>
          <w:sz w:val="20"/>
          <w:szCs w:val="20"/>
        </w:rPr>
        <w:t>V</w:t>
      </w:r>
      <w:r w:rsidR="005A2512">
        <w:rPr>
          <w:rFonts w:ascii="Verdana" w:hAnsi="Verdana"/>
          <w:sz w:val="20"/>
          <w:szCs w:val="20"/>
        </w:rPr>
        <w:t>oorzitter</w:t>
      </w:r>
      <w:r w:rsidR="0072422A">
        <w:rPr>
          <w:rFonts w:ascii="Verdana" w:hAnsi="Verdana"/>
          <w:sz w:val="20"/>
          <w:szCs w:val="20"/>
        </w:rPr>
        <w:t>schap</w:t>
      </w:r>
      <w:r w:rsidRPr="005A08CD" w:rsidR="005A2512">
        <w:rPr>
          <w:rFonts w:ascii="Verdana" w:hAnsi="Verdana"/>
          <w:sz w:val="20"/>
          <w:szCs w:val="20"/>
        </w:rPr>
        <w:t xml:space="preserve"> </w:t>
      </w:r>
      <w:r w:rsidRPr="005A08CD" w:rsidR="00474AD1">
        <w:rPr>
          <w:rFonts w:ascii="Verdana" w:hAnsi="Verdana"/>
          <w:sz w:val="20"/>
          <w:szCs w:val="20"/>
        </w:rPr>
        <w:t>verw</w:t>
      </w:r>
      <w:r w:rsidR="0072422A">
        <w:rPr>
          <w:rFonts w:ascii="Verdana" w:hAnsi="Verdana"/>
          <w:sz w:val="20"/>
          <w:szCs w:val="20"/>
        </w:rPr>
        <w:t>ees</w:t>
      </w:r>
      <w:r w:rsidRPr="005A08CD" w:rsidR="00474AD1">
        <w:rPr>
          <w:rFonts w:ascii="Verdana" w:hAnsi="Verdana"/>
          <w:sz w:val="20"/>
          <w:szCs w:val="20"/>
        </w:rPr>
        <w:t xml:space="preserve"> naar art. 4.2 VEU en art. 73 VWEU.</w:t>
      </w:r>
    </w:p>
    <w:p w:rsidRPr="005A08CD" w:rsidR="00474AD1" w:rsidP="00474AD1" w:rsidRDefault="00474AD1">
      <w:pPr>
        <w:pStyle w:val="Geenafstand"/>
        <w:rPr>
          <w:rFonts w:ascii="Verdana" w:hAnsi="Verdana"/>
          <w:sz w:val="20"/>
          <w:szCs w:val="20"/>
        </w:rPr>
      </w:pPr>
    </w:p>
    <w:p w:rsidRPr="005A08CD" w:rsidR="00474AD1" w:rsidP="00474AD1" w:rsidRDefault="0072422A">
      <w:pPr>
        <w:pStyle w:val="Geenafstand"/>
        <w:rPr>
          <w:rFonts w:ascii="Verdana" w:hAnsi="Verdana"/>
          <w:sz w:val="20"/>
          <w:szCs w:val="20"/>
        </w:rPr>
      </w:pPr>
      <w:r w:rsidRPr="0072422A">
        <w:rPr>
          <w:rFonts w:ascii="Verdana" w:hAnsi="Verdana"/>
          <w:sz w:val="20"/>
          <w:szCs w:val="20"/>
        </w:rPr>
        <w:t xml:space="preserve">De </w:t>
      </w:r>
      <w:r w:rsidRPr="0072422A" w:rsidR="00594721">
        <w:rPr>
          <w:rFonts w:ascii="Verdana" w:hAnsi="Verdana"/>
          <w:sz w:val="20"/>
          <w:szCs w:val="20"/>
        </w:rPr>
        <w:t>Commissie</w:t>
      </w:r>
      <w:r w:rsidRPr="005A08CD" w:rsidR="00474AD1">
        <w:rPr>
          <w:rFonts w:ascii="Verdana" w:hAnsi="Verdana"/>
          <w:b/>
          <w:sz w:val="20"/>
          <w:szCs w:val="20"/>
        </w:rPr>
        <w:t xml:space="preserve"> </w:t>
      </w:r>
      <w:r w:rsidR="00B4306F">
        <w:rPr>
          <w:rFonts w:ascii="Verdana" w:hAnsi="Verdana"/>
          <w:sz w:val="20"/>
          <w:szCs w:val="20"/>
        </w:rPr>
        <w:t>stond</w:t>
      </w:r>
      <w:r w:rsidRPr="005A08CD" w:rsidR="00474AD1">
        <w:rPr>
          <w:rFonts w:ascii="Verdana" w:hAnsi="Verdana"/>
          <w:sz w:val="20"/>
          <w:szCs w:val="20"/>
        </w:rPr>
        <w:t xml:space="preserve"> ook stil bij de aanslag in S</w:t>
      </w:r>
      <w:r>
        <w:rPr>
          <w:rFonts w:ascii="Verdana" w:hAnsi="Verdana"/>
          <w:sz w:val="20"/>
          <w:szCs w:val="20"/>
        </w:rPr>
        <w:t>ousse</w:t>
      </w:r>
      <w:r w:rsidRPr="005A08CD" w:rsidR="00474AD1">
        <w:rPr>
          <w:rFonts w:ascii="Verdana" w:hAnsi="Verdana"/>
          <w:sz w:val="20"/>
          <w:szCs w:val="20"/>
        </w:rPr>
        <w:t xml:space="preserve">, waarbij, nu 10 jaar na de aanslag in Londen, de meeste slachtoffers Brits waren. </w:t>
      </w:r>
      <w:r>
        <w:rPr>
          <w:rFonts w:ascii="Verdana" w:hAnsi="Verdana"/>
          <w:sz w:val="20"/>
          <w:szCs w:val="20"/>
        </w:rPr>
        <w:t xml:space="preserve">De Commissie </w:t>
      </w:r>
      <w:r w:rsidRPr="005A08CD" w:rsidR="00474AD1">
        <w:rPr>
          <w:rFonts w:ascii="Verdana" w:hAnsi="Verdana"/>
          <w:sz w:val="20"/>
          <w:szCs w:val="20"/>
        </w:rPr>
        <w:t>w</w:t>
      </w:r>
      <w:r>
        <w:rPr>
          <w:rFonts w:ascii="Verdana" w:hAnsi="Verdana"/>
          <w:sz w:val="20"/>
          <w:szCs w:val="20"/>
        </w:rPr>
        <w:t>ees</w:t>
      </w:r>
      <w:r w:rsidRPr="005A08CD" w:rsidR="00474AD1">
        <w:rPr>
          <w:rFonts w:ascii="Verdana" w:hAnsi="Verdana"/>
          <w:sz w:val="20"/>
          <w:szCs w:val="20"/>
        </w:rPr>
        <w:t xml:space="preserve"> op</w:t>
      </w:r>
      <w:r w:rsidR="00941B94">
        <w:rPr>
          <w:rFonts w:ascii="Verdana" w:hAnsi="Verdana"/>
          <w:sz w:val="20"/>
          <w:szCs w:val="20"/>
        </w:rPr>
        <w:t xml:space="preserve"> het belang van</w:t>
      </w:r>
      <w:r w:rsidRPr="005A08CD" w:rsidR="00474AD1">
        <w:rPr>
          <w:rFonts w:ascii="Verdana" w:hAnsi="Verdana"/>
          <w:sz w:val="20"/>
          <w:szCs w:val="20"/>
        </w:rPr>
        <w:t xml:space="preserve"> de EU als provider van informatiesystemen, met </w:t>
      </w:r>
      <w:r>
        <w:rPr>
          <w:rFonts w:ascii="Verdana" w:hAnsi="Verdana"/>
          <w:sz w:val="20"/>
          <w:szCs w:val="20"/>
        </w:rPr>
        <w:t xml:space="preserve">lidstaten </w:t>
      </w:r>
      <w:r w:rsidRPr="005A08CD" w:rsidR="00474AD1">
        <w:rPr>
          <w:rFonts w:ascii="Verdana" w:hAnsi="Verdana"/>
          <w:sz w:val="20"/>
          <w:szCs w:val="20"/>
        </w:rPr>
        <w:t xml:space="preserve">die hun onderlinge samenwerking op CT moeten organiseren. EUROJUST en EUROPOL zijn daarbij </w:t>
      </w:r>
      <w:r>
        <w:rPr>
          <w:rFonts w:ascii="Verdana" w:hAnsi="Verdana"/>
          <w:sz w:val="20"/>
          <w:szCs w:val="20"/>
        </w:rPr>
        <w:t xml:space="preserve">een </w:t>
      </w:r>
      <w:r w:rsidRPr="005A08CD" w:rsidR="00474AD1">
        <w:rPr>
          <w:rFonts w:ascii="Verdana" w:hAnsi="Verdana"/>
          <w:sz w:val="20"/>
          <w:szCs w:val="20"/>
        </w:rPr>
        <w:t xml:space="preserve">belangrijke </w:t>
      </w:r>
      <w:r>
        <w:rPr>
          <w:rFonts w:ascii="Verdana" w:hAnsi="Verdana"/>
          <w:sz w:val="20"/>
          <w:szCs w:val="20"/>
        </w:rPr>
        <w:t>spil</w:t>
      </w:r>
      <w:r w:rsidRPr="005A08CD" w:rsidR="00474AD1">
        <w:rPr>
          <w:rFonts w:ascii="Verdana" w:hAnsi="Verdana"/>
          <w:sz w:val="20"/>
          <w:szCs w:val="20"/>
        </w:rPr>
        <w:t xml:space="preserve"> voor justitie resp</w:t>
      </w:r>
      <w:r>
        <w:rPr>
          <w:rFonts w:ascii="Verdana" w:hAnsi="Verdana"/>
          <w:sz w:val="20"/>
          <w:szCs w:val="20"/>
        </w:rPr>
        <w:t>ectievelijk</w:t>
      </w:r>
      <w:r w:rsidRPr="005A08CD" w:rsidR="00474AD1">
        <w:rPr>
          <w:rFonts w:ascii="Verdana" w:hAnsi="Verdana"/>
          <w:sz w:val="20"/>
          <w:szCs w:val="20"/>
        </w:rPr>
        <w:t xml:space="preserve"> politie. </w:t>
      </w:r>
      <w:r>
        <w:rPr>
          <w:rFonts w:ascii="Verdana" w:hAnsi="Verdana"/>
          <w:sz w:val="20"/>
          <w:szCs w:val="20"/>
        </w:rPr>
        <w:t xml:space="preserve">De Commissie </w:t>
      </w:r>
      <w:r w:rsidRPr="005A08CD" w:rsidR="00474AD1">
        <w:rPr>
          <w:rFonts w:ascii="Verdana" w:hAnsi="Verdana"/>
          <w:sz w:val="20"/>
          <w:szCs w:val="20"/>
        </w:rPr>
        <w:t>ondersteunt het CT-center van Europol, het nieuwe mandaat van Europol zal de verantwoordelijkheden van de L</w:t>
      </w:r>
      <w:r>
        <w:rPr>
          <w:rFonts w:ascii="Verdana" w:hAnsi="Verdana"/>
          <w:sz w:val="20"/>
          <w:szCs w:val="20"/>
        </w:rPr>
        <w:t>idstaten</w:t>
      </w:r>
      <w:r w:rsidRPr="005A08CD" w:rsidR="00474AD1">
        <w:rPr>
          <w:rFonts w:ascii="Verdana" w:hAnsi="Verdana"/>
          <w:sz w:val="20"/>
          <w:szCs w:val="20"/>
        </w:rPr>
        <w:t xml:space="preserve"> op nationale veiligheid niet doorkruisen, noch die van </w:t>
      </w:r>
      <w:r w:rsidR="004045D6">
        <w:rPr>
          <w:rFonts w:ascii="Verdana" w:hAnsi="Verdana"/>
          <w:sz w:val="20"/>
          <w:szCs w:val="20"/>
        </w:rPr>
        <w:t xml:space="preserve">het EU </w:t>
      </w:r>
      <w:r w:rsidRPr="004045D6" w:rsidR="004045D6">
        <w:rPr>
          <w:rFonts w:ascii="Verdana" w:hAnsi="Verdana"/>
          <w:i/>
          <w:sz w:val="20"/>
          <w:szCs w:val="20"/>
        </w:rPr>
        <w:t>Intelligence Centre</w:t>
      </w:r>
      <w:r w:rsidR="004045D6">
        <w:rPr>
          <w:rFonts w:ascii="Verdana" w:hAnsi="Verdana"/>
          <w:sz w:val="20"/>
          <w:szCs w:val="20"/>
        </w:rPr>
        <w:t xml:space="preserve"> (</w:t>
      </w:r>
      <w:r w:rsidRPr="005A08CD" w:rsidR="00474AD1">
        <w:rPr>
          <w:rFonts w:ascii="Verdana" w:hAnsi="Verdana"/>
          <w:sz w:val="20"/>
          <w:szCs w:val="20"/>
        </w:rPr>
        <w:t>INTCEN</w:t>
      </w:r>
      <w:r w:rsidR="004045D6">
        <w:rPr>
          <w:rFonts w:ascii="Verdana" w:hAnsi="Verdana"/>
          <w:sz w:val="20"/>
          <w:szCs w:val="20"/>
        </w:rPr>
        <w:t>)</w:t>
      </w:r>
      <w:r w:rsidRPr="005A08CD" w:rsidR="00474AD1">
        <w:rPr>
          <w:rFonts w:ascii="Verdana" w:hAnsi="Verdana"/>
          <w:sz w:val="20"/>
          <w:szCs w:val="20"/>
        </w:rPr>
        <w:t>. De goede samenwerking tussen EUROPOL en INTCEN,</w:t>
      </w:r>
      <w:r w:rsidR="004045D6">
        <w:rPr>
          <w:rFonts w:ascii="Verdana" w:hAnsi="Verdana"/>
          <w:sz w:val="20"/>
          <w:szCs w:val="20"/>
        </w:rPr>
        <w:t xml:space="preserve"> en</w:t>
      </w:r>
      <w:r w:rsidRPr="005A08CD" w:rsidR="00474AD1">
        <w:rPr>
          <w:rFonts w:ascii="Verdana" w:hAnsi="Verdana"/>
          <w:sz w:val="20"/>
          <w:szCs w:val="20"/>
        </w:rPr>
        <w:t xml:space="preserve"> in bredere zin die tussen </w:t>
      </w:r>
      <w:r w:rsidR="004045D6">
        <w:rPr>
          <w:rFonts w:ascii="Verdana" w:hAnsi="Verdana"/>
          <w:sz w:val="20"/>
          <w:szCs w:val="20"/>
        </w:rPr>
        <w:t>inlichtingendiensten</w:t>
      </w:r>
      <w:r w:rsidR="007168F3">
        <w:rPr>
          <w:rFonts w:ascii="Verdana" w:hAnsi="Verdana"/>
          <w:sz w:val="20"/>
          <w:szCs w:val="20"/>
        </w:rPr>
        <w:t xml:space="preserve"> en politie</w:t>
      </w:r>
      <w:r w:rsidR="004045D6">
        <w:rPr>
          <w:rFonts w:ascii="Verdana" w:hAnsi="Verdana"/>
          <w:sz w:val="20"/>
          <w:szCs w:val="20"/>
        </w:rPr>
        <w:t>,</w:t>
      </w:r>
      <w:r w:rsidR="007168F3">
        <w:rPr>
          <w:rFonts w:ascii="Verdana" w:hAnsi="Verdana"/>
          <w:sz w:val="20"/>
          <w:szCs w:val="20"/>
        </w:rPr>
        <w:t xml:space="preserve"> </w:t>
      </w:r>
      <w:r w:rsidRPr="005A08CD" w:rsidR="004045D6">
        <w:rPr>
          <w:rFonts w:ascii="Verdana" w:hAnsi="Verdana"/>
          <w:sz w:val="20"/>
          <w:szCs w:val="20"/>
        </w:rPr>
        <w:t>is toe te juichen</w:t>
      </w:r>
    </w:p>
    <w:p w:rsidR="00941B94" w:rsidP="00474AD1" w:rsidRDefault="00941B94">
      <w:pPr>
        <w:pStyle w:val="Geenafstand"/>
        <w:rPr>
          <w:rFonts w:ascii="Verdana" w:hAnsi="Verdana"/>
          <w:sz w:val="20"/>
          <w:szCs w:val="20"/>
        </w:rPr>
      </w:pPr>
    </w:p>
    <w:p w:rsidR="00474AD1" w:rsidP="00474AD1" w:rsidRDefault="004045D6">
      <w:pPr>
        <w:pStyle w:val="Geenafstand"/>
        <w:rPr>
          <w:rFonts w:ascii="Verdana" w:hAnsi="Verdana"/>
          <w:sz w:val="20"/>
          <w:szCs w:val="20"/>
        </w:rPr>
      </w:pPr>
      <w:r>
        <w:rPr>
          <w:rFonts w:ascii="Verdana" w:hAnsi="Verdana"/>
          <w:sz w:val="20"/>
          <w:szCs w:val="20"/>
        </w:rPr>
        <w:t>Het h</w:t>
      </w:r>
      <w:r w:rsidRPr="005A08CD" w:rsidR="00474AD1">
        <w:rPr>
          <w:rFonts w:ascii="Verdana" w:hAnsi="Verdana"/>
          <w:sz w:val="20"/>
          <w:szCs w:val="20"/>
        </w:rPr>
        <w:t xml:space="preserve">oofd </w:t>
      </w:r>
      <w:r>
        <w:rPr>
          <w:rFonts w:ascii="Verdana" w:hAnsi="Verdana"/>
          <w:sz w:val="20"/>
          <w:szCs w:val="20"/>
        </w:rPr>
        <w:t xml:space="preserve">van de </w:t>
      </w:r>
      <w:r w:rsidRPr="005A08CD" w:rsidR="00474AD1">
        <w:rPr>
          <w:rFonts w:ascii="Verdana" w:hAnsi="Verdana"/>
          <w:sz w:val="20"/>
          <w:szCs w:val="20"/>
        </w:rPr>
        <w:t xml:space="preserve">dienst </w:t>
      </w:r>
      <w:r>
        <w:rPr>
          <w:rFonts w:ascii="Verdana" w:hAnsi="Verdana"/>
          <w:sz w:val="20"/>
          <w:szCs w:val="20"/>
        </w:rPr>
        <w:t xml:space="preserve">van </w:t>
      </w:r>
      <w:r w:rsidRPr="004045D6" w:rsidR="00FA6E21">
        <w:rPr>
          <w:rFonts w:ascii="Verdana" w:hAnsi="Verdana"/>
          <w:sz w:val="20"/>
          <w:szCs w:val="20"/>
        </w:rPr>
        <w:t>Luxemburg</w:t>
      </w:r>
      <w:r w:rsidRPr="004045D6" w:rsidR="00423B15">
        <w:rPr>
          <w:rFonts w:ascii="Verdana" w:hAnsi="Verdana"/>
          <w:sz w:val="20"/>
          <w:szCs w:val="20"/>
        </w:rPr>
        <w:t xml:space="preserve"> (SRE)</w:t>
      </w:r>
      <w:r w:rsidR="00941B94">
        <w:rPr>
          <w:rFonts w:ascii="Verdana" w:hAnsi="Verdana"/>
          <w:b/>
          <w:sz w:val="20"/>
          <w:szCs w:val="20"/>
        </w:rPr>
        <w:t xml:space="preserve"> </w:t>
      </w:r>
      <w:r w:rsidR="00106F45">
        <w:rPr>
          <w:rFonts w:ascii="Verdana" w:hAnsi="Verdana"/>
          <w:sz w:val="20"/>
          <w:szCs w:val="20"/>
        </w:rPr>
        <w:t>leid</w:t>
      </w:r>
      <w:r w:rsidR="005A2512">
        <w:rPr>
          <w:rFonts w:ascii="Verdana" w:hAnsi="Verdana"/>
          <w:sz w:val="20"/>
          <w:szCs w:val="20"/>
        </w:rPr>
        <w:t>de</w:t>
      </w:r>
      <w:r w:rsidR="00106F45">
        <w:rPr>
          <w:rFonts w:ascii="Verdana" w:hAnsi="Verdana"/>
          <w:sz w:val="20"/>
          <w:szCs w:val="20"/>
        </w:rPr>
        <w:t xml:space="preserve"> de presentaties in en </w:t>
      </w:r>
      <w:r w:rsidR="005A2512">
        <w:rPr>
          <w:rFonts w:ascii="Verdana" w:hAnsi="Verdana"/>
          <w:sz w:val="20"/>
          <w:szCs w:val="20"/>
        </w:rPr>
        <w:t>gaf</w:t>
      </w:r>
      <w:r w:rsidRPr="005A08CD" w:rsidR="005A2512">
        <w:rPr>
          <w:rFonts w:ascii="Verdana" w:hAnsi="Verdana"/>
          <w:sz w:val="20"/>
          <w:szCs w:val="20"/>
        </w:rPr>
        <w:t xml:space="preserve"> </w:t>
      </w:r>
      <w:r w:rsidRPr="005A08CD" w:rsidR="00474AD1">
        <w:rPr>
          <w:rFonts w:ascii="Verdana" w:hAnsi="Verdana"/>
          <w:sz w:val="20"/>
          <w:szCs w:val="20"/>
        </w:rPr>
        <w:t>aan dat meer transparantie van de kant van de CTG vandaag de bedoeling is, een eerste keer in de JBZ-raad sinds de oprichting van de CTG in 2001, met 6 diensthoofden aanwezig: het belang van inlichtingenwerk, de karakteristieken ervan maar ook de behoeften van diensten zullen aan de orde komen. Hoewel het hier gaat om nationale competentie kan de EU wel helpen</w:t>
      </w:r>
      <w:r w:rsidR="005A2512">
        <w:rPr>
          <w:rFonts w:ascii="Verdana" w:hAnsi="Verdana"/>
          <w:sz w:val="20"/>
          <w:szCs w:val="20"/>
        </w:rPr>
        <w:t>, aldus het hoofd SRE</w:t>
      </w:r>
      <w:r w:rsidRPr="005A08CD" w:rsidR="00474AD1">
        <w:rPr>
          <w:rFonts w:ascii="Verdana" w:hAnsi="Verdana"/>
          <w:sz w:val="20"/>
          <w:szCs w:val="20"/>
        </w:rPr>
        <w:t xml:space="preserve">. </w:t>
      </w:r>
    </w:p>
    <w:p w:rsidRPr="005A08CD" w:rsidR="004045D6" w:rsidP="00474AD1" w:rsidRDefault="004045D6">
      <w:pPr>
        <w:pStyle w:val="Geenafstand"/>
        <w:rPr>
          <w:rFonts w:ascii="Verdana" w:hAnsi="Verdana"/>
          <w:i/>
          <w:sz w:val="20"/>
          <w:szCs w:val="20"/>
        </w:rPr>
      </w:pPr>
    </w:p>
    <w:p w:rsidRPr="005A08CD" w:rsidR="00474AD1" w:rsidRDefault="00A63E1F">
      <w:pPr>
        <w:pStyle w:val="Geenafstand"/>
        <w:rPr>
          <w:rFonts w:ascii="Verdana" w:hAnsi="Verdana"/>
          <w:sz w:val="20"/>
          <w:szCs w:val="20"/>
        </w:rPr>
      </w:pPr>
      <w:r>
        <w:rPr>
          <w:rFonts w:ascii="Verdana" w:hAnsi="Verdana"/>
          <w:sz w:val="20"/>
          <w:szCs w:val="20"/>
        </w:rPr>
        <w:t xml:space="preserve">De </w:t>
      </w:r>
      <w:r w:rsidR="004019A4">
        <w:rPr>
          <w:rFonts w:ascii="Verdana" w:hAnsi="Verdana"/>
          <w:sz w:val="20"/>
          <w:szCs w:val="20"/>
        </w:rPr>
        <w:t>hoofden van inlichtingen</w:t>
      </w:r>
      <w:r>
        <w:rPr>
          <w:rFonts w:ascii="Verdana" w:hAnsi="Verdana"/>
          <w:sz w:val="20"/>
          <w:szCs w:val="20"/>
        </w:rPr>
        <w:t>diensten van F</w:t>
      </w:r>
      <w:r w:rsidR="004045D6">
        <w:rPr>
          <w:rFonts w:ascii="Verdana" w:hAnsi="Verdana"/>
          <w:sz w:val="20"/>
          <w:szCs w:val="20"/>
        </w:rPr>
        <w:t>rankrijk</w:t>
      </w:r>
      <w:r>
        <w:rPr>
          <w:rFonts w:ascii="Verdana" w:hAnsi="Verdana"/>
          <w:sz w:val="20"/>
          <w:szCs w:val="20"/>
        </w:rPr>
        <w:t>, D</w:t>
      </w:r>
      <w:r w:rsidR="004045D6">
        <w:rPr>
          <w:rFonts w:ascii="Verdana" w:hAnsi="Verdana"/>
          <w:sz w:val="20"/>
          <w:szCs w:val="20"/>
        </w:rPr>
        <w:t>uitsland</w:t>
      </w:r>
      <w:r>
        <w:rPr>
          <w:rFonts w:ascii="Verdana" w:hAnsi="Verdana"/>
          <w:sz w:val="20"/>
          <w:szCs w:val="20"/>
        </w:rPr>
        <w:t>, V</w:t>
      </w:r>
      <w:r w:rsidR="004045D6">
        <w:rPr>
          <w:rFonts w:ascii="Verdana" w:hAnsi="Verdana"/>
          <w:sz w:val="20"/>
          <w:szCs w:val="20"/>
        </w:rPr>
        <w:t>erenigd Koninkrijk</w:t>
      </w:r>
      <w:r>
        <w:rPr>
          <w:rFonts w:ascii="Verdana" w:hAnsi="Verdana"/>
          <w:sz w:val="20"/>
          <w:szCs w:val="20"/>
        </w:rPr>
        <w:t xml:space="preserve">, </w:t>
      </w:r>
      <w:r w:rsidR="004045D6">
        <w:rPr>
          <w:rFonts w:ascii="Verdana" w:hAnsi="Verdana"/>
          <w:sz w:val="20"/>
          <w:szCs w:val="20"/>
        </w:rPr>
        <w:t>Nederland</w:t>
      </w:r>
      <w:r>
        <w:rPr>
          <w:rFonts w:ascii="Verdana" w:hAnsi="Verdana"/>
          <w:sz w:val="20"/>
          <w:szCs w:val="20"/>
        </w:rPr>
        <w:t xml:space="preserve"> en </w:t>
      </w:r>
      <w:r w:rsidR="004045D6">
        <w:rPr>
          <w:rFonts w:ascii="Verdana" w:hAnsi="Verdana"/>
          <w:sz w:val="20"/>
          <w:szCs w:val="20"/>
        </w:rPr>
        <w:t xml:space="preserve">Spanje </w:t>
      </w:r>
      <w:r w:rsidR="005A2512">
        <w:rPr>
          <w:rFonts w:ascii="Verdana" w:hAnsi="Verdana"/>
          <w:sz w:val="20"/>
          <w:szCs w:val="20"/>
        </w:rPr>
        <w:t xml:space="preserve">wezen </w:t>
      </w:r>
      <w:r>
        <w:rPr>
          <w:rFonts w:ascii="Verdana" w:hAnsi="Verdana"/>
          <w:sz w:val="20"/>
          <w:szCs w:val="20"/>
        </w:rPr>
        <w:t xml:space="preserve">op de volgende zaken. </w:t>
      </w:r>
      <w:r w:rsidRPr="005A08CD" w:rsidR="00474AD1">
        <w:rPr>
          <w:rFonts w:ascii="Verdana" w:hAnsi="Verdana"/>
          <w:sz w:val="20"/>
          <w:szCs w:val="20"/>
        </w:rPr>
        <w:t xml:space="preserve"> De taak van de diensten is preventie, iets niet kunnen voorkomen wordt als een mislukking b</w:t>
      </w:r>
      <w:r>
        <w:rPr>
          <w:rFonts w:ascii="Verdana" w:hAnsi="Verdana"/>
          <w:sz w:val="20"/>
          <w:szCs w:val="20"/>
        </w:rPr>
        <w:t xml:space="preserve">eschouwd. </w:t>
      </w:r>
      <w:r w:rsidR="004019A4">
        <w:rPr>
          <w:rFonts w:ascii="Verdana" w:hAnsi="Verdana"/>
          <w:sz w:val="20"/>
          <w:szCs w:val="20"/>
        </w:rPr>
        <w:t>De diensten</w:t>
      </w:r>
      <w:r w:rsidRPr="005A08CD" w:rsidR="004019A4">
        <w:rPr>
          <w:rFonts w:ascii="Verdana" w:hAnsi="Verdana"/>
          <w:sz w:val="20"/>
          <w:szCs w:val="20"/>
        </w:rPr>
        <w:t xml:space="preserve"> </w:t>
      </w:r>
      <w:r w:rsidR="004045D6">
        <w:rPr>
          <w:rFonts w:ascii="Verdana" w:hAnsi="Verdana"/>
          <w:sz w:val="20"/>
          <w:szCs w:val="20"/>
        </w:rPr>
        <w:t xml:space="preserve">hebben </w:t>
      </w:r>
      <w:r w:rsidRPr="005A08CD" w:rsidR="004019A4">
        <w:rPr>
          <w:rFonts w:ascii="Verdana" w:hAnsi="Verdana"/>
          <w:sz w:val="20"/>
          <w:szCs w:val="20"/>
        </w:rPr>
        <w:t>meer aanslagen voorkomen dan</w:t>
      </w:r>
      <w:r w:rsidR="004045D6">
        <w:rPr>
          <w:rFonts w:ascii="Verdana" w:hAnsi="Verdana"/>
          <w:sz w:val="20"/>
          <w:szCs w:val="20"/>
        </w:rPr>
        <w:t xml:space="preserve"> dat</w:t>
      </w:r>
      <w:r w:rsidRPr="005A08CD" w:rsidR="004019A4">
        <w:rPr>
          <w:rFonts w:ascii="Verdana" w:hAnsi="Verdana"/>
          <w:sz w:val="20"/>
          <w:szCs w:val="20"/>
        </w:rPr>
        <w:t xml:space="preserve"> er geeffectueerd zijn. CT is </w:t>
      </w:r>
      <w:r w:rsidR="007869C5">
        <w:rPr>
          <w:rFonts w:ascii="Verdana" w:hAnsi="Verdana"/>
          <w:sz w:val="20"/>
          <w:szCs w:val="20"/>
        </w:rPr>
        <w:t xml:space="preserve">een zaak op nationaal niveau en </w:t>
      </w:r>
      <w:r w:rsidRPr="005A08CD" w:rsidR="004019A4">
        <w:rPr>
          <w:rFonts w:ascii="Verdana" w:hAnsi="Verdana"/>
          <w:sz w:val="20"/>
          <w:szCs w:val="20"/>
        </w:rPr>
        <w:t xml:space="preserve">in essentie een </w:t>
      </w:r>
      <w:r w:rsidRPr="004045D6" w:rsidR="004019A4">
        <w:rPr>
          <w:rFonts w:ascii="Verdana" w:hAnsi="Verdana"/>
          <w:i/>
          <w:sz w:val="20"/>
          <w:szCs w:val="20"/>
        </w:rPr>
        <w:t>intelligence</w:t>
      </w:r>
      <w:r w:rsidRPr="004045D6" w:rsidR="004045D6">
        <w:rPr>
          <w:rFonts w:ascii="Verdana" w:hAnsi="Verdana"/>
          <w:i/>
          <w:sz w:val="20"/>
          <w:szCs w:val="20"/>
        </w:rPr>
        <w:t>-</w:t>
      </w:r>
      <w:r w:rsidRPr="004045D6" w:rsidR="004019A4">
        <w:rPr>
          <w:rFonts w:ascii="Verdana" w:hAnsi="Verdana"/>
          <w:i/>
          <w:sz w:val="20"/>
          <w:szCs w:val="20"/>
        </w:rPr>
        <w:t>led</w:t>
      </w:r>
      <w:r w:rsidRPr="005A08CD" w:rsidR="004019A4">
        <w:rPr>
          <w:rFonts w:ascii="Verdana" w:hAnsi="Verdana"/>
          <w:sz w:val="20"/>
          <w:szCs w:val="20"/>
        </w:rPr>
        <w:t xml:space="preserve"> operatie vanuit de primaire taak van overheden om zijn burgers te beschermen. </w:t>
      </w:r>
    </w:p>
    <w:p w:rsidRPr="005A08CD" w:rsidR="00474AD1" w:rsidP="00474AD1" w:rsidRDefault="00474AD1">
      <w:pPr>
        <w:pStyle w:val="Geenafstand"/>
        <w:rPr>
          <w:rFonts w:ascii="Verdana" w:hAnsi="Verdana"/>
          <w:sz w:val="20"/>
          <w:szCs w:val="20"/>
        </w:rPr>
      </w:pPr>
    </w:p>
    <w:p w:rsidR="00E256A0" w:rsidP="00474AD1" w:rsidRDefault="00750D01">
      <w:pPr>
        <w:pStyle w:val="Geenafstand"/>
        <w:rPr>
          <w:rFonts w:ascii="Verdana" w:hAnsi="Verdana"/>
          <w:sz w:val="20"/>
          <w:szCs w:val="20"/>
        </w:rPr>
      </w:pPr>
      <w:r>
        <w:rPr>
          <w:rFonts w:ascii="Verdana" w:hAnsi="Verdana"/>
          <w:sz w:val="20"/>
          <w:szCs w:val="20"/>
        </w:rPr>
        <w:t xml:space="preserve">De Nederlandse dienst (AIVD) </w:t>
      </w:r>
      <w:r w:rsidR="004019A4">
        <w:rPr>
          <w:rFonts w:ascii="Verdana" w:hAnsi="Verdana"/>
          <w:sz w:val="20"/>
          <w:szCs w:val="20"/>
        </w:rPr>
        <w:t xml:space="preserve">merkte </w:t>
      </w:r>
      <w:r w:rsidR="00E256A0">
        <w:rPr>
          <w:rFonts w:ascii="Verdana" w:hAnsi="Verdana"/>
          <w:sz w:val="20"/>
          <w:szCs w:val="20"/>
        </w:rPr>
        <w:t xml:space="preserve">hierbij </w:t>
      </w:r>
      <w:r w:rsidR="004019A4">
        <w:rPr>
          <w:rFonts w:ascii="Verdana" w:hAnsi="Verdana"/>
          <w:sz w:val="20"/>
          <w:szCs w:val="20"/>
        </w:rPr>
        <w:t xml:space="preserve">op </w:t>
      </w:r>
      <w:r>
        <w:rPr>
          <w:rFonts w:ascii="Verdana" w:hAnsi="Verdana"/>
          <w:sz w:val="20"/>
          <w:szCs w:val="20"/>
        </w:rPr>
        <w:t>dat d</w:t>
      </w:r>
      <w:r w:rsidRPr="005A08CD" w:rsidR="00474AD1">
        <w:rPr>
          <w:rFonts w:ascii="Verdana" w:hAnsi="Verdana"/>
          <w:sz w:val="20"/>
          <w:szCs w:val="20"/>
        </w:rPr>
        <w:t>e interne dimensie va</w:t>
      </w:r>
      <w:r>
        <w:rPr>
          <w:rFonts w:ascii="Verdana" w:hAnsi="Verdana"/>
          <w:sz w:val="20"/>
          <w:szCs w:val="20"/>
        </w:rPr>
        <w:t xml:space="preserve">n de terroristische dreiging </w:t>
      </w:r>
      <w:r w:rsidRPr="005A08CD" w:rsidR="00474AD1">
        <w:rPr>
          <w:rFonts w:ascii="Verdana" w:hAnsi="Verdana"/>
          <w:sz w:val="20"/>
          <w:szCs w:val="20"/>
        </w:rPr>
        <w:t xml:space="preserve">niet meer los </w:t>
      </w:r>
      <w:r>
        <w:rPr>
          <w:rFonts w:ascii="Verdana" w:hAnsi="Verdana"/>
          <w:sz w:val="20"/>
          <w:szCs w:val="20"/>
        </w:rPr>
        <w:t xml:space="preserve">is </w:t>
      </w:r>
      <w:r w:rsidRPr="005A08CD" w:rsidR="00474AD1">
        <w:rPr>
          <w:rFonts w:ascii="Verdana" w:hAnsi="Verdana"/>
          <w:sz w:val="20"/>
          <w:szCs w:val="20"/>
        </w:rPr>
        <w:t xml:space="preserve">te zien van de externe dimensie. Diensten hebben een traditie van samenwerking, waarbij continu aan versterking van die samenwerking is en wordt gewerkt. </w:t>
      </w:r>
      <w:r w:rsidR="007869C5">
        <w:rPr>
          <w:rFonts w:ascii="Verdana" w:hAnsi="Verdana"/>
          <w:sz w:val="20"/>
          <w:szCs w:val="20"/>
        </w:rPr>
        <w:t>Informatie over reisbewegingen</w:t>
      </w:r>
      <w:r w:rsidRPr="005A08CD" w:rsidR="00474AD1">
        <w:rPr>
          <w:rFonts w:ascii="Verdana" w:hAnsi="Verdana"/>
          <w:sz w:val="20"/>
          <w:szCs w:val="20"/>
        </w:rPr>
        <w:t xml:space="preserve"> is in het licht van de huidige dreiging van groot belang. </w:t>
      </w:r>
    </w:p>
    <w:p w:rsidR="00E256A0" w:rsidP="00474AD1" w:rsidRDefault="00E256A0">
      <w:pPr>
        <w:pStyle w:val="Geenafstand"/>
        <w:rPr>
          <w:rFonts w:ascii="Verdana" w:hAnsi="Verdana"/>
          <w:sz w:val="20"/>
          <w:szCs w:val="20"/>
        </w:rPr>
      </w:pPr>
    </w:p>
    <w:p w:rsidRPr="005A08CD" w:rsidR="00474AD1" w:rsidP="00474AD1" w:rsidRDefault="004019A4">
      <w:pPr>
        <w:pStyle w:val="Geenafstand"/>
        <w:rPr>
          <w:rFonts w:ascii="Verdana" w:hAnsi="Verdana"/>
          <w:sz w:val="20"/>
          <w:szCs w:val="20"/>
        </w:rPr>
      </w:pPr>
      <w:r>
        <w:rPr>
          <w:rFonts w:ascii="Verdana" w:hAnsi="Verdana"/>
          <w:sz w:val="20"/>
          <w:szCs w:val="20"/>
        </w:rPr>
        <w:t xml:space="preserve">Voorts </w:t>
      </w:r>
      <w:r w:rsidR="00E256A0">
        <w:rPr>
          <w:rFonts w:ascii="Verdana" w:hAnsi="Verdana"/>
          <w:sz w:val="20"/>
          <w:szCs w:val="20"/>
        </w:rPr>
        <w:t xml:space="preserve">werd </w:t>
      </w:r>
      <w:r>
        <w:rPr>
          <w:rFonts w:ascii="Verdana" w:hAnsi="Verdana"/>
          <w:sz w:val="20"/>
          <w:szCs w:val="20"/>
        </w:rPr>
        <w:t xml:space="preserve">in het bijzonder gewezen op </w:t>
      </w:r>
      <w:r w:rsidRPr="005A08CD">
        <w:rPr>
          <w:rFonts w:ascii="Verdana" w:hAnsi="Verdana"/>
          <w:sz w:val="20"/>
          <w:szCs w:val="20"/>
        </w:rPr>
        <w:t xml:space="preserve">radicalisering via het internet en dreiging van terugkeerders. De situatie is nu veel ernstiger dan ten tijde van </w:t>
      </w:r>
      <w:r>
        <w:rPr>
          <w:rFonts w:ascii="Verdana" w:hAnsi="Verdana"/>
          <w:sz w:val="20"/>
          <w:szCs w:val="20"/>
        </w:rPr>
        <w:t>de oorlog in Afghanistan</w:t>
      </w:r>
    </w:p>
    <w:p w:rsidRPr="005A08CD" w:rsidR="00474AD1" w:rsidP="00474AD1" w:rsidRDefault="00474AD1">
      <w:pPr>
        <w:pStyle w:val="Geenafstand"/>
        <w:rPr>
          <w:rFonts w:ascii="Verdana" w:hAnsi="Verdana"/>
          <w:sz w:val="20"/>
          <w:szCs w:val="20"/>
        </w:rPr>
      </w:pPr>
      <w:r w:rsidRPr="005A08CD">
        <w:rPr>
          <w:rFonts w:ascii="Verdana" w:hAnsi="Verdana"/>
          <w:sz w:val="20"/>
          <w:szCs w:val="20"/>
        </w:rPr>
        <w:t xml:space="preserve">Tot slot </w:t>
      </w:r>
      <w:r w:rsidR="00E256A0">
        <w:rPr>
          <w:rFonts w:ascii="Verdana" w:hAnsi="Verdana"/>
          <w:sz w:val="20"/>
          <w:szCs w:val="20"/>
        </w:rPr>
        <w:t xml:space="preserve">werd </w:t>
      </w:r>
      <w:r w:rsidRPr="005A08CD">
        <w:rPr>
          <w:rFonts w:ascii="Verdana" w:hAnsi="Verdana"/>
          <w:sz w:val="20"/>
          <w:szCs w:val="20"/>
        </w:rPr>
        <w:t xml:space="preserve">een stevige waarschuwing </w:t>
      </w:r>
      <w:r w:rsidR="00E256A0">
        <w:rPr>
          <w:rFonts w:ascii="Verdana" w:hAnsi="Verdana"/>
          <w:sz w:val="20"/>
          <w:szCs w:val="20"/>
        </w:rPr>
        <w:t xml:space="preserve">gegeven </w:t>
      </w:r>
      <w:r w:rsidRPr="005A08CD">
        <w:rPr>
          <w:rFonts w:ascii="Verdana" w:hAnsi="Verdana"/>
          <w:sz w:val="20"/>
          <w:szCs w:val="20"/>
        </w:rPr>
        <w:t xml:space="preserve">over de situatie in Libië. Toenemende controle </w:t>
      </w:r>
      <w:r w:rsidR="00582F16">
        <w:rPr>
          <w:rFonts w:ascii="Verdana" w:hAnsi="Verdana"/>
          <w:sz w:val="20"/>
          <w:szCs w:val="20"/>
        </w:rPr>
        <w:t xml:space="preserve">door DAESH </w:t>
      </w:r>
      <w:r w:rsidRPr="005A08CD">
        <w:rPr>
          <w:rFonts w:ascii="Verdana" w:hAnsi="Verdana"/>
          <w:sz w:val="20"/>
          <w:szCs w:val="20"/>
        </w:rPr>
        <w:t xml:space="preserve">in Libië is zeer gevaarlijk vanwege de nabijheid </w:t>
      </w:r>
      <w:r w:rsidR="00582F16">
        <w:rPr>
          <w:rFonts w:ascii="Verdana" w:hAnsi="Verdana"/>
          <w:sz w:val="20"/>
          <w:szCs w:val="20"/>
        </w:rPr>
        <w:t>van</w:t>
      </w:r>
      <w:r w:rsidRPr="005A08CD">
        <w:rPr>
          <w:rFonts w:ascii="Verdana" w:hAnsi="Verdana"/>
          <w:sz w:val="20"/>
          <w:szCs w:val="20"/>
        </w:rPr>
        <w:t xml:space="preserve"> Europa en vanwege mogelijk </w:t>
      </w:r>
      <w:r w:rsidR="00582F16">
        <w:rPr>
          <w:rFonts w:ascii="Verdana" w:hAnsi="Verdana"/>
          <w:sz w:val="20"/>
          <w:szCs w:val="20"/>
        </w:rPr>
        <w:t>mis</w:t>
      </w:r>
      <w:r w:rsidRPr="005A08CD">
        <w:rPr>
          <w:rFonts w:ascii="Verdana" w:hAnsi="Verdana"/>
          <w:sz w:val="20"/>
          <w:szCs w:val="20"/>
        </w:rPr>
        <w:t xml:space="preserve">bruik </w:t>
      </w:r>
      <w:r w:rsidR="00582F16">
        <w:rPr>
          <w:rFonts w:ascii="Verdana" w:hAnsi="Verdana"/>
          <w:sz w:val="20"/>
          <w:szCs w:val="20"/>
        </w:rPr>
        <w:t xml:space="preserve">door DAESH </w:t>
      </w:r>
      <w:r w:rsidRPr="005A08CD">
        <w:rPr>
          <w:rFonts w:ascii="Verdana" w:hAnsi="Verdana"/>
          <w:sz w:val="20"/>
          <w:szCs w:val="20"/>
        </w:rPr>
        <w:t>van vluchtelingenstromen naar Europa. Dat er meer aanslagen komen is zeker, de vraag is waar en wanneer.</w:t>
      </w:r>
    </w:p>
    <w:p w:rsidRPr="005A08CD" w:rsidR="00474AD1" w:rsidP="00474AD1" w:rsidRDefault="00474AD1">
      <w:pPr>
        <w:pStyle w:val="Geenafstand"/>
        <w:rPr>
          <w:rFonts w:ascii="Verdana" w:hAnsi="Verdana"/>
          <w:sz w:val="20"/>
          <w:szCs w:val="20"/>
        </w:rPr>
      </w:pPr>
    </w:p>
    <w:p w:rsidRPr="005A08CD" w:rsidR="00474AD1" w:rsidP="00474AD1" w:rsidRDefault="003774BE">
      <w:pPr>
        <w:pStyle w:val="Geenafstand"/>
        <w:rPr>
          <w:rFonts w:ascii="Verdana" w:hAnsi="Verdana"/>
          <w:sz w:val="20"/>
          <w:szCs w:val="20"/>
        </w:rPr>
      </w:pPr>
      <w:r w:rsidRPr="00582F16">
        <w:rPr>
          <w:rFonts w:ascii="Verdana" w:hAnsi="Verdana"/>
          <w:sz w:val="20"/>
          <w:szCs w:val="20"/>
        </w:rPr>
        <w:t>Lidstaten</w:t>
      </w:r>
      <w:r w:rsidRPr="005A08CD" w:rsidR="00474AD1">
        <w:rPr>
          <w:rFonts w:ascii="Verdana" w:hAnsi="Verdana"/>
          <w:sz w:val="20"/>
          <w:szCs w:val="20"/>
        </w:rPr>
        <w:t xml:space="preserve"> </w:t>
      </w:r>
      <w:r w:rsidR="00C7644B">
        <w:rPr>
          <w:rFonts w:ascii="Verdana" w:hAnsi="Verdana"/>
          <w:sz w:val="20"/>
          <w:szCs w:val="20"/>
        </w:rPr>
        <w:t xml:space="preserve">die </w:t>
      </w:r>
      <w:r w:rsidRPr="005A08CD" w:rsidR="00474AD1">
        <w:rPr>
          <w:rFonts w:ascii="Verdana" w:hAnsi="Verdana"/>
          <w:sz w:val="20"/>
          <w:szCs w:val="20"/>
        </w:rPr>
        <w:t>hierna</w:t>
      </w:r>
      <w:r w:rsidR="00C7644B">
        <w:rPr>
          <w:rFonts w:ascii="Verdana" w:hAnsi="Verdana"/>
          <w:sz w:val="20"/>
          <w:szCs w:val="20"/>
        </w:rPr>
        <w:t xml:space="preserve"> het woord namen</w:t>
      </w:r>
      <w:r w:rsidR="00582F16">
        <w:rPr>
          <w:rFonts w:ascii="Verdana" w:hAnsi="Verdana"/>
          <w:sz w:val="20"/>
          <w:szCs w:val="20"/>
        </w:rPr>
        <w:t>,</w:t>
      </w:r>
      <w:r w:rsidRPr="005A08CD" w:rsidR="00474AD1">
        <w:rPr>
          <w:rFonts w:ascii="Verdana" w:hAnsi="Verdana"/>
          <w:sz w:val="20"/>
          <w:szCs w:val="20"/>
        </w:rPr>
        <w:t xml:space="preserve"> stelden expliciet de briefing en discussie o</w:t>
      </w:r>
      <w:r w:rsidR="00582F16">
        <w:rPr>
          <w:rFonts w:ascii="Verdana" w:hAnsi="Verdana"/>
          <w:sz w:val="20"/>
          <w:szCs w:val="20"/>
        </w:rPr>
        <w:t>ver</w:t>
      </w:r>
      <w:r w:rsidRPr="005A08CD" w:rsidR="00474AD1">
        <w:rPr>
          <w:rFonts w:ascii="Verdana" w:hAnsi="Verdana"/>
          <w:sz w:val="20"/>
          <w:szCs w:val="20"/>
        </w:rPr>
        <w:t xml:space="preserve"> CT te waarderen en dit te willen voortzetten (in bv. een volgende informele Raad).</w:t>
      </w:r>
      <w:r>
        <w:rPr>
          <w:rFonts w:ascii="Verdana" w:hAnsi="Verdana"/>
          <w:sz w:val="20"/>
          <w:szCs w:val="20"/>
        </w:rPr>
        <w:t xml:space="preserve"> </w:t>
      </w:r>
      <w:r w:rsidR="00432095">
        <w:rPr>
          <w:rFonts w:ascii="Verdana" w:hAnsi="Verdana"/>
          <w:sz w:val="20"/>
          <w:szCs w:val="20"/>
        </w:rPr>
        <w:t xml:space="preserve">Deze </w:t>
      </w:r>
      <w:r w:rsidR="00582F16">
        <w:rPr>
          <w:rFonts w:ascii="Verdana" w:hAnsi="Verdana"/>
          <w:sz w:val="20"/>
          <w:szCs w:val="20"/>
        </w:rPr>
        <w:t>l</w:t>
      </w:r>
      <w:r w:rsidR="00432095">
        <w:rPr>
          <w:rFonts w:ascii="Verdana" w:hAnsi="Verdana"/>
          <w:sz w:val="20"/>
          <w:szCs w:val="20"/>
        </w:rPr>
        <w:t xml:space="preserve">idstaten benadrukten verder het belang van </w:t>
      </w:r>
      <w:r w:rsidRPr="005A08CD" w:rsidR="00432095">
        <w:rPr>
          <w:rFonts w:ascii="Verdana" w:hAnsi="Verdana"/>
          <w:sz w:val="20"/>
          <w:szCs w:val="20"/>
        </w:rPr>
        <w:t>multilaterale samenwerking tussen diensten. Dit type samenwerking moet nog verder worden ontwikkeld met als blijvende basis de bilaterale samenwerking. Vanuit de EU moet er serviceverl</w:t>
      </w:r>
      <w:r w:rsidR="00432095">
        <w:rPr>
          <w:rFonts w:ascii="Verdana" w:hAnsi="Verdana"/>
          <w:sz w:val="20"/>
          <w:szCs w:val="20"/>
        </w:rPr>
        <w:t xml:space="preserve">ening zijn, </w:t>
      </w:r>
      <w:r w:rsidR="00582F16">
        <w:rPr>
          <w:rFonts w:ascii="Verdana" w:hAnsi="Verdana"/>
          <w:sz w:val="20"/>
          <w:szCs w:val="20"/>
        </w:rPr>
        <w:t xml:space="preserve">er moeten </w:t>
      </w:r>
      <w:r w:rsidR="00432095">
        <w:rPr>
          <w:rFonts w:ascii="Verdana" w:hAnsi="Verdana"/>
          <w:sz w:val="20"/>
          <w:szCs w:val="20"/>
        </w:rPr>
        <w:t>geen blokkades</w:t>
      </w:r>
      <w:r w:rsidR="00582F16">
        <w:rPr>
          <w:rFonts w:ascii="Verdana" w:hAnsi="Verdana"/>
          <w:sz w:val="20"/>
          <w:szCs w:val="20"/>
        </w:rPr>
        <w:t xml:space="preserve"> worden opgeworpen</w:t>
      </w:r>
      <w:r w:rsidR="00432095">
        <w:rPr>
          <w:rFonts w:ascii="Verdana" w:hAnsi="Verdana"/>
          <w:sz w:val="20"/>
          <w:szCs w:val="20"/>
        </w:rPr>
        <w:t xml:space="preserve">. Ook </w:t>
      </w:r>
      <w:r w:rsidR="00582F16">
        <w:rPr>
          <w:rFonts w:ascii="Verdana" w:hAnsi="Verdana"/>
          <w:sz w:val="20"/>
          <w:szCs w:val="20"/>
        </w:rPr>
        <w:t xml:space="preserve">pleitten lidstaten </w:t>
      </w:r>
      <w:r w:rsidR="00432095">
        <w:rPr>
          <w:rFonts w:ascii="Verdana" w:hAnsi="Verdana"/>
          <w:sz w:val="20"/>
          <w:szCs w:val="20"/>
        </w:rPr>
        <w:t>voor</w:t>
      </w:r>
      <w:r w:rsidRPr="005A08CD" w:rsidR="00432095">
        <w:rPr>
          <w:rFonts w:ascii="Verdana" w:hAnsi="Verdana"/>
          <w:sz w:val="20"/>
          <w:szCs w:val="20"/>
        </w:rPr>
        <w:t xml:space="preserve"> samenwerking</w:t>
      </w:r>
      <w:r w:rsidR="00432095">
        <w:rPr>
          <w:rFonts w:ascii="Verdana" w:hAnsi="Verdana"/>
          <w:sz w:val="20"/>
          <w:szCs w:val="20"/>
        </w:rPr>
        <w:t xml:space="preserve"> tussen veiligheidsdiensten en </w:t>
      </w:r>
      <w:r w:rsidRPr="005A08CD" w:rsidR="00432095">
        <w:rPr>
          <w:rFonts w:ascii="Verdana" w:hAnsi="Verdana"/>
          <w:sz w:val="20"/>
          <w:szCs w:val="20"/>
        </w:rPr>
        <w:t xml:space="preserve">politie </w:t>
      </w:r>
      <w:r w:rsidR="00432095">
        <w:rPr>
          <w:rFonts w:ascii="Verdana" w:hAnsi="Verdana"/>
          <w:sz w:val="20"/>
          <w:szCs w:val="20"/>
        </w:rPr>
        <w:t xml:space="preserve">en </w:t>
      </w:r>
      <w:r w:rsidR="00582F16">
        <w:rPr>
          <w:rFonts w:ascii="Verdana" w:hAnsi="Verdana"/>
          <w:sz w:val="20"/>
          <w:szCs w:val="20"/>
        </w:rPr>
        <w:t xml:space="preserve">werd </w:t>
      </w:r>
      <w:r w:rsidRPr="005A08CD" w:rsidR="00432095">
        <w:rPr>
          <w:rFonts w:ascii="Verdana" w:hAnsi="Verdana"/>
          <w:sz w:val="20"/>
          <w:szCs w:val="20"/>
        </w:rPr>
        <w:t xml:space="preserve">een pleidooi </w:t>
      </w:r>
      <w:r w:rsidR="00582F16">
        <w:rPr>
          <w:rFonts w:ascii="Verdana" w:hAnsi="Verdana"/>
          <w:sz w:val="20"/>
          <w:szCs w:val="20"/>
        </w:rPr>
        <w:t xml:space="preserve">gehouden </w:t>
      </w:r>
      <w:r w:rsidRPr="005A08CD" w:rsidR="00432095">
        <w:rPr>
          <w:rFonts w:ascii="Verdana" w:hAnsi="Verdana"/>
          <w:sz w:val="20"/>
          <w:szCs w:val="20"/>
        </w:rPr>
        <w:t>voor het voeden van Europol.</w:t>
      </w:r>
      <w:r w:rsidR="00432095">
        <w:rPr>
          <w:rFonts w:ascii="Verdana" w:hAnsi="Verdana"/>
          <w:sz w:val="20"/>
          <w:szCs w:val="20"/>
        </w:rPr>
        <w:t xml:space="preserve"> </w:t>
      </w:r>
      <w:r w:rsidR="00163829">
        <w:rPr>
          <w:rFonts w:ascii="Verdana" w:hAnsi="Verdana"/>
          <w:sz w:val="20"/>
          <w:szCs w:val="20"/>
        </w:rPr>
        <w:t>Ook pleit</w:t>
      </w:r>
      <w:r w:rsidR="004019A4">
        <w:rPr>
          <w:rFonts w:ascii="Verdana" w:hAnsi="Verdana"/>
          <w:sz w:val="20"/>
          <w:szCs w:val="20"/>
        </w:rPr>
        <w:t>t</w:t>
      </w:r>
      <w:r w:rsidR="00163829">
        <w:rPr>
          <w:rFonts w:ascii="Verdana" w:hAnsi="Verdana"/>
          <w:sz w:val="20"/>
          <w:szCs w:val="20"/>
        </w:rPr>
        <w:t xml:space="preserve">en enkele </w:t>
      </w:r>
      <w:r w:rsidR="00582F16">
        <w:rPr>
          <w:rFonts w:ascii="Verdana" w:hAnsi="Verdana"/>
          <w:sz w:val="20"/>
          <w:szCs w:val="20"/>
        </w:rPr>
        <w:t>l</w:t>
      </w:r>
      <w:r w:rsidR="00163829">
        <w:rPr>
          <w:rFonts w:ascii="Verdana" w:hAnsi="Verdana"/>
          <w:sz w:val="20"/>
          <w:szCs w:val="20"/>
        </w:rPr>
        <w:t xml:space="preserve">idstaten voor een snelle aanname van de </w:t>
      </w:r>
      <w:r w:rsidR="004019A4">
        <w:rPr>
          <w:rFonts w:ascii="Verdana" w:hAnsi="Verdana"/>
          <w:sz w:val="20"/>
          <w:szCs w:val="20"/>
        </w:rPr>
        <w:t>EU-</w:t>
      </w:r>
      <w:r w:rsidR="00163829">
        <w:rPr>
          <w:rFonts w:ascii="Verdana" w:hAnsi="Verdana"/>
          <w:sz w:val="20"/>
          <w:szCs w:val="20"/>
        </w:rPr>
        <w:t xml:space="preserve">PNR richtlijn. </w:t>
      </w:r>
      <w:r w:rsidR="002C1709">
        <w:rPr>
          <w:rFonts w:ascii="Verdana" w:hAnsi="Verdana"/>
          <w:sz w:val="20"/>
          <w:szCs w:val="20"/>
        </w:rPr>
        <w:t>Tenslotte w</w:t>
      </w:r>
      <w:r w:rsidR="00582F16">
        <w:rPr>
          <w:rFonts w:ascii="Verdana" w:hAnsi="Verdana"/>
          <w:sz w:val="20"/>
          <w:szCs w:val="20"/>
        </w:rPr>
        <w:t>erd</w:t>
      </w:r>
      <w:r w:rsidR="002C1709">
        <w:rPr>
          <w:rFonts w:ascii="Verdana" w:hAnsi="Verdana"/>
          <w:sz w:val="20"/>
          <w:szCs w:val="20"/>
        </w:rPr>
        <w:t xml:space="preserve"> ook gepleit voor een </w:t>
      </w:r>
      <w:r w:rsidRPr="005A08CD" w:rsidR="00474AD1">
        <w:rPr>
          <w:rFonts w:ascii="Verdana" w:hAnsi="Verdana"/>
          <w:sz w:val="20"/>
          <w:szCs w:val="20"/>
        </w:rPr>
        <w:t xml:space="preserve">beter gebruik van technologie, het </w:t>
      </w:r>
      <w:r w:rsidR="004019A4">
        <w:rPr>
          <w:rFonts w:ascii="Verdana" w:hAnsi="Verdana"/>
          <w:sz w:val="20"/>
          <w:szCs w:val="20"/>
        </w:rPr>
        <w:t xml:space="preserve">aanpakken van het </w:t>
      </w:r>
      <w:r w:rsidRPr="005A08CD" w:rsidR="00474AD1">
        <w:rPr>
          <w:rFonts w:ascii="Verdana" w:hAnsi="Verdana"/>
          <w:sz w:val="20"/>
          <w:szCs w:val="20"/>
        </w:rPr>
        <w:t>probleem van encryptie en de</w:t>
      </w:r>
      <w:r w:rsidR="004019A4">
        <w:rPr>
          <w:rFonts w:ascii="Verdana" w:hAnsi="Verdana"/>
          <w:sz w:val="20"/>
          <w:szCs w:val="20"/>
        </w:rPr>
        <w:t xml:space="preserve"> versterking van de</w:t>
      </w:r>
      <w:r w:rsidRPr="005A08CD" w:rsidR="00474AD1">
        <w:rPr>
          <w:rFonts w:ascii="Verdana" w:hAnsi="Verdana"/>
          <w:sz w:val="20"/>
          <w:szCs w:val="20"/>
        </w:rPr>
        <w:t xml:space="preserve"> rol van EUROPOL. </w:t>
      </w:r>
    </w:p>
    <w:p w:rsidR="002C1709" w:rsidP="00474AD1" w:rsidRDefault="002C1709">
      <w:pPr>
        <w:pStyle w:val="Geenafstand"/>
        <w:rPr>
          <w:rFonts w:ascii="Verdana" w:hAnsi="Verdana"/>
          <w:sz w:val="20"/>
          <w:szCs w:val="20"/>
        </w:rPr>
      </w:pPr>
    </w:p>
    <w:p w:rsidRPr="005A08CD" w:rsidR="00474AD1" w:rsidP="00474AD1" w:rsidRDefault="002C1709">
      <w:pPr>
        <w:pStyle w:val="Geenafstand"/>
        <w:rPr>
          <w:rFonts w:ascii="Verdana" w:hAnsi="Verdana"/>
          <w:sz w:val="20"/>
          <w:szCs w:val="20"/>
        </w:rPr>
      </w:pPr>
      <w:r w:rsidRPr="00B71D4F">
        <w:rPr>
          <w:rFonts w:ascii="Verdana" w:hAnsi="Verdana"/>
          <w:sz w:val="20"/>
          <w:szCs w:val="20"/>
        </w:rPr>
        <w:t>LIBE</w:t>
      </w:r>
      <w:r w:rsidR="00B71D4F">
        <w:rPr>
          <w:rFonts w:ascii="Verdana" w:hAnsi="Verdana"/>
          <w:sz w:val="20"/>
          <w:szCs w:val="20"/>
        </w:rPr>
        <w:t>-</w:t>
      </w:r>
      <w:r w:rsidRPr="00B71D4F">
        <w:rPr>
          <w:rFonts w:ascii="Verdana" w:hAnsi="Verdana"/>
          <w:sz w:val="20"/>
          <w:szCs w:val="20"/>
        </w:rPr>
        <w:t xml:space="preserve">voorzitter van het EP de heer </w:t>
      </w:r>
      <w:r w:rsidRPr="00B71D4F" w:rsidR="00474AD1">
        <w:rPr>
          <w:rFonts w:ascii="Verdana" w:hAnsi="Verdana"/>
          <w:sz w:val="20"/>
          <w:szCs w:val="20"/>
        </w:rPr>
        <w:t>Moraes</w:t>
      </w:r>
      <w:r>
        <w:rPr>
          <w:rFonts w:ascii="Verdana" w:hAnsi="Verdana"/>
          <w:b/>
          <w:sz w:val="20"/>
          <w:szCs w:val="20"/>
        </w:rPr>
        <w:t xml:space="preserve"> </w:t>
      </w:r>
      <w:r w:rsidR="004019A4">
        <w:rPr>
          <w:rFonts w:ascii="Verdana" w:hAnsi="Verdana"/>
          <w:sz w:val="20"/>
          <w:szCs w:val="20"/>
        </w:rPr>
        <w:t>gaf aan dat het hier inderdaad gaat om</w:t>
      </w:r>
      <w:r w:rsidRPr="005A08CD" w:rsidR="00474AD1">
        <w:rPr>
          <w:rFonts w:ascii="Verdana" w:hAnsi="Verdana"/>
          <w:sz w:val="20"/>
          <w:szCs w:val="20"/>
        </w:rPr>
        <w:t xml:space="preserve"> een nationale verantwoordelijkheid maar ook over gemeenschappelijke problematiek. </w:t>
      </w:r>
      <w:r w:rsidR="004019A4">
        <w:rPr>
          <w:rFonts w:ascii="Verdana" w:hAnsi="Verdana"/>
          <w:sz w:val="20"/>
          <w:szCs w:val="20"/>
        </w:rPr>
        <w:t xml:space="preserve">Moraes </w:t>
      </w:r>
      <w:r w:rsidR="00B71D4F">
        <w:rPr>
          <w:rFonts w:ascii="Verdana" w:hAnsi="Verdana"/>
          <w:sz w:val="20"/>
          <w:szCs w:val="20"/>
        </w:rPr>
        <w:t xml:space="preserve">gaf aan </w:t>
      </w:r>
      <w:r w:rsidR="004019A4">
        <w:rPr>
          <w:rFonts w:ascii="Verdana" w:hAnsi="Verdana"/>
          <w:sz w:val="20"/>
          <w:szCs w:val="20"/>
        </w:rPr>
        <w:t xml:space="preserve">het pleidooi van enkele </w:t>
      </w:r>
      <w:r w:rsidR="00B71D4F">
        <w:rPr>
          <w:rFonts w:ascii="Verdana" w:hAnsi="Verdana"/>
          <w:sz w:val="20"/>
          <w:szCs w:val="20"/>
        </w:rPr>
        <w:t>l</w:t>
      </w:r>
      <w:r w:rsidR="004019A4">
        <w:rPr>
          <w:rFonts w:ascii="Verdana" w:hAnsi="Verdana"/>
          <w:sz w:val="20"/>
          <w:szCs w:val="20"/>
        </w:rPr>
        <w:t xml:space="preserve">idstaten voor snelle aanname van de EU-PNR richtlijn door EP en Raad te hebben </w:t>
      </w:r>
      <w:r w:rsidR="00B71D4F">
        <w:rPr>
          <w:rFonts w:ascii="Verdana" w:hAnsi="Verdana"/>
          <w:sz w:val="20"/>
          <w:szCs w:val="20"/>
        </w:rPr>
        <w:t xml:space="preserve">gehoord </w:t>
      </w:r>
      <w:r w:rsidR="004019A4">
        <w:rPr>
          <w:rFonts w:ascii="Verdana" w:hAnsi="Verdana"/>
          <w:sz w:val="20"/>
          <w:szCs w:val="20"/>
        </w:rPr>
        <w:t>en</w:t>
      </w:r>
      <w:r w:rsidRPr="005A08CD" w:rsidR="00474AD1">
        <w:rPr>
          <w:rFonts w:ascii="Verdana" w:hAnsi="Verdana"/>
          <w:sz w:val="20"/>
          <w:szCs w:val="20"/>
        </w:rPr>
        <w:t xml:space="preserve"> stel</w:t>
      </w:r>
      <w:r w:rsidR="004019A4">
        <w:rPr>
          <w:rFonts w:ascii="Verdana" w:hAnsi="Verdana"/>
          <w:sz w:val="20"/>
          <w:szCs w:val="20"/>
        </w:rPr>
        <w:t>de</w:t>
      </w:r>
      <w:r w:rsidRPr="005A08CD" w:rsidR="00474AD1">
        <w:rPr>
          <w:rFonts w:ascii="Verdana" w:hAnsi="Verdana"/>
          <w:sz w:val="20"/>
          <w:szCs w:val="20"/>
        </w:rPr>
        <w:t xml:space="preserve"> te hopen dat de Raad en </w:t>
      </w:r>
      <w:r w:rsidR="00B71D4F">
        <w:rPr>
          <w:rFonts w:ascii="Verdana" w:hAnsi="Verdana"/>
          <w:sz w:val="20"/>
          <w:szCs w:val="20"/>
        </w:rPr>
        <w:t xml:space="preserve">het </w:t>
      </w:r>
      <w:r w:rsidRPr="005A08CD" w:rsidR="00474AD1">
        <w:rPr>
          <w:rFonts w:ascii="Verdana" w:hAnsi="Verdana"/>
          <w:sz w:val="20"/>
          <w:szCs w:val="20"/>
        </w:rPr>
        <w:t xml:space="preserve">EP </w:t>
      </w:r>
      <w:r w:rsidR="00847FC7">
        <w:rPr>
          <w:rFonts w:ascii="Verdana" w:hAnsi="Verdana"/>
          <w:sz w:val="20"/>
          <w:szCs w:val="20"/>
        </w:rPr>
        <w:t>de onderhandelingen</w:t>
      </w:r>
      <w:r w:rsidR="00AB03A3">
        <w:rPr>
          <w:rFonts w:ascii="Verdana" w:hAnsi="Verdana"/>
          <w:sz w:val="20"/>
          <w:szCs w:val="20"/>
        </w:rPr>
        <w:t xml:space="preserve"> voor eind 2015 kunnen afronden</w:t>
      </w:r>
      <w:r>
        <w:rPr>
          <w:rFonts w:ascii="Verdana" w:hAnsi="Verdana"/>
          <w:sz w:val="20"/>
          <w:szCs w:val="20"/>
        </w:rPr>
        <w:t>. De</w:t>
      </w:r>
      <w:r w:rsidRPr="005A08CD" w:rsidR="00474AD1">
        <w:rPr>
          <w:rFonts w:ascii="Verdana" w:hAnsi="Verdana"/>
          <w:sz w:val="20"/>
          <w:szCs w:val="20"/>
        </w:rPr>
        <w:t xml:space="preserve"> problematiek </w:t>
      </w:r>
      <w:r>
        <w:rPr>
          <w:rFonts w:ascii="Verdana" w:hAnsi="Verdana"/>
          <w:sz w:val="20"/>
          <w:szCs w:val="20"/>
        </w:rPr>
        <w:t xml:space="preserve">van </w:t>
      </w:r>
      <w:r w:rsidRPr="00B71D4F">
        <w:rPr>
          <w:rFonts w:ascii="Verdana" w:hAnsi="Verdana"/>
          <w:i/>
          <w:sz w:val="20"/>
          <w:szCs w:val="20"/>
        </w:rPr>
        <w:t>foreign fighters</w:t>
      </w:r>
      <w:r>
        <w:rPr>
          <w:rFonts w:ascii="Verdana" w:hAnsi="Verdana"/>
          <w:sz w:val="20"/>
          <w:szCs w:val="20"/>
        </w:rPr>
        <w:t xml:space="preserve"> </w:t>
      </w:r>
      <w:r w:rsidRPr="005A08CD" w:rsidR="00474AD1">
        <w:rPr>
          <w:rFonts w:ascii="Verdana" w:hAnsi="Verdana"/>
          <w:sz w:val="20"/>
          <w:szCs w:val="20"/>
        </w:rPr>
        <w:t xml:space="preserve">en radicalisering hebben in ieder geval de volle aandacht van het EP. </w:t>
      </w:r>
    </w:p>
    <w:p w:rsidR="002C1709" w:rsidP="00474AD1" w:rsidRDefault="002C1709">
      <w:pPr>
        <w:pStyle w:val="Geenafstand"/>
        <w:rPr>
          <w:rFonts w:ascii="Verdana" w:hAnsi="Verdana"/>
          <w:b/>
          <w:sz w:val="20"/>
          <w:szCs w:val="20"/>
        </w:rPr>
      </w:pPr>
    </w:p>
    <w:p w:rsidRPr="005A08CD" w:rsidR="00474AD1" w:rsidP="00474AD1" w:rsidRDefault="00B71D4F">
      <w:pPr>
        <w:pStyle w:val="Geenafstand"/>
        <w:rPr>
          <w:rFonts w:ascii="Verdana" w:hAnsi="Verdana"/>
          <w:sz w:val="20"/>
          <w:szCs w:val="20"/>
        </w:rPr>
      </w:pPr>
      <w:r w:rsidRPr="00B71D4F">
        <w:rPr>
          <w:rFonts w:ascii="Verdana" w:hAnsi="Verdana"/>
          <w:sz w:val="20"/>
          <w:szCs w:val="20"/>
        </w:rPr>
        <w:t xml:space="preserve">De </w:t>
      </w:r>
      <w:r w:rsidRPr="00B71D4F" w:rsidR="00474AD1">
        <w:rPr>
          <w:rFonts w:ascii="Verdana" w:hAnsi="Verdana"/>
          <w:sz w:val="20"/>
          <w:szCs w:val="20"/>
        </w:rPr>
        <w:t>C</w:t>
      </w:r>
      <w:r w:rsidRPr="00B71D4F" w:rsidR="002C1709">
        <w:rPr>
          <w:rFonts w:ascii="Verdana" w:hAnsi="Verdana"/>
          <w:sz w:val="20"/>
          <w:szCs w:val="20"/>
        </w:rPr>
        <w:t>o</w:t>
      </w:r>
      <w:r>
        <w:rPr>
          <w:rFonts w:ascii="Verdana" w:hAnsi="Verdana"/>
          <w:sz w:val="20"/>
          <w:szCs w:val="20"/>
        </w:rPr>
        <w:t>ntrat</w:t>
      </w:r>
      <w:r w:rsidRPr="00B71D4F" w:rsidR="002C1709">
        <w:rPr>
          <w:rFonts w:ascii="Verdana" w:hAnsi="Verdana"/>
          <w:sz w:val="20"/>
          <w:szCs w:val="20"/>
        </w:rPr>
        <w:t xml:space="preserve">errorisme </w:t>
      </w:r>
      <w:r w:rsidRPr="00B71D4F">
        <w:rPr>
          <w:rFonts w:ascii="Verdana" w:hAnsi="Verdana"/>
          <w:sz w:val="20"/>
          <w:szCs w:val="20"/>
        </w:rPr>
        <w:t>Coördinator</w:t>
      </w:r>
      <w:r w:rsidRPr="00B71D4F" w:rsidR="004019A4">
        <w:rPr>
          <w:rFonts w:ascii="Verdana" w:hAnsi="Verdana"/>
          <w:sz w:val="20"/>
          <w:szCs w:val="20"/>
        </w:rPr>
        <w:t xml:space="preserve"> (CTC)</w:t>
      </w:r>
      <w:r w:rsidRPr="00B71D4F" w:rsidR="00BF098B">
        <w:rPr>
          <w:rFonts w:ascii="Verdana" w:hAnsi="Verdana"/>
          <w:sz w:val="20"/>
          <w:szCs w:val="20"/>
        </w:rPr>
        <w:t xml:space="preserve"> benadrukt</w:t>
      </w:r>
      <w:r w:rsidRPr="00B71D4F" w:rsidR="004019A4">
        <w:rPr>
          <w:rFonts w:ascii="Verdana" w:hAnsi="Verdana"/>
          <w:sz w:val="20"/>
          <w:szCs w:val="20"/>
        </w:rPr>
        <w:t>e</w:t>
      </w:r>
      <w:r w:rsidR="00BF098B">
        <w:rPr>
          <w:rFonts w:ascii="Verdana" w:hAnsi="Verdana"/>
          <w:sz w:val="20"/>
          <w:szCs w:val="20"/>
        </w:rPr>
        <w:t xml:space="preserve"> dat</w:t>
      </w:r>
      <w:r w:rsidRPr="005A08CD" w:rsidR="00474AD1">
        <w:rPr>
          <w:rFonts w:ascii="Verdana" w:hAnsi="Verdana"/>
          <w:sz w:val="20"/>
          <w:szCs w:val="20"/>
        </w:rPr>
        <w:t xml:space="preserve"> de </w:t>
      </w:r>
      <w:r w:rsidR="00BF098B">
        <w:rPr>
          <w:rFonts w:ascii="Verdana" w:hAnsi="Verdana"/>
          <w:sz w:val="20"/>
          <w:szCs w:val="20"/>
        </w:rPr>
        <w:t xml:space="preserve">samenwerking tussen diensten </w:t>
      </w:r>
      <w:r w:rsidRPr="005A08CD" w:rsidR="00474AD1">
        <w:rPr>
          <w:rFonts w:ascii="Verdana" w:hAnsi="Verdana"/>
          <w:sz w:val="20"/>
          <w:szCs w:val="20"/>
        </w:rPr>
        <w:t>sedert 2001 enorm</w:t>
      </w:r>
      <w:r w:rsidR="00BF098B">
        <w:rPr>
          <w:rFonts w:ascii="Verdana" w:hAnsi="Verdana"/>
          <w:sz w:val="20"/>
          <w:szCs w:val="20"/>
        </w:rPr>
        <w:t xml:space="preserve"> is</w:t>
      </w:r>
      <w:r w:rsidRPr="005A08CD" w:rsidR="00474AD1">
        <w:rPr>
          <w:rFonts w:ascii="Verdana" w:hAnsi="Verdana"/>
          <w:sz w:val="20"/>
          <w:szCs w:val="20"/>
        </w:rPr>
        <w:t xml:space="preserve"> toegenomen, ook me</w:t>
      </w:r>
      <w:r w:rsidR="00BF098B">
        <w:rPr>
          <w:rFonts w:ascii="Verdana" w:hAnsi="Verdana"/>
          <w:sz w:val="20"/>
          <w:szCs w:val="20"/>
        </w:rPr>
        <w:t>t derde landen en</w:t>
      </w:r>
      <w:r w:rsidRPr="005A08CD" w:rsidR="00474AD1">
        <w:rPr>
          <w:rFonts w:ascii="Verdana" w:hAnsi="Verdana"/>
          <w:sz w:val="20"/>
          <w:szCs w:val="20"/>
        </w:rPr>
        <w:t xml:space="preserve"> tevens op nationaal niveau de samenwerking </w:t>
      </w:r>
      <w:r>
        <w:rPr>
          <w:rFonts w:ascii="Verdana" w:hAnsi="Verdana"/>
          <w:sz w:val="20"/>
          <w:szCs w:val="20"/>
        </w:rPr>
        <w:t xml:space="preserve">met de </w:t>
      </w:r>
      <w:r w:rsidRPr="005A08CD" w:rsidR="00474AD1">
        <w:rPr>
          <w:rFonts w:ascii="Verdana" w:hAnsi="Verdana"/>
          <w:sz w:val="20"/>
          <w:szCs w:val="20"/>
        </w:rPr>
        <w:t xml:space="preserve">politie. </w:t>
      </w:r>
      <w:r>
        <w:rPr>
          <w:rFonts w:ascii="Verdana" w:hAnsi="Verdana"/>
          <w:sz w:val="20"/>
          <w:szCs w:val="20"/>
        </w:rPr>
        <w:t>Hij r</w:t>
      </w:r>
      <w:r w:rsidRPr="005A08CD" w:rsidR="00474AD1">
        <w:rPr>
          <w:rFonts w:ascii="Verdana" w:hAnsi="Verdana"/>
          <w:sz w:val="20"/>
          <w:szCs w:val="20"/>
        </w:rPr>
        <w:t>e</w:t>
      </w:r>
      <w:r w:rsidR="00BF098B">
        <w:rPr>
          <w:rFonts w:ascii="Verdana" w:hAnsi="Verdana"/>
          <w:sz w:val="20"/>
          <w:szCs w:val="20"/>
        </w:rPr>
        <w:t>fereer</w:t>
      </w:r>
      <w:r w:rsidR="004019A4">
        <w:rPr>
          <w:rFonts w:ascii="Verdana" w:hAnsi="Verdana"/>
          <w:sz w:val="20"/>
          <w:szCs w:val="20"/>
        </w:rPr>
        <w:t>de</w:t>
      </w:r>
      <w:r>
        <w:rPr>
          <w:rFonts w:ascii="Verdana" w:hAnsi="Verdana"/>
          <w:sz w:val="20"/>
          <w:szCs w:val="20"/>
        </w:rPr>
        <w:t xml:space="preserve"> </w:t>
      </w:r>
      <w:r w:rsidR="00CF6EB0">
        <w:rPr>
          <w:rFonts w:ascii="Verdana" w:hAnsi="Verdana"/>
          <w:sz w:val="20"/>
          <w:szCs w:val="20"/>
        </w:rPr>
        <w:t xml:space="preserve">daarbij </w:t>
      </w:r>
      <w:r w:rsidR="00BF098B">
        <w:rPr>
          <w:rFonts w:ascii="Verdana" w:hAnsi="Verdana"/>
          <w:sz w:val="20"/>
          <w:szCs w:val="20"/>
        </w:rPr>
        <w:t xml:space="preserve">aan de opmerking </w:t>
      </w:r>
      <w:r w:rsidR="008A37E1">
        <w:rPr>
          <w:rFonts w:ascii="Verdana" w:hAnsi="Verdana"/>
          <w:sz w:val="20"/>
          <w:szCs w:val="20"/>
        </w:rPr>
        <w:t xml:space="preserve">van </w:t>
      </w:r>
      <w:r>
        <w:rPr>
          <w:rFonts w:ascii="Verdana" w:hAnsi="Verdana"/>
          <w:sz w:val="20"/>
          <w:szCs w:val="20"/>
        </w:rPr>
        <w:t>l</w:t>
      </w:r>
      <w:r w:rsidR="008A37E1">
        <w:rPr>
          <w:rFonts w:ascii="Verdana" w:hAnsi="Verdana"/>
          <w:sz w:val="20"/>
          <w:szCs w:val="20"/>
        </w:rPr>
        <w:t xml:space="preserve">idstaten </w:t>
      </w:r>
      <w:r w:rsidRPr="005A08CD" w:rsidR="00474AD1">
        <w:rPr>
          <w:rFonts w:ascii="Verdana" w:hAnsi="Verdana"/>
          <w:sz w:val="20"/>
          <w:szCs w:val="20"/>
        </w:rPr>
        <w:t xml:space="preserve">over bi- en multilaterale samenwerking. </w:t>
      </w:r>
      <w:r>
        <w:rPr>
          <w:rFonts w:ascii="Verdana" w:hAnsi="Verdana"/>
          <w:sz w:val="20"/>
          <w:szCs w:val="20"/>
        </w:rPr>
        <w:t xml:space="preserve">Hij wees </w:t>
      </w:r>
      <w:r w:rsidRPr="005A08CD" w:rsidR="00474AD1">
        <w:rPr>
          <w:rFonts w:ascii="Verdana" w:hAnsi="Verdana"/>
          <w:sz w:val="20"/>
          <w:szCs w:val="20"/>
        </w:rPr>
        <w:t>op de noodzaa</w:t>
      </w:r>
      <w:r w:rsidR="00BF098B">
        <w:rPr>
          <w:rFonts w:ascii="Verdana" w:hAnsi="Verdana"/>
          <w:sz w:val="20"/>
          <w:szCs w:val="20"/>
        </w:rPr>
        <w:t xml:space="preserve">k van </w:t>
      </w:r>
      <w:r w:rsidRPr="005A08CD" w:rsidR="00474AD1">
        <w:rPr>
          <w:rFonts w:ascii="Verdana" w:hAnsi="Verdana"/>
          <w:sz w:val="20"/>
          <w:szCs w:val="20"/>
        </w:rPr>
        <w:t>verstrek</w:t>
      </w:r>
      <w:r w:rsidR="00CF6EB0">
        <w:rPr>
          <w:rFonts w:ascii="Verdana" w:hAnsi="Verdana"/>
          <w:sz w:val="20"/>
          <w:szCs w:val="20"/>
        </w:rPr>
        <w:t>king van informatie aan EUROPOL.</w:t>
      </w:r>
      <w:r w:rsidRPr="005A08CD" w:rsidR="00474AD1">
        <w:rPr>
          <w:rFonts w:ascii="Verdana" w:hAnsi="Verdana"/>
          <w:sz w:val="20"/>
          <w:szCs w:val="20"/>
        </w:rPr>
        <w:t xml:space="preserve"> Verder</w:t>
      </w:r>
      <w:r w:rsidR="008A37E1">
        <w:rPr>
          <w:rFonts w:ascii="Verdana" w:hAnsi="Verdana"/>
          <w:sz w:val="20"/>
          <w:szCs w:val="20"/>
        </w:rPr>
        <w:t xml:space="preserve"> meld</w:t>
      </w:r>
      <w:r w:rsidR="004019A4">
        <w:rPr>
          <w:rFonts w:ascii="Verdana" w:hAnsi="Verdana"/>
          <w:sz w:val="20"/>
          <w:szCs w:val="20"/>
        </w:rPr>
        <w:t>de</w:t>
      </w:r>
      <w:r w:rsidR="008A37E1">
        <w:rPr>
          <w:rFonts w:ascii="Verdana" w:hAnsi="Verdana"/>
          <w:sz w:val="20"/>
          <w:szCs w:val="20"/>
        </w:rPr>
        <w:t xml:space="preserve"> hij m</w:t>
      </w:r>
      <w:r>
        <w:rPr>
          <w:rFonts w:ascii="Verdana" w:hAnsi="Verdana"/>
          <w:sz w:val="20"/>
          <w:szCs w:val="20"/>
        </w:rPr>
        <w:t xml:space="preserve">et betrekking tot </w:t>
      </w:r>
      <w:r w:rsidR="008A37E1">
        <w:rPr>
          <w:rFonts w:ascii="Verdana" w:hAnsi="Verdana"/>
          <w:sz w:val="20"/>
          <w:szCs w:val="20"/>
        </w:rPr>
        <w:t xml:space="preserve">de </w:t>
      </w:r>
      <w:r>
        <w:rPr>
          <w:rFonts w:ascii="Verdana" w:hAnsi="Verdana"/>
          <w:sz w:val="20"/>
          <w:szCs w:val="20"/>
        </w:rPr>
        <w:t xml:space="preserve">inzet op </w:t>
      </w:r>
      <w:r w:rsidR="008A37E1">
        <w:rPr>
          <w:rFonts w:ascii="Verdana" w:hAnsi="Verdana"/>
          <w:sz w:val="20"/>
          <w:szCs w:val="20"/>
        </w:rPr>
        <w:t>EU</w:t>
      </w:r>
      <w:r>
        <w:rPr>
          <w:rFonts w:ascii="Verdana" w:hAnsi="Verdana"/>
          <w:sz w:val="20"/>
          <w:szCs w:val="20"/>
        </w:rPr>
        <w:t>-niveau</w:t>
      </w:r>
      <w:r w:rsidR="008A37E1">
        <w:rPr>
          <w:rFonts w:ascii="Verdana" w:hAnsi="Verdana"/>
          <w:sz w:val="20"/>
          <w:szCs w:val="20"/>
        </w:rPr>
        <w:t xml:space="preserve"> dat</w:t>
      </w:r>
      <w:r w:rsidRPr="005A08CD" w:rsidR="00474AD1">
        <w:rPr>
          <w:rFonts w:ascii="Verdana" w:hAnsi="Verdana"/>
          <w:sz w:val="20"/>
          <w:szCs w:val="20"/>
        </w:rPr>
        <w:t xml:space="preserve"> capac</w:t>
      </w:r>
      <w:r w:rsidR="008A37E1">
        <w:rPr>
          <w:rFonts w:ascii="Verdana" w:hAnsi="Verdana"/>
          <w:sz w:val="20"/>
          <w:szCs w:val="20"/>
        </w:rPr>
        <w:t xml:space="preserve">iteitsopbouw in derde landen </w:t>
      </w:r>
      <w:r w:rsidRPr="005A08CD" w:rsidR="00474AD1">
        <w:rPr>
          <w:rFonts w:ascii="Verdana" w:hAnsi="Verdana"/>
          <w:sz w:val="20"/>
          <w:szCs w:val="20"/>
        </w:rPr>
        <w:t xml:space="preserve">nodig </w:t>
      </w:r>
      <w:r w:rsidR="008A37E1">
        <w:rPr>
          <w:rFonts w:ascii="Verdana" w:hAnsi="Verdana"/>
          <w:sz w:val="20"/>
          <w:szCs w:val="20"/>
        </w:rPr>
        <w:t xml:space="preserve">is </w:t>
      </w:r>
      <w:r w:rsidRPr="005A08CD" w:rsidR="00474AD1">
        <w:rPr>
          <w:rFonts w:ascii="Verdana" w:hAnsi="Verdana"/>
          <w:sz w:val="20"/>
          <w:szCs w:val="20"/>
        </w:rPr>
        <w:t>en</w:t>
      </w:r>
      <w:r w:rsidR="008A37E1">
        <w:rPr>
          <w:rFonts w:ascii="Verdana" w:hAnsi="Verdana"/>
          <w:sz w:val="20"/>
          <w:szCs w:val="20"/>
        </w:rPr>
        <w:t xml:space="preserve"> </w:t>
      </w:r>
      <w:r>
        <w:rPr>
          <w:rFonts w:ascii="Verdana" w:hAnsi="Verdana"/>
          <w:sz w:val="20"/>
          <w:szCs w:val="20"/>
        </w:rPr>
        <w:t xml:space="preserve">dat </w:t>
      </w:r>
      <w:r w:rsidRPr="005A08CD" w:rsidR="00474AD1">
        <w:rPr>
          <w:rFonts w:ascii="Verdana" w:hAnsi="Verdana"/>
          <w:sz w:val="20"/>
          <w:szCs w:val="20"/>
        </w:rPr>
        <w:t xml:space="preserve">meer </w:t>
      </w:r>
      <w:r w:rsidR="004019A4">
        <w:rPr>
          <w:rFonts w:ascii="Verdana" w:hAnsi="Verdana"/>
          <w:sz w:val="20"/>
          <w:szCs w:val="20"/>
        </w:rPr>
        <w:t xml:space="preserve">onderzoek </w:t>
      </w:r>
      <w:r w:rsidR="008A37E1">
        <w:rPr>
          <w:rFonts w:ascii="Verdana" w:hAnsi="Verdana"/>
          <w:sz w:val="20"/>
          <w:szCs w:val="20"/>
        </w:rPr>
        <w:t xml:space="preserve">moet </w:t>
      </w:r>
      <w:r w:rsidR="004019A4">
        <w:rPr>
          <w:rFonts w:ascii="Verdana" w:hAnsi="Verdana"/>
          <w:sz w:val="20"/>
          <w:szCs w:val="20"/>
        </w:rPr>
        <w:t>worden gedaan</w:t>
      </w:r>
      <w:r w:rsidR="008A37E1">
        <w:rPr>
          <w:rFonts w:ascii="Verdana" w:hAnsi="Verdana"/>
          <w:sz w:val="20"/>
          <w:szCs w:val="20"/>
        </w:rPr>
        <w:t>.</w:t>
      </w:r>
      <w:r w:rsidRPr="005A08CD" w:rsidR="00474AD1">
        <w:rPr>
          <w:rFonts w:ascii="Verdana" w:hAnsi="Verdana"/>
          <w:sz w:val="20"/>
          <w:szCs w:val="20"/>
        </w:rPr>
        <w:t xml:space="preserve"> In</w:t>
      </w:r>
      <w:r w:rsidR="008A37E1">
        <w:rPr>
          <w:rFonts w:ascii="Verdana" w:hAnsi="Verdana"/>
          <w:sz w:val="20"/>
          <w:szCs w:val="20"/>
        </w:rPr>
        <w:t xml:space="preserve"> het </w:t>
      </w:r>
      <w:r>
        <w:rPr>
          <w:rFonts w:ascii="Verdana" w:hAnsi="Verdana"/>
          <w:sz w:val="20"/>
          <w:szCs w:val="20"/>
        </w:rPr>
        <w:t>EU-</w:t>
      </w:r>
      <w:r w:rsidR="008A37E1">
        <w:rPr>
          <w:rFonts w:ascii="Verdana" w:hAnsi="Verdana"/>
          <w:sz w:val="20"/>
          <w:szCs w:val="20"/>
        </w:rPr>
        <w:t xml:space="preserve">programma </w:t>
      </w:r>
      <w:r w:rsidRPr="005A08CD" w:rsidR="00474AD1">
        <w:rPr>
          <w:rFonts w:ascii="Verdana" w:hAnsi="Verdana"/>
          <w:sz w:val="20"/>
          <w:szCs w:val="20"/>
        </w:rPr>
        <w:t>Horizon</w:t>
      </w:r>
      <w:r>
        <w:rPr>
          <w:rFonts w:ascii="Verdana" w:hAnsi="Verdana"/>
          <w:sz w:val="20"/>
          <w:szCs w:val="20"/>
        </w:rPr>
        <w:t xml:space="preserve">-2020 is daarvoor </w:t>
      </w:r>
      <w:r w:rsidRPr="005A08CD" w:rsidR="00474AD1">
        <w:rPr>
          <w:rFonts w:ascii="Verdana" w:hAnsi="Verdana"/>
          <w:sz w:val="20"/>
          <w:szCs w:val="20"/>
        </w:rPr>
        <w:t>200 miljoen</w:t>
      </w:r>
      <w:r>
        <w:rPr>
          <w:rFonts w:ascii="Verdana" w:hAnsi="Verdana"/>
          <w:sz w:val="20"/>
          <w:szCs w:val="20"/>
        </w:rPr>
        <w:t xml:space="preserve"> euro</w:t>
      </w:r>
      <w:r w:rsidR="008A37E1">
        <w:rPr>
          <w:rFonts w:ascii="Verdana" w:hAnsi="Verdana"/>
          <w:sz w:val="20"/>
          <w:szCs w:val="20"/>
        </w:rPr>
        <w:t xml:space="preserve"> beschikbaar</w:t>
      </w:r>
      <w:r w:rsidRPr="005A08CD" w:rsidR="00474AD1">
        <w:rPr>
          <w:rFonts w:ascii="Verdana" w:hAnsi="Verdana"/>
          <w:sz w:val="20"/>
          <w:szCs w:val="20"/>
        </w:rPr>
        <w:t>, ook</w:t>
      </w:r>
      <w:r w:rsidR="008A37E1">
        <w:rPr>
          <w:rFonts w:ascii="Verdana" w:hAnsi="Verdana"/>
          <w:sz w:val="20"/>
          <w:szCs w:val="20"/>
        </w:rPr>
        <w:t xml:space="preserve"> de</w:t>
      </w:r>
      <w:r w:rsidRPr="005A08CD" w:rsidR="00474AD1">
        <w:rPr>
          <w:rFonts w:ascii="Verdana" w:hAnsi="Verdana"/>
          <w:sz w:val="20"/>
          <w:szCs w:val="20"/>
        </w:rPr>
        <w:t xml:space="preserve"> </w:t>
      </w:r>
      <w:r w:rsidR="008A37E1">
        <w:rPr>
          <w:rFonts w:ascii="Verdana" w:hAnsi="Verdana"/>
          <w:sz w:val="20"/>
          <w:szCs w:val="20"/>
        </w:rPr>
        <w:t>veiligheids</w:t>
      </w:r>
      <w:r w:rsidRPr="005A08CD" w:rsidR="00474AD1">
        <w:rPr>
          <w:rFonts w:ascii="Verdana" w:hAnsi="Verdana"/>
          <w:sz w:val="20"/>
          <w:szCs w:val="20"/>
        </w:rPr>
        <w:t>diensten kunnen met ideeën</w:t>
      </w:r>
      <w:r w:rsidR="008A37E1">
        <w:rPr>
          <w:rFonts w:ascii="Verdana" w:hAnsi="Verdana"/>
          <w:sz w:val="20"/>
          <w:szCs w:val="20"/>
        </w:rPr>
        <w:t xml:space="preserve">/projecten komen. </w:t>
      </w:r>
      <w:r w:rsidRPr="005A08CD" w:rsidR="00474AD1">
        <w:rPr>
          <w:rFonts w:ascii="Verdana" w:hAnsi="Verdana"/>
          <w:sz w:val="20"/>
          <w:szCs w:val="20"/>
        </w:rPr>
        <w:t>Verder zou</w:t>
      </w:r>
      <w:r w:rsidR="004019A4">
        <w:rPr>
          <w:rFonts w:ascii="Verdana" w:hAnsi="Verdana"/>
          <w:sz w:val="20"/>
          <w:szCs w:val="20"/>
        </w:rPr>
        <w:t xml:space="preserve"> </w:t>
      </w:r>
      <w:r w:rsidR="003B6D56">
        <w:rPr>
          <w:rFonts w:ascii="Verdana" w:hAnsi="Verdana"/>
          <w:sz w:val="20"/>
          <w:szCs w:val="20"/>
        </w:rPr>
        <w:t xml:space="preserve">het </w:t>
      </w:r>
      <w:r w:rsidR="004019A4">
        <w:rPr>
          <w:rFonts w:ascii="Verdana" w:hAnsi="Verdana"/>
          <w:sz w:val="20"/>
          <w:szCs w:val="20"/>
        </w:rPr>
        <w:t>volgens de CTC</w:t>
      </w:r>
      <w:r w:rsidRPr="005A08CD" w:rsidR="00474AD1">
        <w:rPr>
          <w:rFonts w:ascii="Verdana" w:hAnsi="Verdana"/>
          <w:sz w:val="20"/>
          <w:szCs w:val="20"/>
        </w:rPr>
        <w:t xml:space="preserve"> </w:t>
      </w:r>
      <w:r w:rsidR="003B6D56">
        <w:rPr>
          <w:rFonts w:ascii="Verdana" w:hAnsi="Verdana"/>
          <w:sz w:val="20"/>
          <w:szCs w:val="20"/>
        </w:rPr>
        <w:t xml:space="preserve">helpen als </w:t>
      </w:r>
      <w:r w:rsidRPr="005A08CD" w:rsidR="00474AD1">
        <w:rPr>
          <w:rFonts w:ascii="Verdana" w:hAnsi="Verdana"/>
          <w:sz w:val="20"/>
          <w:szCs w:val="20"/>
        </w:rPr>
        <w:t xml:space="preserve">de diensten </w:t>
      </w:r>
      <w:r w:rsidR="003B6D56">
        <w:rPr>
          <w:rFonts w:ascii="Verdana" w:hAnsi="Verdana"/>
          <w:sz w:val="20"/>
          <w:szCs w:val="20"/>
        </w:rPr>
        <w:t xml:space="preserve">in het EP uitleg geven </w:t>
      </w:r>
      <w:r w:rsidRPr="005A08CD" w:rsidR="00474AD1">
        <w:rPr>
          <w:rFonts w:ascii="Verdana" w:hAnsi="Verdana"/>
          <w:sz w:val="20"/>
          <w:szCs w:val="20"/>
        </w:rPr>
        <w:t xml:space="preserve">over </w:t>
      </w:r>
      <w:r w:rsidR="003B6D56">
        <w:rPr>
          <w:rFonts w:ascii="Verdana" w:hAnsi="Verdana"/>
          <w:sz w:val="20"/>
          <w:szCs w:val="20"/>
        </w:rPr>
        <w:t xml:space="preserve">de </w:t>
      </w:r>
      <w:r w:rsidRPr="005A08CD" w:rsidR="00474AD1">
        <w:rPr>
          <w:rFonts w:ascii="Verdana" w:hAnsi="Verdana"/>
          <w:sz w:val="20"/>
          <w:szCs w:val="20"/>
        </w:rPr>
        <w:t xml:space="preserve">dreiging </w:t>
      </w:r>
      <w:r w:rsidR="008A37E1">
        <w:rPr>
          <w:rFonts w:ascii="Verdana" w:hAnsi="Verdana"/>
          <w:sz w:val="20"/>
          <w:szCs w:val="20"/>
        </w:rPr>
        <w:t xml:space="preserve">en </w:t>
      </w:r>
      <w:r w:rsidR="003B6D56">
        <w:rPr>
          <w:rFonts w:ascii="Verdana" w:hAnsi="Verdana"/>
          <w:sz w:val="20"/>
          <w:szCs w:val="20"/>
        </w:rPr>
        <w:t xml:space="preserve">de </w:t>
      </w:r>
      <w:r w:rsidR="008A37E1">
        <w:rPr>
          <w:rFonts w:ascii="Verdana" w:hAnsi="Verdana"/>
          <w:sz w:val="20"/>
          <w:szCs w:val="20"/>
        </w:rPr>
        <w:t xml:space="preserve">aanpak </w:t>
      </w:r>
      <w:r w:rsidR="003B6D56">
        <w:rPr>
          <w:rFonts w:ascii="Verdana" w:hAnsi="Verdana"/>
          <w:sz w:val="20"/>
          <w:szCs w:val="20"/>
        </w:rPr>
        <w:t xml:space="preserve">van </w:t>
      </w:r>
      <w:r w:rsidR="008A37E1">
        <w:rPr>
          <w:rFonts w:ascii="Verdana" w:hAnsi="Verdana"/>
          <w:sz w:val="20"/>
          <w:szCs w:val="20"/>
        </w:rPr>
        <w:t>terrorisme</w:t>
      </w:r>
      <w:r w:rsidR="003B6D56">
        <w:rPr>
          <w:rFonts w:ascii="Verdana" w:hAnsi="Verdana"/>
          <w:sz w:val="20"/>
          <w:szCs w:val="20"/>
        </w:rPr>
        <w:t>,</w:t>
      </w:r>
      <w:r w:rsidRPr="005A08CD" w:rsidR="00474AD1">
        <w:rPr>
          <w:rFonts w:ascii="Verdana" w:hAnsi="Verdana"/>
          <w:sz w:val="20"/>
          <w:szCs w:val="20"/>
        </w:rPr>
        <w:t xml:space="preserve"> </w:t>
      </w:r>
      <w:r w:rsidR="003B6D56">
        <w:rPr>
          <w:rFonts w:ascii="Verdana" w:hAnsi="Verdana"/>
          <w:sz w:val="20"/>
          <w:szCs w:val="20"/>
        </w:rPr>
        <w:t xml:space="preserve">en ingaan op </w:t>
      </w:r>
      <w:r w:rsidRPr="005A08CD" w:rsidR="00474AD1">
        <w:rPr>
          <w:rFonts w:ascii="Verdana" w:hAnsi="Verdana"/>
          <w:sz w:val="20"/>
          <w:szCs w:val="20"/>
        </w:rPr>
        <w:t xml:space="preserve">in het bijzonder </w:t>
      </w:r>
      <w:r w:rsidR="008A37E1">
        <w:rPr>
          <w:rFonts w:ascii="Verdana" w:hAnsi="Verdana"/>
          <w:sz w:val="20"/>
          <w:szCs w:val="20"/>
        </w:rPr>
        <w:t xml:space="preserve">de onderwerpen uit- en inreizen en </w:t>
      </w:r>
      <w:r w:rsidRPr="005A08CD" w:rsidR="00474AD1">
        <w:rPr>
          <w:rFonts w:ascii="Verdana" w:hAnsi="Verdana"/>
          <w:sz w:val="20"/>
          <w:szCs w:val="20"/>
        </w:rPr>
        <w:t>PNR.</w:t>
      </w:r>
    </w:p>
    <w:p w:rsidRPr="005A08CD" w:rsidR="00474AD1" w:rsidP="00474AD1" w:rsidRDefault="00474AD1">
      <w:pPr>
        <w:pStyle w:val="Geenafstand"/>
        <w:rPr>
          <w:rFonts w:ascii="Verdana" w:hAnsi="Verdana"/>
          <w:sz w:val="20"/>
          <w:szCs w:val="20"/>
        </w:rPr>
      </w:pPr>
    </w:p>
    <w:p w:rsidRPr="005A08CD" w:rsidR="00474AD1" w:rsidP="00474AD1" w:rsidRDefault="00474AD1">
      <w:pPr>
        <w:pStyle w:val="Geenafstand"/>
        <w:rPr>
          <w:rFonts w:ascii="Verdana" w:hAnsi="Verdana"/>
          <w:sz w:val="20"/>
          <w:szCs w:val="20"/>
        </w:rPr>
      </w:pPr>
      <w:r w:rsidRPr="003B6D56">
        <w:rPr>
          <w:rFonts w:ascii="Verdana" w:hAnsi="Verdana"/>
          <w:sz w:val="20"/>
          <w:szCs w:val="20"/>
        </w:rPr>
        <w:t>EUROPOL</w:t>
      </w:r>
      <w:r w:rsidR="0041019E">
        <w:rPr>
          <w:rFonts w:ascii="Verdana" w:hAnsi="Verdana"/>
          <w:sz w:val="20"/>
          <w:szCs w:val="20"/>
        </w:rPr>
        <w:t xml:space="preserve"> b</w:t>
      </w:r>
      <w:r w:rsidR="00CF6EB0">
        <w:rPr>
          <w:rFonts w:ascii="Verdana" w:hAnsi="Verdana"/>
          <w:sz w:val="20"/>
          <w:szCs w:val="20"/>
        </w:rPr>
        <w:t>enadrukt</w:t>
      </w:r>
      <w:r w:rsidR="0041019E">
        <w:rPr>
          <w:rFonts w:ascii="Verdana" w:hAnsi="Verdana"/>
          <w:sz w:val="20"/>
          <w:szCs w:val="20"/>
        </w:rPr>
        <w:t>e</w:t>
      </w:r>
      <w:r w:rsidR="00CF6EB0">
        <w:rPr>
          <w:rFonts w:ascii="Verdana" w:hAnsi="Verdana"/>
          <w:sz w:val="20"/>
          <w:szCs w:val="20"/>
        </w:rPr>
        <w:t xml:space="preserve"> d</w:t>
      </w:r>
      <w:r w:rsidRPr="005A08CD">
        <w:rPr>
          <w:rFonts w:ascii="Verdana" w:hAnsi="Verdana"/>
          <w:sz w:val="20"/>
          <w:szCs w:val="20"/>
        </w:rPr>
        <w:t>rie zaken: (1) volledig</w:t>
      </w:r>
      <w:r w:rsidR="004019A4">
        <w:rPr>
          <w:rFonts w:ascii="Verdana" w:hAnsi="Verdana"/>
          <w:sz w:val="20"/>
          <w:szCs w:val="20"/>
        </w:rPr>
        <w:t xml:space="preserve">e erkenning van </w:t>
      </w:r>
      <w:r w:rsidRPr="005A08CD">
        <w:rPr>
          <w:rFonts w:ascii="Verdana" w:hAnsi="Verdana"/>
          <w:sz w:val="20"/>
          <w:szCs w:val="20"/>
        </w:rPr>
        <w:t xml:space="preserve">het cruciale werk van </w:t>
      </w:r>
      <w:r w:rsidR="003B6D56">
        <w:rPr>
          <w:rFonts w:ascii="Verdana" w:hAnsi="Verdana"/>
          <w:sz w:val="20"/>
          <w:szCs w:val="20"/>
        </w:rPr>
        <w:t>inlichtingen- en veiligheids</w:t>
      </w:r>
      <w:r w:rsidRPr="005A08CD">
        <w:rPr>
          <w:rFonts w:ascii="Verdana" w:hAnsi="Verdana"/>
          <w:sz w:val="20"/>
          <w:szCs w:val="20"/>
        </w:rPr>
        <w:t xml:space="preserve">diensten </w:t>
      </w:r>
      <w:r w:rsidR="003B6D56">
        <w:rPr>
          <w:rFonts w:ascii="Verdana" w:hAnsi="Verdana"/>
          <w:sz w:val="20"/>
          <w:szCs w:val="20"/>
        </w:rPr>
        <w:t>bij</w:t>
      </w:r>
      <w:r w:rsidRPr="005A08CD">
        <w:rPr>
          <w:rFonts w:ascii="Verdana" w:hAnsi="Verdana"/>
          <w:sz w:val="20"/>
          <w:szCs w:val="20"/>
        </w:rPr>
        <w:t xml:space="preserve"> het voorkomen van aanslagen. (2) de </w:t>
      </w:r>
      <w:r w:rsidR="004019A4">
        <w:rPr>
          <w:rFonts w:ascii="Verdana" w:hAnsi="Verdana"/>
          <w:sz w:val="20"/>
          <w:szCs w:val="20"/>
        </w:rPr>
        <w:t xml:space="preserve">toename van de </w:t>
      </w:r>
      <w:r w:rsidRPr="005A08CD">
        <w:rPr>
          <w:rFonts w:ascii="Verdana" w:hAnsi="Verdana"/>
          <w:sz w:val="20"/>
          <w:szCs w:val="20"/>
        </w:rPr>
        <w:t xml:space="preserve">complexiteit bij </w:t>
      </w:r>
      <w:r w:rsidR="003B6D56">
        <w:rPr>
          <w:rFonts w:ascii="Verdana" w:hAnsi="Verdana"/>
          <w:sz w:val="20"/>
          <w:szCs w:val="20"/>
        </w:rPr>
        <w:t>c</w:t>
      </w:r>
      <w:r w:rsidR="00847FC7">
        <w:rPr>
          <w:rFonts w:ascii="Verdana" w:hAnsi="Verdana"/>
          <w:sz w:val="20"/>
          <w:szCs w:val="20"/>
        </w:rPr>
        <w:t>o</w:t>
      </w:r>
      <w:r w:rsidR="003B6D56">
        <w:rPr>
          <w:rFonts w:ascii="Verdana" w:hAnsi="Verdana"/>
          <w:sz w:val="20"/>
          <w:szCs w:val="20"/>
        </w:rPr>
        <w:t>ntrat</w:t>
      </w:r>
      <w:r w:rsidR="00847FC7">
        <w:rPr>
          <w:rFonts w:ascii="Verdana" w:hAnsi="Verdana"/>
          <w:sz w:val="20"/>
          <w:szCs w:val="20"/>
        </w:rPr>
        <w:t>errorisme</w:t>
      </w:r>
      <w:r w:rsidR="003B6D56">
        <w:rPr>
          <w:rFonts w:ascii="Verdana" w:hAnsi="Verdana"/>
          <w:sz w:val="20"/>
          <w:szCs w:val="20"/>
        </w:rPr>
        <w:t xml:space="preserve">. </w:t>
      </w:r>
      <w:r w:rsidRPr="005A08CD">
        <w:rPr>
          <w:rFonts w:ascii="Verdana" w:hAnsi="Verdana"/>
          <w:sz w:val="20"/>
          <w:szCs w:val="20"/>
        </w:rPr>
        <w:t xml:space="preserve">(3) de </w:t>
      </w:r>
      <w:r w:rsidR="001725BA">
        <w:rPr>
          <w:rFonts w:ascii="Verdana" w:hAnsi="Verdana"/>
          <w:sz w:val="20"/>
          <w:szCs w:val="20"/>
        </w:rPr>
        <w:t xml:space="preserve">cruciale </w:t>
      </w:r>
      <w:r w:rsidRPr="005A08CD">
        <w:rPr>
          <w:rFonts w:ascii="Verdana" w:hAnsi="Verdana"/>
          <w:sz w:val="20"/>
          <w:szCs w:val="20"/>
        </w:rPr>
        <w:t>verbinding</w:t>
      </w:r>
      <w:r w:rsidR="003B6D56">
        <w:rPr>
          <w:rFonts w:ascii="Verdana" w:hAnsi="Verdana"/>
          <w:sz w:val="20"/>
          <w:szCs w:val="20"/>
        </w:rPr>
        <w:t xml:space="preserve"> van</w:t>
      </w:r>
      <w:r w:rsidRPr="005A08CD">
        <w:rPr>
          <w:rFonts w:ascii="Verdana" w:hAnsi="Verdana"/>
          <w:sz w:val="20"/>
          <w:szCs w:val="20"/>
        </w:rPr>
        <w:t xml:space="preserve"> </w:t>
      </w:r>
      <w:r w:rsidRPr="003B6D56">
        <w:rPr>
          <w:rFonts w:ascii="Verdana" w:hAnsi="Verdana"/>
          <w:i/>
          <w:sz w:val="20"/>
          <w:szCs w:val="20"/>
        </w:rPr>
        <w:t>intel</w:t>
      </w:r>
      <w:r w:rsidRPr="003B6D56" w:rsidR="00847FC7">
        <w:rPr>
          <w:rFonts w:ascii="Verdana" w:hAnsi="Verdana"/>
          <w:i/>
          <w:sz w:val="20"/>
          <w:szCs w:val="20"/>
        </w:rPr>
        <w:t>ligence</w:t>
      </w:r>
      <w:r w:rsidR="003B6D56">
        <w:rPr>
          <w:rFonts w:ascii="Verdana" w:hAnsi="Verdana"/>
          <w:sz w:val="20"/>
          <w:szCs w:val="20"/>
        </w:rPr>
        <w:t xml:space="preserve"> met de p</w:t>
      </w:r>
      <w:r w:rsidRPr="005A08CD">
        <w:rPr>
          <w:rFonts w:ascii="Verdana" w:hAnsi="Verdana"/>
          <w:sz w:val="20"/>
          <w:szCs w:val="20"/>
        </w:rPr>
        <w:t>olitie</w:t>
      </w:r>
      <w:r w:rsidR="003B6D56">
        <w:rPr>
          <w:rFonts w:ascii="Verdana" w:hAnsi="Verdana"/>
          <w:sz w:val="20"/>
          <w:szCs w:val="20"/>
        </w:rPr>
        <w:t xml:space="preserve">. </w:t>
      </w:r>
      <w:r w:rsidRPr="005A08CD">
        <w:rPr>
          <w:rFonts w:ascii="Verdana" w:hAnsi="Verdana"/>
          <w:sz w:val="20"/>
          <w:szCs w:val="20"/>
        </w:rPr>
        <w:t xml:space="preserve">EUROPOL is daarbij de Europese </w:t>
      </w:r>
      <w:r w:rsidR="003B6D56">
        <w:rPr>
          <w:rFonts w:ascii="Verdana" w:hAnsi="Verdana"/>
          <w:sz w:val="20"/>
          <w:szCs w:val="20"/>
        </w:rPr>
        <w:t xml:space="preserve">spil </w:t>
      </w:r>
      <w:r w:rsidRPr="005A08CD">
        <w:rPr>
          <w:rFonts w:ascii="Verdana" w:hAnsi="Verdana"/>
          <w:sz w:val="20"/>
          <w:szCs w:val="20"/>
        </w:rPr>
        <w:t>voor de politie</w:t>
      </w:r>
      <w:r w:rsidR="001725BA">
        <w:rPr>
          <w:rFonts w:ascii="Verdana" w:hAnsi="Verdana"/>
          <w:sz w:val="20"/>
          <w:szCs w:val="20"/>
        </w:rPr>
        <w:t>.</w:t>
      </w:r>
      <w:r w:rsidRPr="005A08CD">
        <w:rPr>
          <w:rFonts w:ascii="Verdana" w:hAnsi="Verdana"/>
          <w:sz w:val="20"/>
          <w:szCs w:val="20"/>
        </w:rPr>
        <w:t xml:space="preserve"> </w:t>
      </w:r>
      <w:r w:rsidR="001725BA">
        <w:rPr>
          <w:rFonts w:ascii="Verdana" w:hAnsi="Verdana"/>
          <w:sz w:val="20"/>
          <w:szCs w:val="20"/>
        </w:rPr>
        <w:t xml:space="preserve">Europol </w:t>
      </w:r>
      <w:r w:rsidRPr="005A08CD">
        <w:rPr>
          <w:rFonts w:ascii="Verdana" w:hAnsi="Verdana"/>
          <w:sz w:val="20"/>
          <w:szCs w:val="20"/>
        </w:rPr>
        <w:t xml:space="preserve">heeft een </w:t>
      </w:r>
      <w:r w:rsidRPr="003B6D56" w:rsidR="001725BA">
        <w:rPr>
          <w:rFonts w:ascii="Verdana" w:hAnsi="Verdana"/>
          <w:i/>
          <w:sz w:val="20"/>
          <w:szCs w:val="20"/>
        </w:rPr>
        <w:t>‘</w:t>
      </w:r>
      <w:r w:rsidRPr="003B6D56">
        <w:rPr>
          <w:rFonts w:ascii="Verdana" w:hAnsi="Verdana"/>
          <w:i/>
          <w:sz w:val="20"/>
          <w:szCs w:val="20"/>
        </w:rPr>
        <w:t xml:space="preserve">focal </w:t>
      </w:r>
      <w:r w:rsidRPr="009261A6">
        <w:rPr>
          <w:rFonts w:ascii="Verdana" w:hAnsi="Verdana"/>
          <w:i/>
          <w:sz w:val="20"/>
          <w:szCs w:val="20"/>
        </w:rPr>
        <w:t>point travel</w:t>
      </w:r>
      <w:r w:rsidR="009261A6">
        <w:rPr>
          <w:rFonts w:ascii="Verdana" w:hAnsi="Verdana"/>
          <w:i/>
          <w:sz w:val="20"/>
          <w:szCs w:val="20"/>
        </w:rPr>
        <w:t>l</w:t>
      </w:r>
      <w:r w:rsidRPr="009261A6">
        <w:rPr>
          <w:rFonts w:ascii="Verdana" w:hAnsi="Verdana"/>
          <w:i/>
          <w:sz w:val="20"/>
          <w:szCs w:val="20"/>
        </w:rPr>
        <w:t>ers</w:t>
      </w:r>
      <w:r w:rsidRPr="009261A6" w:rsidR="003B6D56">
        <w:rPr>
          <w:rFonts w:ascii="Verdana" w:hAnsi="Verdana"/>
          <w:sz w:val="20"/>
          <w:szCs w:val="20"/>
        </w:rPr>
        <w:t>’</w:t>
      </w:r>
      <w:r w:rsidRPr="009261A6" w:rsidR="009261A6">
        <w:rPr>
          <w:rFonts w:ascii="Verdana" w:hAnsi="Verdana"/>
          <w:sz w:val="20"/>
          <w:szCs w:val="20"/>
        </w:rPr>
        <w:t>,</w:t>
      </w:r>
      <w:r w:rsidRPr="009261A6">
        <w:rPr>
          <w:rFonts w:ascii="Verdana" w:hAnsi="Verdana"/>
          <w:sz w:val="20"/>
          <w:szCs w:val="20"/>
        </w:rPr>
        <w:t xml:space="preserve"> er is aandacht voor terroris</w:t>
      </w:r>
      <w:r w:rsidRPr="009261A6" w:rsidR="003B6D56">
        <w:rPr>
          <w:rFonts w:ascii="Verdana" w:hAnsi="Verdana"/>
          <w:sz w:val="20"/>
          <w:szCs w:val="20"/>
        </w:rPr>
        <w:t>me</w:t>
      </w:r>
      <w:r w:rsidRPr="009261A6" w:rsidR="001725BA">
        <w:rPr>
          <w:rFonts w:ascii="Verdana" w:hAnsi="Verdana"/>
          <w:sz w:val="20"/>
          <w:szCs w:val="20"/>
        </w:rPr>
        <w:t>financiering</w:t>
      </w:r>
      <w:r w:rsidRPr="009261A6">
        <w:rPr>
          <w:rFonts w:ascii="Verdana" w:hAnsi="Verdana"/>
          <w:sz w:val="20"/>
          <w:szCs w:val="20"/>
        </w:rPr>
        <w:t xml:space="preserve"> met in het bijzonder TFTP</w:t>
      </w:r>
      <w:r w:rsidR="001725BA">
        <w:rPr>
          <w:rFonts w:ascii="Verdana" w:hAnsi="Verdana"/>
          <w:sz w:val="20"/>
          <w:szCs w:val="20"/>
        </w:rPr>
        <w:t>(</w:t>
      </w:r>
      <w:r w:rsidR="003B6D56">
        <w:rPr>
          <w:rFonts w:ascii="Verdana" w:hAnsi="Verdana"/>
          <w:sz w:val="20"/>
          <w:szCs w:val="20"/>
        </w:rPr>
        <w:t xml:space="preserve">het </w:t>
      </w:r>
      <w:r w:rsidR="001725BA">
        <w:rPr>
          <w:rFonts w:ascii="Verdana" w:hAnsi="Verdana"/>
          <w:sz w:val="20"/>
          <w:szCs w:val="20"/>
        </w:rPr>
        <w:t>programma voor het traceren van terrorisme financiering)  en</w:t>
      </w:r>
      <w:r w:rsidRPr="005A08CD">
        <w:rPr>
          <w:rFonts w:ascii="Verdana" w:hAnsi="Verdana"/>
          <w:sz w:val="20"/>
          <w:szCs w:val="20"/>
        </w:rPr>
        <w:t xml:space="preserve"> de</w:t>
      </w:r>
      <w:r w:rsidR="001725BA">
        <w:rPr>
          <w:rFonts w:ascii="Verdana" w:hAnsi="Verdana"/>
          <w:sz w:val="20"/>
          <w:szCs w:val="20"/>
        </w:rPr>
        <w:t xml:space="preserve"> zogenaamde</w:t>
      </w:r>
      <w:r w:rsidRPr="005A08CD">
        <w:rPr>
          <w:rFonts w:ascii="Verdana" w:hAnsi="Verdana"/>
          <w:sz w:val="20"/>
          <w:szCs w:val="20"/>
        </w:rPr>
        <w:t xml:space="preserve"> </w:t>
      </w:r>
      <w:r w:rsidRPr="003B6D56">
        <w:rPr>
          <w:rFonts w:ascii="Verdana" w:hAnsi="Verdana"/>
          <w:i/>
          <w:sz w:val="20"/>
          <w:szCs w:val="20"/>
        </w:rPr>
        <w:t>Internet Referral Unit</w:t>
      </w:r>
      <w:r w:rsidRPr="005A08CD">
        <w:rPr>
          <w:rFonts w:ascii="Verdana" w:hAnsi="Verdana"/>
          <w:sz w:val="20"/>
          <w:szCs w:val="20"/>
        </w:rPr>
        <w:t xml:space="preserve"> is </w:t>
      </w:r>
      <w:r w:rsidR="003B6D56">
        <w:rPr>
          <w:rFonts w:ascii="Verdana" w:hAnsi="Verdana"/>
          <w:sz w:val="20"/>
          <w:szCs w:val="20"/>
        </w:rPr>
        <w:t xml:space="preserve">inmiddels een </w:t>
      </w:r>
      <w:r w:rsidRPr="005A08CD">
        <w:rPr>
          <w:rFonts w:ascii="Verdana" w:hAnsi="Verdana"/>
          <w:sz w:val="20"/>
          <w:szCs w:val="20"/>
        </w:rPr>
        <w:t xml:space="preserve">week online. </w:t>
      </w:r>
    </w:p>
    <w:p w:rsidRPr="005A08CD" w:rsidR="00DB314D" w:rsidP="00DB314D" w:rsidRDefault="00DB314D">
      <w:pPr>
        <w:rPr>
          <w:bCs/>
          <w:iCs/>
          <w:sz w:val="20"/>
          <w:szCs w:val="20"/>
        </w:rPr>
      </w:pPr>
    </w:p>
    <w:p w:rsidRPr="005A08CD" w:rsidR="008A61A9" w:rsidP="003D4EF8" w:rsidRDefault="00DB314D">
      <w:pPr>
        <w:rPr>
          <w:sz w:val="20"/>
          <w:szCs w:val="20"/>
        </w:rPr>
      </w:pPr>
      <w:r w:rsidRPr="00EE4823">
        <w:rPr>
          <w:rFonts w:cs="Verdana"/>
          <w:b/>
          <w:sz w:val="20"/>
          <w:szCs w:val="20"/>
        </w:rPr>
        <w:t>Sessie II: Cybersecurity en Cyberterrorisme</w:t>
      </w:r>
      <w:r w:rsidRPr="005A08CD" w:rsidR="008A61A9">
        <w:rPr>
          <w:sz w:val="20"/>
          <w:szCs w:val="20"/>
        </w:rPr>
        <w:t xml:space="preserve"> </w:t>
      </w:r>
    </w:p>
    <w:p w:rsidR="00DB314D" w:rsidP="00DB314D" w:rsidRDefault="00DB314D">
      <w:pPr>
        <w:rPr>
          <w:b/>
          <w:bCs/>
          <w:iCs/>
          <w:sz w:val="20"/>
          <w:szCs w:val="20"/>
        </w:rPr>
      </w:pPr>
    </w:p>
    <w:p w:rsidR="005C4048" w:rsidP="003D4EF8" w:rsidRDefault="003D4EF8">
      <w:pPr>
        <w:rPr>
          <w:sz w:val="20"/>
          <w:szCs w:val="20"/>
        </w:rPr>
      </w:pPr>
      <w:r w:rsidRPr="004952CA">
        <w:rPr>
          <w:sz w:val="20"/>
          <w:szCs w:val="20"/>
        </w:rPr>
        <w:t xml:space="preserve">Het Voorzitterschap had een </w:t>
      </w:r>
      <w:r w:rsidR="00974A55">
        <w:rPr>
          <w:sz w:val="20"/>
          <w:szCs w:val="20"/>
        </w:rPr>
        <w:t xml:space="preserve">document </w:t>
      </w:r>
      <w:r w:rsidRPr="004952CA">
        <w:rPr>
          <w:sz w:val="20"/>
          <w:szCs w:val="20"/>
        </w:rPr>
        <w:t xml:space="preserve">verspreid met drie vragen. </w:t>
      </w:r>
      <w:r w:rsidR="00396E7A">
        <w:rPr>
          <w:sz w:val="20"/>
          <w:szCs w:val="20"/>
        </w:rPr>
        <w:t>Commissar</w:t>
      </w:r>
      <w:r w:rsidRPr="004952CA">
        <w:rPr>
          <w:sz w:val="20"/>
          <w:szCs w:val="20"/>
        </w:rPr>
        <w:t>is Avramopoulos</w:t>
      </w:r>
      <w:r w:rsidR="00396E7A">
        <w:rPr>
          <w:sz w:val="20"/>
          <w:szCs w:val="20"/>
        </w:rPr>
        <w:t xml:space="preserve"> kreeg </w:t>
      </w:r>
      <w:r w:rsidRPr="004952CA">
        <w:rPr>
          <w:sz w:val="20"/>
          <w:szCs w:val="20"/>
        </w:rPr>
        <w:t>het w</w:t>
      </w:r>
      <w:r w:rsidR="00396E7A">
        <w:rPr>
          <w:sz w:val="20"/>
          <w:szCs w:val="20"/>
        </w:rPr>
        <w:t xml:space="preserve">oord. </w:t>
      </w:r>
      <w:r w:rsidRPr="004952CA">
        <w:rPr>
          <w:sz w:val="20"/>
          <w:szCs w:val="20"/>
        </w:rPr>
        <w:t xml:space="preserve">De </w:t>
      </w:r>
      <w:r w:rsidR="001725BA">
        <w:rPr>
          <w:sz w:val="20"/>
          <w:szCs w:val="20"/>
        </w:rPr>
        <w:t>C</w:t>
      </w:r>
      <w:r w:rsidRPr="004952CA">
        <w:rPr>
          <w:sz w:val="20"/>
          <w:szCs w:val="20"/>
        </w:rPr>
        <w:t xml:space="preserve">ommissaris benadrukte </w:t>
      </w:r>
      <w:r w:rsidR="005C4048">
        <w:rPr>
          <w:sz w:val="20"/>
          <w:szCs w:val="20"/>
        </w:rPr>
        <w:t xml:space="preserve">onder meer </w:t>
      </w:r>
      <w:r w:rsidRPr="004952CA">
        <w:rPr>
          <w:sz w:val="20"/>
          <w:szCs w:val="20"/>
        </w:rPr>
        <w:t xml:space="preserve">het belang van goede samenwerking, </w:t>
      </w:r>
      <w:r w:rsidR="009261A6">
        <w:rPr>
          <w:sz w:val="20"/>
          <w:szCs w:val="20"/>
        </w:rPr>
        <w:t>publiek-private samenwerking</w:t>
      </w:r>
      <w:r w:rsidRPr="004952CA">
        <w:rPr>
          <w:sz w:val="20"/>
          <w:szCs w:val="20"/>
        </w:rPr>
        <w:t xml:space="preserve"> </w:t>
      </w:r>
      <w:r w:rsidR="003E285B">
        <w:rPr>
          <w:sz w:val="20"/>
          <w:szCs w:val="20"/>
        </w:rPr>
        <w:t xml:space="preserve">(PPS) </w:t>
      </w:r>
      <w:r w:rsidRPr="004952CA">
        <w:rPr>
          <w:sz w:val="20"/>
          <w:szCs w:val="20"/>
        </w:rPr>
        <w:t xml:space="preserve">en een adequaat juridisch instrumentarium met als onderdelen de </w:t>
      </w:r>
      <w:r w:rsidR="003E285B">
        <w:rPr>
          <w:sz w:val="20"/>
          <w:szCs w:val="20"/>
        </w:rPr>
        <w:t>netwerk- en informatiebeveiligingsrichtlijn</w:t>
      </w:r>
      <w:r w:rsidRPr="004952CA">
        <w:rPr>
          <w:sz w:val="20"/>
          <w:szCs w:val="20"/>
        </w:rPr>
        <w:t xml:space="preserve">, de gegevensbeschermingsrichtlijn en de Europolverordening. De samenwerking tussen overheden moet zich onder meer richten op de bescherming van de kritische infrastructuur waaronder de </w:t>
      </w:r>
      <w:r w:rsidRPr="004952CA" w:rsidR="003E285B">
        <w:rPr>
          <w:sz w:val="20"/>
          <w:szCs w:val="20"/>
        </w:rPr>
        <w:t>elektriciteit</w:t>
      </w:r>
      <w:r w:rsidRPr="004952CA">
        <w:rPr>
          <w:sz w:val="20"/>
          <w:szCs w:val="20"/>
        </w:rPr>
        <w:t>- en gasnetwerken en de luchtvaart. Voor een effectieve</w:t>
      </w:r>
      <w:r w:rsidR="005C4048">
        <w:rPr>
          <w:sz w:val="20"/>
          <w:szCs w:val="20"/>
        </w:rPr>
        <w:t xml:space="preserve"> PPS</w:t>
      </w:r>
      <w:r w:rsidRPr="004952CA">
        <w:rPr>
          <w:sz w:val="20"/>
          <w:szCs w:val="20"/>
        </w:rPr>
        <w:t xml:space="preserve"> moeten overheden obstakels wegnemen voor de private partners en zo</w:t>
      </w:r>
      <w:r w:rsidR="005C4048">
        <w:rPr>
          <w:sz w:val="20"/>
          <w:szCs w:val="20"/>
        </w:rPr>
        <w:t>u een forum moeten worden opgez</w:t>
      </w:r>
      <w:r w:rsidRPr="004952CA">
        <w:rPr>
          <w:sz w:val="20"/>
          <w:szCs w:val="20"/>
        </w:rPr>
        <w:t>et op EU</w:t>
      </w:r>
      <w:r w:rsidR="00974A55">
        <w:rPr>
          <w:sz w:val="20"/>
          <w:szCs w:val="20"/>
        </w:rPr>
        <w:t>-</w:t>
      </w:r>
      <w:r w:rsidRPr="004952CA">
        <w:rPr>
          <w:sz w:val="20"/>
          <w:szCs w:val="20"/>
        </w:rPr>
        <w:t xml:space="preserve">niveau voor </w:t>
      </w:r>
      <w:r w:rsidR="00974A55">
        <w:rPr>
          <w:sz w:val="20"/>
          <w:szCs w:val="20"/>
        </w:rPr>
        <w:t xml:space="preserve">een </w:t>
      </w:r>
      <w:r w:rsidRPr="004952CA">
        <w:rPr>
          <w:sz w:val="20"/>
          <w:szCs w:val="20"/>
        </w:rPr>
        <w:t xml:space="preserve">dialoog met de internetindustrie. </w:t>
      </w:r>
    </w:p>
    <w:p w:rsidR="00974A55" w:rsidP="003D4EF8" w:rsidRDefault="00974A55">
      <w:pPr>
        <w:rPr>
          <w:sz w:val="20"/>
          <w:szCs w:val="20"/>
        </w:rPr>
      </w:pPr>
    </w:p>
    <w:p w:rsidRPr="004952CA" w:rsidR="003D4EF8" w:rsidP="003D4EF8" w:rsidRDefault="003D4EF8">
      <w:pPr>
        <w:rPr>
          <w:sz w:val="20"/>
          <w:szCs w:val="20"/>
        </w:rPr>
      </w:pPr>
      <w:r w:rsidRPr="004952CA">
        <w:rPr>
          <w:sz w:val="20"/>
          <w:szCs w:val="20"/>
        </w:rPr>
        <w:t xml:space="preserve">De </w:t>
      </w:r>
      <w:r w:rsidRPr="00974A55">
        <w:rPr>
          <w:sz w:val="20"/>
          <w:szCs w:val="20"/>
        </w:rPr>
        <w:t>eerste presentatie werd gegeven door Patrick Ky</w:t>
      </w:r>
      <w:r w:rsidRPr="00B95A2B">
        <w:rPr>
          <w:sz w:val="20"/>
          <w:szCs w:val="20"/>
          <w:u w:val="single"/>
        </w:rPr>
        <w:t>,</w:t>
      </w:r>
      <w:r w:rsidRPr="004952CA">
        <w:rPr>
          <w:sz w:val="20"/>
          <w:szCs w:val="20"/>
        </w:rPr>
        <w:t xml:space="preserve"> de </w:t>
      </w:r>
      <w:r w:rsidRPr="00974A55">
        <w:rPr>
          <w:i/>
          <w:sz w:val="20"/>
          <w:szCs w:val="20"/>
        </w:rPr>
        <w:t>executive director</w:t>
      </w:r>
      <w:r w:rsidRPr="004952CA">
        <w:rPr>
          <w:sz w:val="20"/>
          <w:szCs w:val="20"/>
        </w:rPr>
        <w:t xml:space="preserve"> van </w:t>
      </w:r>
      <w:r w:rsidR="00974A55">
        <w:rPr>
          <w:sz w:val="20"/>
          <w:szCs w:val="20"/>
        </w:rPr>
        <w:t>het Europees Agentschap voor de veiligheid van de luchtvaart.</w:t>
      </w:r>
      <w:r w:rsidRPr="004952CA">
        <w:rPr>
          <w:sz w:val="20"/>
          <w:szCs w:val="20"/>
        </w:rPr>
        <w:t xml:space="preserve"> </w:t>
      </w:r>
    </w:p>
    <w:p w:rsidRPr="004952CA" w:rsidR="003D4EF8" w:rsidP="003D4EF8" w:rsidRDefault="005C4048">
      <w:pPr>
        <w:rPr>
          <w:sz w:val="20"/>
          <w:szCs w:val="20"/>
        </w:rPr>
      </w:pPr>
      <w:r>
        <w:rPr>
          <w:sz w:val="20"/>
          <w:szCs w:val="20"/>
        </w:rPr>
        <w:t>De heer Ky beschreef hoe in de</w:t>
      </w:r>
      <w:r w:rsidRPr="004952CA" w:rsidR="003D4EF8">
        <w:rPr>
          <w:sz w:val="20"/>
          <w:szCs w:val="20"/>
        </w:rPr>
        <w:t xml:space="preserve"> luchtvaart in een tijdsbestek van niet meer dan 7 jaar een ingrijpende verandering heeft plaatsgevonden. Nog niet zo lang geleden was de luchtvaart nog een op zichzelf staand systeem met een laag </w:t>
      </w:r>
      <w:r w:rsidR="00974A55">
        <w:rPr>
          <w:sz w:val="20"/>
          <w:szCs w:val="20"/>
        </w:rPr>
        <w:t>ict-</w:t>
      </w:r>
      <w:r w:rsidRPr="004952CA" w:rsidR="003D4EF8">
        <w:rPr>
          <w:sz w:val="20"/>
          <w:szCs w:val="20"/>
        </w:rPr>
        <w:t xml:space="preserve">niveau zonder verbinding met de buitenwereld. Nu is de verbinding met de grond via verschillende applicaties steeds sterker geworden. </w:t>
      </w:r>
      <w:r>
        <w:rPr>
          <w:sz w:val="20"/>
          <w:szCs w:val="20"/>
        </w:rPr>
        <w:t xml:space="preserve">De heer </w:t>
      </w:r>
      <w:r w:rsidRPr="004952CA" w:rsidR="003D4EF8">
        <w:rPr>
          <w:sz w:val="20"/>
          <w:szCs w:val="20"/>
        </w:rPr>
        <w:t>Ky noemde als voorbeelden het op sommige vluchten gefaciliteerde mobiel telefoneren aan boord en het gebruik maken van een directe datalink met de grond om het onderhoud van het vliegtuig voor te bereiden (en dat binnenkort zelf ict-gestuurd tijdens de vlucht te verrichten). Deze innovaties brengen onvermijdelijk meer kwetsbaarheid voor een cyber-aanval met zich mee. Een ander nieuw risico gaat uit van drones die immers</w:t>
      </w:r>
      <w:r w:rsidR="00396E7A">
        <w:rPr>
          <w:sz w:val="20"/>
          <w:szCs w:val="20"/>
        </w:rPr>
        <w:t xml:space="preserve"> </w:t>
      </w:r>
      <w:r w:rsidRPr="004952CA" w:rsidR="003D4EF8">
        <w:rPr>
          <w:sz w:val="20"/>
          <w:szCs w:val="20"/>
        </w:rPr>
        <w:t xml:space="preserve">vanaf de grond bestuurd worden en gemakkelijk overgenomen kunnen worden door kwaadwillenden. </w:t>
      </w:r>
    </w:p>
    <w:p w:rsidRPr="004952CA" w:rsidR="003D4EF8" w:rsidP="003D4EF8" w:rsidRDefault="003D4EF8">
      <w:pPr>
        <w:rPr>
          <w:sz w:val="20"/>
          <w:szCs w:val="20"/>
        </w:rPr>
      </w:pPr>
      <w:r w:rsidRPr="004952CA">
        <w:rPr>
          <w:sz w:val="20"/>
          <w:szCs w:val="20"/>
        </w:rPr>
        <w:t xml:space="preserve">Hiermee samenhangend is sprake van een paradigmawijziging van een </w:t>
      </w:r>
      <w:r w:rsidRPr="004952CA">
        <w:rPr>
          <w:i/>
          <w:sz w:val="20"/>
          <w:szCs w:val="20"/>
        </w:rPr>
        <w:t>safety culture</w:t>
      </w:r>
      <w:r w:rsidRPr="004952CA">
        <w:rPr>
          <w:sz w:val="20"/>
          <w:szCs w:val="20"/>
        </w:rPr>
        <w:t xml:space="preserve"> naar een </w:t>
      </w:r>
      <w:r w:rsidRPr="004952CA">
        <w:rPr>
          <w:i/>
          <w:sz w:val="20"/>
          <w:szCs w:val="20"/>
        </w:rPr>
        <w:t>security culture</w:t>
      </w:r>
      <w:r w:rsidRPr="004952CA">
        <w:rPr>
          <w:sz w:val="20"/>
          <w:szCs w:val="20"/>
        </w:rPr>
        <w:t xml:space="preserve"> in de luchtvaart. Kenmerkend voor de </w:t>
      </w:r>
      <w:r w:rsidRPr="00974A55">
        <w:rPr>
          <w:i/>
          <w:sz w:val="20"/>
          <w:szCs w:val="20"/>
        </w:rPr>
        <w:t>safety culture</w:t>
      </w:r>
      <w:r w:rsidRPr="004952CA">
        <w:rPr>
          <w:sz w:val="20"/>
          <w:szCs w:val="20"/>
        </w:rPr>
        <w:t xml:space="preserve">, gericht op het omgaan met technische mankementen, is de transparantie en de samenwerking tussen alle betrokkenen zodat elk ongeluk of incident zich vertaalt in verbeterde werkwijzen en routines en een hoger niveau van veiligheid. </w:t>
      </w:r>
      <w:r w:rsidR="005C4048">
        <w:rPr>
          <w:sz w:val="20"/>
          <w:szCs w:val="20"/>
        </w:rPr>
        <w:t>H</w:t>
      </w:r>
      <w:r w:rsidRPr="004952CA" w:rsidR="005C4048">
        <w:rPr>
          <w:sz w:val="20"/>
          <w:szCs w:val="20"/>
        </w:rPr>
        <w:t>et niet-delen va</w:t>
      </w:r>
      <w:r w:rsidR="005C4048">
        <w:rPr>
          <w:sz w:val="20"/>
          <w:szCs w:val="20"/>
        </w:rPr>
        <w:t>n s</w:t>
      </w:r>
      <w:r w:rsidRPr="00974A55" w:rsidR="005C4048">
        <w:rPr>
          <w:i/>
          <w:sz w:val="20"/>
          <w:szCs w:val="20"/>
        </w:rPr>
        <w:t>ecurity</w:t>
      </w:r>
      <w:r w:rsidR="005C4048">
        <w:rPr>
          <w:sz w:val="20"/>
          <w:szCs w:val="20"/>
        </w:rPr>
        <w:t>-informatie</w:t>
      </w:r>
      <w:r w:rsidRPr="004952CA" w:rsidR="005C4048">
        <w:rPr>
          <w:sz w:val="20"/>
          <w:szCs w:val="20"/>
        </w:rPr>
        <w:t xml:space="preserve"> is</w:t>
      </w:r>
      <w:r w:rsidR="005C4048">
        <w:rPr>
          <w:sz w:val="20"/>
          <w:szCs w:val="20"/>
        </w:rPr>
        <w:t xml:space="preserve"> </w:t>
      </w:r>
      <w:r w:rsidR="00974A55">
        <w:rPr>
          <w:sz w:val="20"/>
          <w:szCs w:val="20"/>
        </w:rPr>
        <w:t xml:space="preserve">daarentegen </w:t>
      </w:r>
      <w:r w:rsidR="005C4048">
        <w:rPr>
          <w:sz w:val="20"/>
          <w:szCs w:val="20"/>
        </w:rPr>
        <w:t>schadelijk</w:t>
      </w:r>
      <w:r w:rsidRPr="004952CA" w:rsidR="005C4048">
        <w:rPr>
          <w:sz w:val="20"/>
          <w:szCs w:val="20"/>
        </w:rPr>
        <w:t xml:space="preserve"> voor </w:t>
      </w:r>
      <w:r w:rsidRPr="00974A55" w:rsidR="005C4048">
        <w:rPr>
          <w:i/>
          <w:sz w:val="20"/>
          <w:szCs w:val="20"/>
        </w:rPr>
        <w:t>security</w:t>
      </w:r>
      <w:r w:rsidRPr="004952CA" w:rsidR="005C4048">
        <w:rPr>
          <w:sz w:val="20"/>
          <w:szCs w:val="20"/>
        </w:rPr>
        <w:t xml:space="preserve"> en </w:t>
      </w:r>
      <w:r w:rsidR="005C4048">
        <w:rPr>
          <w:sz w:val="20"/>
          <w:szCs w:val="20"/>
        </w:rPr>
        <w:t xml:space="preserve">zou </w:t>
      </w:r>
      <w:r w:rsidRPr="004952CA" w:rsidR="005C4048">
        <w:rPr>
          <w:sz w:val="20"/>
          <w:szCs w:val="20"/>
        </w:rPr>
        <w:t>zelfs als obstructie gezien moet worden</w:t>
      </w:r>
      <w:r w:rsidRPr="004952CA">
        <w:rPr>
          <w:sz w:val="20"/>
          <w:szCs w:val="20"/>
        </w:rPr>
        <w:t xml:space="preserve"> </w:t>
      </w:r>
    </w:p>
    <w:p w:rsidR="005C4048" w:rsidP="003D4EF8" w:rsidRDefault="003D4EF8">
      <w:pPr>
        <w:rPr>
          <w:sz w:val="20"/>
          <w:szCs w:val="20"/>
        </w:rPr>
      </w:pPr>
      <w:r w:rsidRPr="004952CA">
        <w:rPr>
          <w:sz w:val="20"/>
          <w:szCs w:val="20"/>
        </w:rPr>
        <w:t>De conclusie van zijn betoog was dat er behoefte is aan een specia</w:t>
      </w:r>
      <w:r w:rsidR="00234855">
        <w:rPr>
          <w:sz w:val="20"/>
          <w:szCs w:val="20"/>
        </w:rPr>
        <w:t>a</w:t>
      </w:r>
      <w:r w:rsidRPr="004952CA">
        <w:rPr>
          <w:sz w:val="20"/>
          <w:szCs w:val="20"/>
        </w:rPr>
        <w:t xml:space="preserve">l </w:t>
      </w:r>
      <w:r w:rsidRPr="00234855" w:rsidR="00234855">
        <w:rPr>
          <w:i/>
          <w:sz w:val="20"/>
          <w:szCs w:val="20"/>
        </w:rPr>
        <w:t>Computer Emergency Response Team</w:t>
      </w:r>
      <w:r w:rsidR="00234855">
        <w:rPr>
          <w:sz w:val="20"/>
          <w:szCs w:val="20"/>
        </w:rPr>
        <w:t xml:space="preserve"> (</w:t>
      </w:r>
      <w:r w:rsidRPr="004952CA">
        <w:rPr>
          <w:sz w:val="20"/>
          <w:szCs w:val="20"/>
        </w:rPr>
        <w:t>CERT</w:t>
      </w:r>
      <w:r w:rsidR="00234855">
        <w:rPr>
          <w:sz w:val="20"/>
          <w:szCs w:val="20"/>
        </w:rPr>
        <w:t>)</w:t>
      </w:r>
      <w:r w:rsidRPr="004952CA">
        <w:rPr>
          <w:sz w:val="20"/>
          <w:szCs w:val="20"/>
        </w:rPr>
        <w:t xml:space="preserve"> voor de luchtvaartsector om de informatie-uitwisseling te optimaliseren. </w:t>
      </w:r>
    </w:p>
    <w:p w:rsidR="005C4048" w:rsidP="003D4EF8" w:rsidRDefault="005C4048">
      <w:pPr>
        <w:rPr>
          <w:sz w:val="20"/>
          <w:szCs w:val="20"/>
        </w:rPr>
      </w:pPr>
    </w:p>
    <w:p w:rsidR="005C4048" w:rsidP="003D4EF8" w:rsidRDefault="003D4EF8">
      <w:pPr>
        <w:rPr>
          <w:sz w:val="20"/>
          <w:szCs w:val="20"/>
        </w:rPr>
      </w:pPr>
      <w:r w:rsidRPr="004952CA">
        <w:rPr>
          <w:sz w:val="20"/>
          <w:szCs w:val="20"/>
        </w:rPr>
        <w:lastRenderedPageBreak/>
        <w:t xml:space="preserve">Hierop volgde </w:t>
      </w:r>
      <w:r w:rsidRPr="00234855">
        <w:rPr>
          <w:sz w:val="20"/>
          <w:szCs w:val="20"/>
        </w:rPr>
        <w:t>een presentatie van François Thill, het Lu</w:t>
      </w:r>
      <w:r w:rsidRPr="004952CA">
        <w:rPr>
          <w:sz w:val="20"/>
          <w:szCs w:val="20"/>
        </w:rPr>
        <w:t xml:space="preserve">xemburgse lid van de Raad van Bestuur van </w:t>
      </w:r>
      <w:r w:rsidR="00234855">
        <w:rPr>
          <w:sz w:val="20"/>
          <w:szCs w:val="20"/>
        </w:rPr>
        <w:t xml:space="preserve">het </w:t>
      </w:r>
      <w:r w:rsidRPr="00234855" w:rsidR="00234855">
        <w:rPr>
          <w:sz w:val="20"/>
          <w:szCs w:val="20"/>
        </w:rPr>
        <w:t xml:space="preserve">Europees Agentschap voor netwerk- en informatiebeveiliging </w:t>
      </w:r>
      <w:r w:rsidR="00234855">
        <w:rPr>
          <w:sz w:val="20"/>
          <w:szCs w:val="20"/>
        </w:rPr>
        <w:t>(</w:t>
      </w:r>
      <w:r w:rsidRPr="004952CA">
        <w:rPr>
          <w:sz w:val="20"/>
          <w:szCs w:val="20"/>
        </w:rPr>
        <w:t>ENISA</w:t>
      </w:r>
      <w:r w:rsidR="00234855">
        <w:rPr>
          <w:sz w:val="20"/>
          <w:szCs w:val="20"/>
        </w:rPr>
        <w:t>)</w:t>
      </w:r>
      <w:r w:rsidRPr="004952CA">
        <w:rPr>
          <w:sz w:val="20"/>
          <w:szCs w:val="20"/>
        </w:rPr>
        <w:t>, over de samenwerking in Luxemburg tegen cyber-terrorisme. Belangrijke aspecten van de Luxemburgse aanpak zijn: bewustwording</w:t>
      </w:r>
      <w:r w:rsidR="00234855">
        <w:rPr>
          <w:sz w:val="20"/>
          <w:szCs w:val="20"/>
        </w:rPr>
        <w:t>,</w:t>
      </w:r>
      <w:r w:rsidRPr="004952CA">
        <w:rPr>
          <w:sz w:val="20"/>
          <w:szCs w:val="20"/>
        </w:rPr>
        <w:t xml:space="preserve"> ook bij </w:t>
      </w:r>
      <w:r w:rsidR="00234855">
        <w:rPr>
          <w:sz w:val="20"/>
          <w:szCs w:val="20"/>
        </w:rPr>
        <w:t>het mkb</w:t>
      </w:r>
      <w:r w:rsidRPr="004952CA">
        <w:rPr>
          <w:sz w:val="20"/>
          <w:szCs w:val="20"/>
        </w:rPr>
        <w:t xml:space="preserve">; “democratisering” van cybersecurity door bescherming betaalbaar en eenvoudig te maken; samenwerking, vertrouwen en communicatie. </w:t>
      </w:r>
    </w:p>
    <w:p w:rsidRPr="00B95A2B" w:rsidR="003D4EF8" w:rsidP="00DB314D" w:rsidRDefault="00B95A2B">
      <w:pPr>
        <w:rPr>
          <w:bCs/>
          <w:iCs/>
          <w:sz w:val="20"/>
          <w:szCs w:val="20"/>
        </w:rPr>
      </w:pPr>
      <w:r w:rsidRPr="00B95A2B">
        <w:rPr>
          <w:bCs/>
          <w:iCs/>
          <w:sz w:val="20"/>
          <w:szCs w:val="20"/>
        </w:rPr>
        <w:t xml:space="preserve">Wegens tijdsgebrek </w:t>
      </w:r>
      <w:r>
        <w:rPr>
          <w:bCs/>
          <w:iCs/>
          <w:sz w:val="20"/>
          <w:szCs w:val="20"/>
        </w:rPr>
        <w:t xml:space="preserve">was er vervolgens geen mogelijkheid voor discussie tussen de </w:t>
      </w:r>
      <w:r w:rsidR="00234855">
        <w:rPr>
          <w:bCs/>
          <w:iCs/>
          <w:sz w:val="20"/>
          <w:szCs w:val="20"/>
        </w:rPr>
        <w:t>l</w:t>
      </w:r>
      <w:r>
        <w:rPr>
          <w:bCs/>
          <w:iCs/>
          <w:sz w:val="20"/>
          <w:szCs w:val="20"/>
        </w:rPr>
        <w:t xml:space="preserve">idstaten. </w:t>
      </w:r>
    </w:p>
    <w:p w:rsidR="00B95A2B" w:rsidP="00D869BC" w:rsidRDefault="00B95A2B">
      <w:pPr>
        <w:rPr>
          <w:b/>
          <w:sz w:val="20"/>
          <w:szCs w:val="20"/>
        </w:rPr>
      </w:pPr>
    </w:p>
    <w:p w:rsidRPr="005A08CD" w:rsidR="00A92A0E" w:rsidP="00D869BC" w:rsidRDefault="00051374">
      <w:pPr>
        <w:rPr>
          <w:b/>
          <w:bCs/>
          <w:iCs/>
          <w:sz w:val="20"/>
          <w:szCs w:val="20"/>
        </w:rPr>
      </w:pPr>
      <w:r>
        <w:rPr>
          <w:b/>
          <w:sz w:val="20"/>
          <w:szCs w:val="20"/>
        </w:rPr>
        <w:t>S</w:t>
      </w:r>
      <w:r w:rsidRPr="005A08CD" w:rsidR="00D869BC">
        <w:rPr>
          <w:b/>
          <w:sz w:val="20"/>
          <w:szCs w:val="20"/>
        </w:rPr>
        <w:t xml:space="preserve">essie </w:t>
      </w:r>
      <w:r w:rsidRPr="005A08CD" w:rsidR="00DB314D">
        <w:rPr>
          <w:b/>
          <w:sz w:val="20"/>
          <w:szCs w:val="20"/>
        </w:rPr>
        <w:t xml:space="preserve"> III en IV</w:t>
      </w:r>
      <w:r w:rsidRPr="005A08CD" w:rsidR="00D869BC">
        <w:rPr>
          <w:b/>
          <w:sz w:val="20"/>
          <w:szCs w:val="20"/>
        </w:rPr>
        <w:t xml:space="preserve"> </w:t>
      </w:r>
      <w:r w:rsidRPr="005A08CD" w:rsidR="00CA5BA8">
        <w:rPr>
          <w:b/>
          <w:sz w:val="20"/>
          <w:szCs w:val="20"/>
        </w:rPr>
        <w:t>Mensensmokkel</w:t>
      </w:r>
      <w:r w:rsidRPr="005A08CD" w:rsidR="00E23F44">
        <w:rPr>
          <w:b/>
          <w:sz w:val="20"/>
          <w:szCs w:val="20"/>
        </w:rPr>
        <w:t xml:space="preserve">, </w:t>
      </w:r>
      <w:r w:rsidRPr="005A08CD" w:rsidR="00856B8A">
        <w:rPr>
          <w:b/>
          <w:sz w:val="20"/>
          <w:szCs w:val="20"/>
        </w:rPr>
        <w:t>herplaatsing en hervestiging</w:t>
      </w:r>
    </w:p>
    <w:p w:rsidRPr="005A08CD" w:rsidR="00734D36" w:rsidP="00A92A0E" w:rsidRDefault="00734D36">
      <w:pPr>
        <w:ind w:left="360"/>
        <w:rPr>
          <w:bCs/>
          <w:iCs/>
          <w:sz w:val="20"/>
          <w:szCs w:val="20"/>
        </w:rPr>
      </w:pPr>
    </w:p>
    <w:p w:rsidRPr="005A08CD" w:rsidR="00D869BC" w:rsidP="00D869BC" w:rsidRDefault="004952CA">
      <w:pPr>
        <w:rPr>
          <w:sz w:val="20"/>
          <w:szCs w:val="20"/>
        </w:rPr>
      </w:pPr>
      <w:r w:rsidRPr="00234855">
        <w:rPr>
          <w:sz w:val="20"/>
          <w:szCs w:val="20"/>
        </w:rPr>
        <w:t xml:space="preserve">Het Luxemburgs Voorzitterschap </w:t>
      </w:r>
      <w:r w:rsidRPr="005A08CD" w:rsidR="00D869BC">
        <w:rPr>
          <w:sz w:val="20"/>
          <w:szCs w:val="20"/>
        </w:rPr>
        <w:t xml:space="preserve">besloot bij aanvang van de lunch, in aanvulling op de discussie over het EU-actieplan tegen de smokkel van migranten, ook sessie III en IV bij de lunch toe te lichten. </w:t>
      </w:r>
      <w:r w:rsidR="00234855">
        <w:rPr>
          <w:sz w:val="20"/>
          <w:szCs w:val="20"/>
        </w:rPr>
        <w:t xml:space="preserve">Het </w:t>
      </w:r>
      <w:r w:rsidR="001725BA">
        <w:rPr>
          <w:sz w:val="20"/>
          <w:szCs w:val="20"/>
        </w:rPr>
        <w:t>Voorzitterschap</w:t>
      </w:r>
      <w:r w:rsidRPr="005A08CD" w:rsidR="00D869BC">
        <w:rPr>
          <w:sz w:val="20"/>
          <w:szCs w:val="20"/>
        </w:rPr>
        <w:t xml:space="preserve"> wees op de toegenomen crises wereldwijd die tot intensievere volksverhuizingen hebben geleid. Landen die grenzen aan de conflictgebieden, in het bijzonder Egypte, Irak, Jordanië en</w:t>
      </w:r>
      <w:r w:rsidR="00234855">
        <w:rPr>
          <w:sz w:val="20"/>
          <w:szCs w:val="20"/>
        </w:rPr>
        <w:t xml:space="preserve"> Libanon hebben ongeveer 2,1 miljoen</w:t>
      </w:r>
      <w:r w:rsidRPr="005A08CD" w:rsidR="00D869BC">
        <w:rPr>
          <w:sz w:val="20"/>
          <w:szCs w:val="20"/>
        </w:rPr>
        <w:t xml:space="preserve"> Syris</w:t>
      </w:r>
      <w:r w:rsidR="00234855">
        <w:rPr>
          <w:sz w:val="20"/>
          <w:szCs w:val="20"/>
        </w:rPr>
        <w:t>che vluchtelingen opgenomen en Turkije</w:t>
      </w:r>
      <w:r w:rsidRPr="005A08CD" w:rsidR="00D869BC">
        <w:rPr>
          <w:sz w:val="20"/>
          <w:szCs w:val="20"/>
        </w:rPr>
        <w:t xml:space="preserve"> alleen al ongeveer 1,7 miljoen. EU-lidstaten moeten daarom ook solidariteit tonen.</w:t>
      </w:r>
    </w:p>
    <w:p w:rsidRPr="005A08CD" w:rsidR="00D869BC" w:rsidP="00D869BC" w:rsidRDefault="00D869BC">
      <w:pPr>
        <w:rPr>
          <w:sz w:val="20"/>
          <w:szCs w:val="20"/>
        </w:rPr>
      </w:pPr>
    </w:p>
    <w:p w:rsidRPr="005A08CD" w:rsidR="00D869BC" w:rsidP="00D869BC" w:rsidRDefault="00D869BC">
      <w:pPr>
        <w:rPr>
          <w:sz w:val="20"/>
          <w:szCs w:val="20"/>
        </w:rPr>
      </w:pPr>
      <w:r w:rsidRPr="00234855">
        <w:rPr>
          <w:sz w:val="20"/>
          <w:szCs w:val="20"/>
        </w:rPr>
        <w:t>UNHCR (</w:t>
      </w:r>
      <w:r w:rsidRPr="00234855" w:rsidR="004952CA">
        <w:rPr>
          <w:sz w:val="20"/>
          <w:szCs w:val="20"/>
        </w:rPr>
        <w:t xml:space="preserve">de heer </w:t>
      </w:r>
      <w:r w:rsidRPr="00234855">
        <w:rPr>
          <w:sz w:val="20"/>
          <w:szCs w:val="20"/>
        </w:rPr>
        <w:t>Guterres)</w:t>
      </w:r>
      <w:r w:rsidRPr="005A08CD">
        <w:rPr>
          <w:sz w:val="20"/>
          <w:szCs w:val="20"/>
        </w:rPr>
        <w:t xml:space="preserve"> deed een beroep op de lidstaten, deel te nemen aan hervestiging resp</w:t>
      </w:r>
      <w:r w:rsidR="004952CA">
        <w:rPr>
          <w:sz w:val="20"/>
          <w:szCs w:val="20"/>
        </w:rPr>
        <w:t>ectievelijk</w:t>
      </w:r>
      <w:r w:rsidRPr="005A08CD">
        <w:rPr>
          <w:sz w:val="20"/>
          <w:szCs w:val="20"/>
        </w:rPr>
        <w:t xml:space="preserve"> herplaatsing. De leefomstandigheden van kinderen zou blijven verslechteren in de ontvangende landen in de regio. Bovendien word</w:t>
      </w:r>
      <w:r w:rsidR="004952CA">
        <w:rPr>
          <w:sz w:val="20"/>
          <w:szCs w:val="20"/>
        </w:rPr>
        <w:t>t de absorptiecapaciteit in Griekenland</w:t>
      </w:r>
      <w:r w:rsidRPr="005A08CD">
        <w:rPr>
          <w:sz w:val="20"/>
          <w:szCs w:val="20"/>
        </w:rPr>
        <w:t xml:space="preserve"> totaal overbelast. Het plaatsen van hekken is geen oplossing. Er zouden meer mogelijkheden voor legale migratie moeten zijn, er zou doeltreffend opgetreden moeten worden tegen mensensmokkel en regionale beschermingsprogramma’s zouden moeten worden verbeterd. Tijdens de crisis, is solidariteit nu van belang.</w:t>
      </w:r>
    </w:p>
    <w:p w:rsidRPr="005A08CD" w:rsidR="00D869BC" w:rsidP="00D869BC" w:rsidRDefault="00D869BC">
      <w:pPr>
        <w:rPr>
          <w:sz w:val="20"/>
          <w:szCs w:val="20"/>
        </w:rPr>
      </w:pPr>
    </w:p>
    <w:p w:rsidRPr="005A08CD" w:rsidR="00D869BC" w:rsidP="00D869BC" w:rsidRDefault="004952CA">
      <w:pPr>
        <w:rPr>
          <w:sz w:val="20"/>
          <w:szCs w:val="20"/>
        </w:rPr>
      </w:pPr>
      <w:r w:rsidRPr="00934973">
        <w:rPr>
          <w:sz w:val="20"/>
          <w:szCs w:val="20"/>
        </w:rPr>
        <w:t>De Commissie</w:t>
      </w:r>
      <w:r w:rsidRPr="005A08CD" w:rsidR="00D869BC">
        <w:rPr>
          <w:sz w:val="20"/>
          <w:szCs w:val="20"/>
        </w:rPr>
        <w:t xml:space="preserve"> benadrukte het belang van de bestrijding van mensensmokkel. De smokkelaars hebben hun modus operandi veranderd en opereren nu steeds meer via de oostelijke Middellandse Zee. De business</w:t>
      </w:r>
      <w:r w:rsidR="00492794">
        <w:rPr>
          <w:sz w:val="20"/>
          <w:szCs w:val="20"/>
        </w:rPr>
        <w:t xml:space="preserve"> </w:t>
      </w:r>
      <w:r w:rsidRPr="005A08CD" w:rsidR="00D869BC">
        <w:rPr>
          <w:sz w:val="20"/>
          <w:szCs w:val="20"/>
        </w:rPr>
        <w:t>modellen van de smokkelaars moeten beter worden begrepen. In het bijzonder moeten de financiële stromen worden onderzocht. Belangrijk is de oprichting van nationale contactpunten voor de bestrijding van smokkel en nauwere samenwerking met derde landen. Een goed voorbeeld van een geïntegreerde aanpak is het centrum in Niger.</w:t>
      </w:r>
    </w:p>
    <w:p w:rsidRPr="005A08CD" w:rsidR="00D869BC" w:rsidP="00D869BC" w:rsidRDefault="00D869BC">
      <w:pPr>
        <w:rPr>
          <w:sz w:val="20"/>
          <w:szCs w:val="20"/>
        </w:rPr>
      </w:pPr>
    </w:p>
    <w:p w:rsidR="00D869BC" w:rsidP="00D869BC" w:rsidRDefault="00934973">
      <w:pPr>
        <w:rPr>
          <w:sz w:val="20"/>
          <w:szCs w:val="20"/>
        </w:rPr>
      </w:pPr>
      <w:r>
        <w:rPr>
          <w:sz w:val="20"/>
          <w:szCs w:val="20"/>
        </w:rPr>
        <w:t>D</w:t>
      </w:r>
      <w:r w:rsidRPr="00934973">
        <w:rPr>
          <w:sz w:val="20"/>
          <w:szCs w:val="20"/>
        </w:rPr>
        <w:t>e heer Swing</w:t>
      </w:r>
      <w:r w:rsidRPr="005A08CD">
        <w:rPr>
          <w:sz w:val="20"/>
          <w:szCs w:val="20"/>
        </w:rPr>
        <w:t xml:space="preserve"> </w:t>
      </w:r>
      <w:r>
        <w:rPr>
          <w:sz w:val="20"/>
          <w:szCs w:val="20"/>
        </w:rPr>
        <w:t>van d</w:t>
      </w:r>
      <w:r w:rsidRPr="00934973" w:rsidR="000201CC">
        <w:rPr>
          <w:sz w:val="20"/>
          <w:szCs w:val="20"/>
        </w:rPr>
        <w:t>e Internationale Organisatie voor Migratie (</w:t>
      </w:r>
      <w:r w:rsidRPr="00934973" w:rsidR="00D869BC">
        <w:rPr>
          <w:sz w:val="20"/>
          <w:szCs w:val="20"/>
        </w:rPr>
        <w:t>IOM</w:t>
      </w:r>
      <w:r w:rsidRPr="00934973" w:rsidR="000201CC">
        <w:rPr>
          <w:sz w:val="20"/>
          <w:szCs w:val="20"/>
        </w:rPr>
        <w:t>)</w:t>
      </w:r>
      <w:r w:rsidRPr="00934973" w:rsidR="00D869BC">
        <w:rPr>
          <w:sz w:val="20"/>
          <w:szCs w:val="20"/>
        </w:rPr>
        <w:t xml:space="preserve"> </w:t>
      </w:r>
      <w:r w:rsidRPr="005A08CD" w:rsidR="00D869BC">
        <w:rPr>
          <w:sz w:val="20"/>
          <w:szCs w:val="20"/>
        </w:rPr>
        <w:t xml:space="preserve">verklaarde dat ongeveer 150.000 migranten sinds 1 januari de Middellandse Zee zijn </w:t>
      </w:r>
      <w:r w:rsidR="004952CA">
        <w:rPr>
          <w:sz w:val="20"/>
          <w:szCs w:val="20"/>
        </w:rPr>
        <w:t>overgestoken. Daarbij heeft Griekenland</w:t>
      </w:r>
      <w:r w:rsidRPr="005A08CD" w:rsidR="00D869BC">
        <w:rPr>
          <w:sz w:val="20"/>
          <w:szCs w:val="20"/>
        </w:rPr>
        <w:t xml:space="preserve"> me</w:t>
      </w:r>
      <w:r w:rsidR="004952CA">
        <w:rPr>
          <w:sz w:val="20"/>
          <w:szCs w:val="20"/>
        </w:rPr>
        <w:t xml:space="preserve">t ongeveer 79.000 migranten, </w:t>
      </w:r>
      <w:r>
        <w:rPr>
          <w:sz w:val="20"/>
          <w:szCs w:val="20"/>
        </w:rPr>
        <w:t>Italië</w:t>
      </w:r>
      <w:r w:rsidRPr="005A08CD" w:rsidR="00D869BC">
        <w:rPr>
          <w:sz w:val="20"/>
          <w:szCs w:val="20"/>
        </w:rPr>
        <w:t xml:space="preserve"> met ongeveer 76.000 migranten ingehaald. Het actieplan van de EU tegen de smokkel van migranten is een eerste stap in de goede richting. Belangrijk is ook de voortzetting van het Khartoem- en Rabat-proces.</w:t>
      </w:r>
    </w:p>
    <w:p w:rsidR="006C642F" w:rsidP="00D869BC" w:rsidRDefault="006C642F">
      <w:pPr>
        <w:rPr>
          <w:sz w:val="20"/>
          <w:szCs w:val="20"/>
        </w:rPr>
      </w:pPr>
    </w:p>
    <w:p w:rsidR="004952CA" w:rsidP="006C642F" w:rsidRDefault="00934973">
      <w:pPr>
        <w:rPr>
          <w:sz w:val="20"/>
          <w:szCs w:val="20"/>
        </w:rPr>
      </w:pPr>
      <w:r>
        <w:rPr>
          <w:sz w:val="20"/>
          <w:szCs w:val="20"/>
        </w:rPr>
        <w:t>De meeste l</w:t>
      </w:r>
      <w:r w:rsidR="004952CA">
        <w:rPr>
          <w:sz w:val="20"/>
          <w:szCs w:val="20"/>
        </w:rPr>
        <w:t>idstaten benadrukten</w:t>
      </w:r>
      <w:r w:rsidRPr="005A08CD" w:rsidR="004952CA">
        <w:rPr>
          <w:sz w:val="20"/>
          <w:szCs w:val="20"/>
        </w:rPr>
        <w:t xml:space="preserve"> </w:t>
      </w:r>
      <w:r>
        <w:rPr>
          <w:sz w:val="20"/>
          <w:szCs w:val="20"/>
        </w:rPr>
        <w:t xml:space="preserve">dat </w:t>
      </w:r>
      <w:r w:rsidRPr="005A08CD" w:rsidR="004952CA">
        <w:rPr>
          <w:sz w:val="20"/>
          <w:szCs w:val="20"/>
        </w:rPr>
        <w:t xml:space="preserve">krachtige </w:t>
      </w:r>
      <w:r>
        <w:rPr>
          <w:sz w:val="20"/>
          <w:szCs w:val="20"/>
        </w:rPr>
        <w:t xml:space="preserve">instrumenten </w:t>
      </w:r>
      <w:r w:rsidRPr="005A08CD" w:rsidR="004952CA">
        <w:rPr>
          <w:sz w:val="20"/>
          <w:szCs w:val="20"/>
        </w:rPr>
        <w:t xml:space="preserve">tegen de smokkel van migranten </w:t>
      </w:r>
      <w:r w:rsidR="00051374">
        <w:rPr>
          <w:sz w:val="20"/>
          <w:szCs w:val="20"/>
        </w:rPr>
        <w:t xml:space="preserve">en de aanpak van smokkelnetwerken </w:t>
      </w:r>
      <w:r w:rsidRPr="005A08CD" w:rsidR="004952CA">
        <w:rPr>
          <w:sz w:val="20"/>
          <w:szCs w:val="20"/>
        </w:rPr>
        <w:t>nodig zijn</w:t>
      </w:r>
      <w:r w:rsidR="004952CA">
        <w:rPr>
          <w:sz w:val="20"/>
          <w:szCs w:val="20"/>
        </w:rPr>
        <w:t>. Verder benadrukten deze li</w:t>
      </w:r>
      <w:r>
        <w:rPr>
          <w:sz w:val="20"/>
          <w:szCs w:val="20"/>
        </w:rPr>
        <w:t xml:space="preserve">dstaten dat de oprichting van </w:t>
      </w:r>
      <w:r w:rsidRPr="005A08CD">
        <w:rPr>
          <w:sz w:val="20"/>
          <w:szCs w:val="20"/>
        </w:rPr>
        <w:t>'hot spots'</w:t>
      </w:r>
      <w:r>
        <w:rPr>
          <w:sz w:val="20"/>
          <w:szCs w:val="20"/>
        </w:rPr>
        <w:t xml:space="preserve"> </w:t>
      </w:r>
      <w:r w:rsidR="004952CA">
        <w:rPr>
          <w:sz w:val="20"/>
          <w:szCs w:val="20"/>
        </w:rPr>
        <w:t>nodig zijn.</w:t>
      </w:r>
    </w:p>
    <w:p w:rsidR="004952CA" w:rsidP="006C642F" w:rsidRDefault="004952CA">
      <w:pPr>
        <w:rPr>
          <w:sz w:val="20"/>
          <w:szCs w:val="20"/>
        </w:rPr>
      </w:pPr>
    </w:p>
    <w:p w:rsidRPr="005A08CD" w:rsidR="006C642F" w:rsidP="006C642F" w:rsidRDefault="006C642F">
      <w:pPr>
        <w:rPr>
          <w:sz w:val="20"/>
          <w:szCs w:val="20"/>
        </w:rPr>
      </w:pPr>
      <w:r w:rsidRPr="00934973">
        <w:rPr>
          <w:sz w:val="20"/>
          <w:szCs w:val="20"/>
        </w:rPr>
        <w:t>Voor Nederland</w:t>
      </w:r>
      <w:r>
        <w:rPr>
          <w:sz w:val="20"/>
          <w:szCs w:val="20"/>
        </w:rPr>
        <w:t xml:space="preserve"> en een aantal</w:t>
      </w:r>
      <w:r w:rsidR="00934973">
        <w:rPr>
          <w:sz w:val="20"/>
          <w:szCs w:val="20"/>
        </w:rPr>
        <w:t xml:space="preserve"> andere l</w:t>
      </w:r>
      <w:r>
        <w:rPr>
          <w:sz w:val="20"/>
          <w:szCs w:val="20"/>
        </w:rPr>
        <w:t>idstaten zijn vijf punten</w:t>
      </w:r>
      <w:r w:rsidRPr="005A08CD">
        <w:rPr>
          <w:sz w:val="20"/>
          <w:szCs w:val="20"/>
        </w:rPr>
        <w:t xml:space="preserve"> van belang</w:t>
      </w:r>
      <w:r w:rsidR="004952CA">
        <w:rPr>
          <w:sz w:val="20"/>
          <w:szCs w:val="20"/>
        </w:rPr>
        <w:t xml:space="preserve"> in het kader van hervestiging en herplaatsing van belang</w:t>
      </w:r>
      <w:r w:rsidRPr="005A08CD">
        <w:rPr>
          <w:sz w:val="20"/>
          <w:szCs w:val="20"/>
        </w:rPr>
        <w:t>: 1. Alleen personen die bescherming nodig hebben</w:t>
      </w:r>
      <w:r w:rsidR="004952CA">
        <w:rPr>
          <w:sz w:val="20"/>
          <w:szCs w:val="20"/>
        </w:rPr>
        <w:t xml:space="preserve"> komen er voor in aanmerking</w:t>
      </w:r>
      <w:r w:rsidRPr="005A08CD">
        <w:rPr>
          <w:sz w:val="20"/>
          <w:szCs w:val="20"/>
        </w:rPr>
        <w:t xml:space="preserve">. 2. De volledige registratie van migranten wordt gewaarborgd met ondersteuning van </w:t>
      </w:r>
      <w:r w:rsidRPr="005A08CD" w:rsidR="00934973">
        <w:rPr>
          <w:sz w:val="20"/>
          <w:szCs w:val="20"/>
        </w:rPr>
        <w:t>'hot spots'</w:t>
      </w:r>
      <w:r w:rsidRPr="005A08CD">
        <w:rPr>
          <w:sz w:val="20"/>
          <w:szCs w:val="20"/>
        </w:rPr>
        <w:t>. 3. De terugkeer van personen die geen bescherming nodig hebben moet - met de hulp van IOM en UNHCR – vastberaden uitgevoerd worden. 4. Ter voorkomi</w:t>
      </w:r>
      <w:r>
        <w:rPr>
          <w:sz w:val="20"/>
          <w:szCs w:val="20"/>
        </w:rPr>
        <w:t>ng van secundaire migratie</w:t>
      </w:r>
      <w:r w:rsidR="00051374">
        <w:rPr>
          <w:sz w:val="20"/>
          <w:szCs w:val="20"/>
        </w:rPr>
        <w:t xml:space="preserve"> is een voorstel van Commissie</w:t>
      </w:r>
      <w:r w:rsidRPr="005A08CD">
        <w:rPr>
          <w:sz w:val="20"/>
          <w:szCs w:val="20"/>
        </w:rPr>
        <w:t xml:space="preserve"> vereist en 5. Bij hervestiging</w:t>
      </w:r>
      <w:r>
        <w:rPr>
          <w:sz w:val="20"/>
          <w:szCs w:val="20"/>
        </w:rPr>
        <w:t xml:space="preserve"> moet geconcentreerd worden op</w:t>
      </w:r>
      <w:r w:rsidRPr="005A08CD">
        <w:rPr>
          <w:sz w:val="20"/>
          <w:szCs w:val="20"/>
        </w:rPr>
        <w:t xml:space="preserve"> een paar, vooral hulpbehoevende landen.</w:t>
      </w:r>
    </w:p>
    <w:p w:rsidRPr="005A08CD" w:rsidR="006C642F" w:rsidP="00D869BC" w:rsidRDefault="006C642F">
      <w:pPr>
        <w:rPr>
          <w:sz w:val="20"/>
          <w:szCs w:val="20"/>
        </w:rPr>
      </w:pPr>
    </w:p>
    <w:p w:rsidRPr="005A08CD" w:rsidR="00D869BC" w:rsidP="00D869BC" w:rsidRDefault="00051374">
      <w:pPr>
        <w:rPr>
          <w:sz w:val="20"/>
          <w:szCs w:val="20"/>
        </w:rPr>
      </w:pPr>
      <w:r w:rsidRPr="00934973">
        <w:rPr>
          <w:sz w:val="20"/>
          <w:szCs w:val="20"/>
        </w:rPr>
        <w:lastRenderedPageBreak/>
        <w:t>Het Luxemburgs Voorzitterschap</w:t>
      </w:r>
      <w:r>
        <w:rPr>
          <w:b/>
          <w:sz w:val="20"/>
          <w:szCs w:val="20"/>
        </w:rPr>
        <w:t xml:space="preserve"> </w:t>
      </w:r>
      <w:r w:rsidRPr="005A08CD" w:rsidR="00D869BC">
        <w:rPr>
          <w:sz w:val="20"/>
          <w:szCs w:val="20"/>
        </w:rPr>
        <w:t xml:space="preserve">concludeerde dat de oprichting van de 'hot spots' belangrijk </w:t>
      </w:r>
      <w:r w:rsidR="00934973">
        <w:rPr>
          <w:sz w:val="20"/>
          <w:szCs w:val="20"/>
        </w:rPr>
        <w:t>is</w:t>
      </w:r>
      <w:r w:rsidRPr="005A08CD" w:rsidR="00D869BC">
        <w:rPr>
          <w:sz w:val="20"/>
          <w:szCs w:val="20"/>
        </w:rPr>
        <w:t>. Daarnaast moeten alle migranten worden geregistreerd en</w:t>
      </w:r>
      <w:r w:rsidR="00934973">
        <w:rPr>
          <w:sz w:val="20"/>
          <w:szCs w:val="20"/>
        </w:rPr>
        <w:t xml:space="preserve"> moet</w:t>
      </w:r>
      <w:r w:rsidRPr="005A08CD" w:rsidR="00D869BC">
        <w:rPr>
          <w:sz w:val="20"/>
          <w:szCs w:val="20"/>
        </w:rPr>
        <w:t xml:space="preserve"> een efficiënt terugkeerbeleid </w:t>
      </w:r>
      <w:r w:rsidR="00934973">
        <w:rPr>
          <w:sz w:val="20"/>
          <w:szCs w:val="20"/>
        </w:rPr>
        <w:t>worden uitgevoerd. Met betrekking tot</w:t>
      </w:r>
      <w:r w:rsidRPr="005A08CD" w:rsidR="00D869BC">
        <w:rPr>
          <w:sz w:val="20"/>
          <w:szCs w:val="20"/>
        </w:rPr>
        <w:t xml:space="preserve"> het vermijden va</w:t>
      </w:r>
      <w:r>
        <w:rPr>
          <w:sz w:val="20"/>
          <w:szCs w:val="20"/>
        </w:rPr>
        <w:t>n secundaire migratie zou de Commissie</w:t>
      </w:r>
      <w:r w:rsidRPr="005A08CD" w:rsidR="00D869BC">
        <w:rPr>
          <w:sz w:val="20"/>
          <w:szCs w:val="20"/>
        </w:rPr>
        <w:t xml:space="preserve"> een voorstel moeten indienen.</w:t>
      </w:r>
    </w:p>
    <w:p w:rsidRPr="005A08CD" w:rsidR="00D869BC" w:rsidP="00D869BC" w:rsidRDefault="00D869BC">
      <w:pPr>
        <w:rPr>
          <w:sz w:val="20"/>
          <w:szCs w:val="20"/>
        </w:rPr>
      </w:pPr>
    </w:p>
    <w:p w:rsidRPr="005A08CD" w:rsidR="00D869BC" w:rsidP="00D869BC" w:rsidRDefault="00D869BC">
      <w:pPr>
        <w:rPr>
          <w:sz w:val="20"/>
          <w:szCs w:val="20"/>
        </w:rPr>
      </w:pPr>
      <w:r w:rsidRPr="005A08CD">
        <w:rPr>
          <w:sz w:val="20"/>
          <w:szCs w:val="20"/>
        </w:rPr>
        <w:t xml:space="preserve">In aansluiting op deze discussie werden in een besloten ministersbijeenkomst aantallen voor herplaatsing en hervestiging genoemd. </w:t>
      </w:r>
      <w:r w:rsidR="00051374">
        <w:rPr>
          <w:sz w:val="20"/>
          <w:szCs w:val="20"/>
        </w:rPr>
        <w:t>Als resultaat hiervan, meldde het Luxemburgs Voorzitterschap</w:t>
      </w:r>
      <w:r w:rsidRPr="005A08CD">
        <w:rPr>
          <w:sz w:val="20"/>
          <w:szCs w:val="20"/>
        </w:rPr>
        <w:t xml:space="preserve"> publiekelijk dat het st</w:t>
      </w:r>
      <w:r w:rsidR="00051374">
        <w:rPr>
          <w:sz w:val="20"/>
          <w:szCs w:val="20"/>
        </w:rPr>
        <w:t>reefgetal voor hervestiging (Commissie</w:t>
      </w:r>
      <w:r w:rsidRPr="005A08CD">
        <w:rPr>
          <w:sz w:val="20"/>
          <w:szCs w:val="20"/>
        </w:rPr>
        <w:t>voorstel 20.000) overschreden werd. Het str</w:t>
      </w:r>
      <w:r w:rsidR="00051374">
        <w:rPr>
          <w:sz w:val="20"/>
          <w:szCs w:val="20"/>
        </w:rPr>
        <w:t>eefgetal voor herplaatsing (Commissie</w:t>
      </w:r>
      <w:r w:rsidRPr="005A08CD">
        <w:rPr>
          <w:sz w:val="20"/>
          <w:szCs w:val="20"/>
        </w:rPr>
        <w:t>voorstel 40.000) werd nog niet bereikt.</w:t>
      </w:r>
      <w:r w:rsidR="00051374">
        <w:rPr>
          <w:sz w:val="20"/>
          <w:szCs w:val="20"/>
        </w:rPr>
        <w:t xml:space="preserve"> Het Luxemburgs Voorzitterschap</w:t>
      </w:r>
      <w:r w:rsidRPr="005A08CD">
        <w:rPr>
          <w:sz w:val="20"/>
          <w:szCs w:val="20"/>
        </w:rPr>
        <w:t xml:space="preserve"> </w:t>
      </w:r>
      <w:r w:rsidR="001725BA">
        <w:rPr>
          <w:sz w:val="20"/>
          <w:szCs w:val="20"/>
        </w:rPr>
        <w:t>nodigde</w:t>
      </w:r>
      <w:r w:rsidRPr="005A08CD" w:rsidR="001725BA">
        <w:rPr>
          <w:sz w:val="20"/>
          <w:szCs w:val="20"/>
        </w:rPr>
        <w:t xml:space="preserve"> </w:t>
      </w:r>
      <w:r w:rsidRPr="005A08CD">
        <w:rPr>
          <w:sz w:val="20"/>
          <w:szCs w:val="20"/>
        </w:rPr>
        <w:t xml:space="preserve">daarom ministers uit voor een extra JBZ-Raad op 20 juli in Brussel. </w:t>
      </w:r>
    </w:p>
    <w:p w:rsidR="00D869BC" w:rsidP="00D869BC" w:rsidRDefault="00D869BC">
      <w:pPr>
        <w:rPr>
          <w:sz w:val="20"/>
          <w:szCs w:val="20"/>
        </w:rPr>
      </w:pPr>
    </w:p>
    <w:p w:rsidRPr="005A08CD" w:rsidR="00934973" w:rsidP="00D869BC" w:rsidRDefault="00934973">
      <w:pPr>
        <w:rPr>
          <w:sz w:val="20"/>
          <w:szCs w:val="20"/>
        </w:rPr>
      </w:pPr>
    </w:p>
    <w:p w:rsidRPr="005A08CD" w:rsidR="00792F73" w:rsidP="00792F73" w:rsidRDefault="00792F73">
      <w:pPr>
        <w:pStyle w:val="Kop1"/>
        <w:spacing w:before="0" w:after="0"/>
        <w:rPr>
          <w:rFonts w:ascii="Verdana" w:hAnsi="Verdana"/>
          <w:sz w:val="20"/>
          <w:szCs w:val="20"/>
        </w:rPr>
      </w:pPr>
      <w:r w:rsidRPr="005A08CD">
        <w:rPr>
          <w:rFonts w:ascii="Verdana" w:hAnsi="Verdana"/>
          <w:sz w:val="20"/>
          <w:szCs w:val="20"/>
        </w:rPr>
        <w:t>II. Veiligheid en Justitie, Grondrechten en Burgerschap</w:t>
      </w:r>
      <w:r w:rsidRPr="005A08CD" w:rsidR="00C845F8">
        <w:rPr>
          <w:rFonts w:ascii="Verdana" w:hAnsi="Verdana"/>
          <w:sz w:val="20"/>
          <w:szCs w:val="20"/>
        </w:rPr>
        <w:t xml:space="preserve"> (10 juli 2015)</w:t>
      </w:r>
    </w:p>
    <w:p w:rsidRPr="005A08CD" w:rsidR="00792F73" w:rsidP="00792F73" w:rsidRDefault="00792F73">
      <w:pPr>
        <w:rPr>
          <w:b/>
          <w:sz w:val="20"/>
          <w:szCs w:val="20"/>
        </w:rPr>
      </w:pPr>
    </w:p>
    <w:p w:rsidRPr="005A08CD" w:rsidR="005E3EA7" w:rsidP="008A5B16" w:rsidRDefault="005E3EA7">
      <w:pPr>
        <w:rPr>
          <w:b/>
          <w:sz w:val="20"/>
          <w:szCs w:val="20"/>
        </w:rPr>
      </w:pPr>
      <w:r w:rsidRPr="005A08CD">
        <w:rPr>
          <w:b/>
          <w:sz w:val="20"/>
          <w:szCs w:val="20"/>
        </w:rPr>
        <w:t>Ontbijtbespreking: toepassingsbereik van de richtlijn betreffende de strafrechtelijke bestrijding van fraude die de financiële belangen van de Unie schaadt (P</w:t>
      </w:r>
      <w:r w:rsidR="00934973">
        <w:rPr>
          <w:b/>
          <w:sz w:val="20"/>
          <w:szCs w:val="20"/>
        </w:rPr>
        <w:t>I</w:t>
      </w:r>
      <w:r w:rsidRPr="005A08CD">
        <w:rPr>
          <w:b/>
          <w:sz w:val="20"/>
          <w:szCs w:val="20"/>
        </w:rPr>
        <w:t>F-richtlijn)</w:t>
      </w:r>
    </w:p>
    <w:p w:rsidRPr="005A08CD" w:rsidR="000F6E39" w:rsidP="000F6E39" w:rsidRDefault="000F6E39">
      <w:pPr>
        <w:pStyle w:val="Geenafstand"/>
        <w:rPr>
          <w:rFonts w:ascii="Verdana" w:hAnsi="Verdana"/>
          <w:b/>
          <w:sz w:val="20"/>
          <w:szCs w:val="20"/>
        </w:rPr>
      </w:pPr>
    </w:p>
    <w:p w:rsidRPr="005A08CD" w:rsidR="000F6E39" w:rsidP="000F6E39" w:rsidRDefault="00396E7A">
      <w:pPr>
        <w:pStyle w:val="Geenafstand"/>
        <w:rPr>
          <w:rFonts w:ascii="Verdana" w:hAnsi="Verdana"/>
          <w:sz w:val="20"/>
          <w:szCs w:val="20"/>
        </w:rPr>
      </w:pPr>
      <w:r>
        <w:rPr>
          <w:rFonts w:ascii="Verdana" w:hAnsi="Verdana"/>
          <w:sz w:val="20"/>
          <w:szCs w:val="20"/>
        </w:rPr>
        <w:t>Het Luxemburgs Voorzitterschap</w:t>
      </w:r>
      <w:r w:rsidR="00934973">
        <w:rPr>
          <w:rFonts w:ascii="Verdana" w:hAnsi="Verdana"/>
          <w:sz w:val="20"/>
          <w:szCs w:val="20"/>
        </w:rPr>
        <w:t xml:space="preserve"> </w:t>
      </w:r>
      <w:r w:rsidRPr="005A08CD" w:rsidR="000F6E39">
        <w:rPr>
          <w:rFonts w:ascii="Verdana" w:hAnsi="Verdana"/>
          <w:sz w:val="20"/>
          <w:szCs w:val="20"/>
        </w:rPr>
        <w:t>schetst</w:t>
      </w:r>
      <w:r>
        <w:rPr>
          <w:rFonts w:ascii="Verdana" w:hAnsi="Verdana"/>
          <w:sz w:val="20"/>
          <w:szCs w:val="20"/>
        </w:rPr>
        <w:t>e</w:t>
      </w:r>
      <w:r w:rsidRPr="005A08CD" w:rsidR="000F6E39">
        <w:rPr>
          <w:rFonts w:ascii="Verdana" w:hAnsi="Verdana"/>
          <w:sz w:val="20"/>
          <w:szCs w:val="20"/>
        </w:rPr>
        <w:t xml:space="preserve"> de stand van zaken. De triloog ten aanzien van de PIF-richtlijn is vastgelopen op de vraag of BTW al dan niet onder de reikwijdte van de richtlijn zou moeten worden gebracht. Het Europees Parlement</w:t>
      </w:r>
      <w:r w:rsidR="002B454F">
        <w:rPr>
          <w:rFonts w:ascii="Verdana" w:hAnsi="Verdana"/>
          <w:sz w:val="20"/>
          <w:szCs w:val="20"/>
        </w:rPr>
        <w:t xml:space="preserve"> (EP)</w:t>
      </w:r>
      <w:r w:rsidRPr="005A08CD" w:rsidR="000F6E39">
        <w:rPr>
          <w:rFonts w:ascii="Verdana" w:hAnsi="Verdana"/>
          <w:sz w:val="20"/>
          <w:szCs w:val="20"/>
        </w:rPr>
        <w:t xml:space="preserve"> is daaraan sterk gehecht, vooral omdat het streeft naar een bevoegdheid van het toekomstig Europees </w:t>
      </w:r>
      <w:r w:rsidR="002B454F">
        <w:rPr>
          <w:rFonts w:ascii="Verdana" w:hAnsi="Verdana"/>
          <w:sz w:val="20"/>
          <w:szCs w:val="20"/>
        </w:rPr>
        <w:t>O</w:t>
      </w:r>
      <w:r w:rsidRPr="005A08CD" w:rsidR="000F6E39">
        <w:rPr>
          <w:rFonts w:ascii="Verdana" w:hAnsi="Verdana"/>
          <w:sz w:val="20"/>
          <w:szCs w:val="20"/>
        </w:rPr>
        <w:t xml:space="preserve">penbaar </w:t>
      </w:r>
      <w:r w:rsidR="002B454F">
        <w:rPr>
          <w:rFonts w:ascii="Verdana" w:hAnsi="Verdana"/>
          <w:sz w:val="20"/>
          <w:szCs w:val="20"/>
        </w:rPr>
        <w:t>M</w:t>
      </w:r>
      <w:r w:rsidRPr="005A08CD" w:rsidR="000F6E39">
        <w:rPr>
          <w:rFonts w:ascii="Verdana" w:hAnsi="Verdana"/>
          <w:sz w:val="20"/>
          <w:szCs w:val="20"/>
        </w:rPr>
        <w:t xml:space="preserve">inisterie </w:t>
      </w:r>
      <w:r w:rsidR="002B454F">
        <w:rPr>
          <w:rFonts w:ascii="Verdana" w:hAnsi="Verdana"/>
          <w:sz w:val="20"/>
          <w:szCs w:val="20"/>
        </w:rPr>
        <w:t xml:space="preserve">(EOM) </w:t>
      </w:r>
      <w:r w:rsidRPr="005A08CD" w:rsidR="000F6E39">
        <w:rPr>
          <w:rFonts w:ascii="Verdana" w:hAnsi="Verdana"/>
          <w:sz w:val="20"/>
          <w:szCs w:val="20"/>
        </w:rPr>
        <w:t>bij de bestrijding van grensoverschrijdende BTW-fraude (caroussel-fraude). De Raad is evenwel nagenoeg unaniem gekant tegen opname van BTW in d</w:t>
      </w:r>
      <w:r w:rsidR="00851C44">
        <w:rPr>
          <w:rFonts w:ascii="Verdana" w:hAnsi="Verdana"/>
          <w:sz w:val="20"/>
          <w:szCs w:val="20"/>
        </w:rPr>
        <w:t>e PIF-richtlijn. Het Luxemburgs Voorzitterschap</w:t>
      </w:r>
      <w:r w:rsidRPr="005A08CD" w:rsidR="000F6E39">
        <w:rPr>
          <w:rFonts w:ascii="Verdana" w:hAnsi="Verdana"/>
          <w:sz w:val="20"/>
          <w:szCs w:val="20"/>
        </w:rPr>
        <w:t xml:space="preserve"> zoekt naar ruimte bij de </w:t>
      </w:r>
      <w:r w:rsidR="00934973">
        <w:rPr>
          <w:rFonts w:ascii="Verdana" w:hAnsi="Verdana"/>
          <w:sz w:val="20"/>
          <w:szCs w:val="20"/>
        </w:rPr>
        <w:t>l</w:t>
      </w:r>
      <w:r w:rsidR="00851C44">
        <w:rPr>
          <w:rFonts w:ascii="Verdana" w:hAnsi="Verdana"/>
          <w:sz w:val="20"/>
          <w:szCs w:val="20"/>
        </w:rPr>
        <w:t>idstaten</w:t>
      </w:r>
      <w:r w:rsidRPr="005A08CD" w:rsidR="000F6E39">
        <w:rPr>
          <w:rFonts w:ascii="Verdana" w:hAnsi="Verdana"/>
          <w:sz w:val="20"/>
          <w:szCs w:val="20"/>
        </w:rPr>
        <w:t xml:space="preserve"> om de triloog vlot te trekken. Om die reden wordt in het </w:t>
      </w:r>
      <w:r w:rsidR="00934973">
        <w:rPr>
          <w:rFonts w:ascii="Verdana" w:hAnsi="Verdana"/>
          <w:sz w:val="20"/>
          <w:szCs w:val="20"/>
        </w:rPr>
        <w:t>voorliggende discussiedocument onder meer</w:t>
      </w:r>
      <w:r w:rsidRPr="005A08CD" w:rsidR="000F6E39">
        <w:rPr>
          <w:rFonts w:ascii="Verdana" w:hAnsi="Verdana"/>
          <w:sz w:val="20"/>
          <w:szCs w:val="20"/>
        </w:rPr>
        <w:t xml:space="preserve"> de vraag gesteld of </w:t>
      </w:r>
      <w:r w:rsidR="002B454F">
        <w:rPr>
          <w:rFonts w:ascii="Verdana" w:hAnsi="Verdana"/>
          <w:sz w:val="20"/>
          <w:szCs w:val="20"/>
        </w:rPr>
        <w:t>l</w:t>
      </w:r>
      <w:r w:rsidR="00851C44">
        <w:rPr>
          <w:rFonts w:ascii="Verdana" w:hAnsi="Verdana"/>
          <w:sz w:val="20"/>
          <w:szCs w:val="20"/>
        </w:rPr>
        <w:t>idstaten</w:t>
      </w:r>
      <w:r w:rsidRPr="005A08CD" w:rsidR="000F6E39">
        <w:rPr>
          <w:rFonts w:ascii="Verdana" w:hAnsi="Verdana"/>
          <w:sz w:val="20"/>
          <w:szCs w:val="20"/>
        </w:rPr>
        <w:t xml:space="preserve"> eventueel bereid zouden zijn om een bevoegdheid van het EOM bij de bestrijding van BTW-fraude te aanvaarden, of eventueel andere oplossingsrichtingen aan te dragen.</w:t>
      </w:r>
    </w:p>
    <w:p w:rsidRPr="005A08CD" w:rsidR="000F6E39" w:rsidP="000F6E39" w:rsidRDefault="000F6E39">
      <w:pPr>
        <w:pStyle w:val="Geenafstand"/>
        <w:rPr>
          <w:rFonts w:ascii="Verdana" w:hAnsi="Verdana"/>
          <w:sz w:val="20"/>
          <w:szCs w:val="20"/>
        </w:rPr>
      </w:pPr>
      <w:r w:rsidRPr="005A08CD">
        <w:rPr>
          <w:rFonts w:ascii="Verdana" w:hAnsi="Verdana"/>
          <w:sz w:val="20"/>
          <w:szCs w:val="20"/>
        </w:rPr>
        <w:t xml:space="preserve">  </w:t>
      </w:r>
    </w:p>
    <w:p w:rsidRPr="005A08CD" w:rsidR="000F6E39" w:rsidP="000F6E39" w:rsidRDefault="00851C44">
      <w:pPr>
        <w:pStyle w:val="Geenafstand"/>
        <w:rPr>
          <w:rFonts w:ascii="Verdana" w:hAnsi="Verdana"/>
          <w:sz w:val="20"/>
          <w:szCs w:val="20"/>
        </w:rPr>
      </w:pPr>
      <w:r>
        <w:rPr>
          <w:rFonts w:ascii="Verdana" w:hAnsi="Verdana"/>
          <w:sz w:val="20"/>
          <w:szCs w:val="20"/>
        </w:rPr>
        <w:t xml:space="preserve">De </w:t>
      </w:r>
      <w:r w:rsidRPr="002B454F">
        <w:rPr>
          <w:rFonts w:ascii="Verdana" w:hAnsi="Verdana"/>
          <w:sz w:val="20"/>
          <w:szCs w:val="20"/>
        </w:rPr>
        <w:t>Commissie</w:t>
      </w:r>
      <w:r w:rsidRPr="002B454F" w:rsidR="000F6E39">
        <w:rPr>
          <w:rFonts w:ascii="Verdana" w:hAnsi="Verdana"/>
          <w:sz w:val="20"/>
          <w:szCs w:val="20"/>
        </w:rPr>
        <w:t xml:space="preserve"> </w:t>
      </w:r>
      <w:r w:rsidR="002B454F">
        <w:rPr>
          <w:rFonts w:ascii="Verdana" w:hAnsi="Verdana"/>
          <w:sz w:val="20"/>
          <w:szCs w:val="20"/>
        </w:rPr>
        <w:t xml:space="preserve">gaf aan zich </w:t>
      </w:r>
      <w:r w:rsidRPr="005A08CD" w:rsidR="000F6E39">
        <w:rPr>
          <w:rFonts w:ascii="Verdana" w:hAnsi="Verdana"/>
          <w:sz w:val="20"/>
          <w:szCs w:val="20"/>
        </w:rPr>
        <w:t xml:space="preserve">in deze discussie achter de positie van </w:t>
      </w:r>
      <w:r w:rsidR="002B454F">
        <w:rPr>
          <w:rFonts w:ascii="Verdana" w:hAnsi="Verdana"/>
          <w:sz w:val="20"/>
          <w:szCs w:val="20"/>
        </w:rPr>
        <w:t>EP te scharen.</w:t>
      </w:r>
    </w:p>
    <w:p w:rsidRPr="005A08CD" w:rsidR="000F6E39" w:rsidP="000F6E39" w:rsidRDefault="000F6E39">
      <w:pPr>
        <w:pStyle w:val="Geenafstand"/>
        <w:rPr>
          <w:rFonts w:ascii="Verdana" w:hAnsi="Verdana"/>
          <w:sz w:val="20"/>
          <w:szCs w:val="20"/>
        </w:rPr>
      </w:pPr>
    </w:p>
    <w:p w:rsidRPr="005A08CD" w:rsidR="000F6E39" w:rsidP="000F6E39" w:rsidRDefault="002B454F">
      <w:pPr>
        <w:pStyle w:val="Geenafstand"/>
        <w:rPr>
          <w:rFonts w:ascii="Verdana" w:hAnsi="Verdana"/>
          <w:sz w:val="20"/>
          <w:szCs w:val="20"/>
        </w:rPr>
      </w:pPr>
      <w:r>
        <w:rPr>
          <w:rFonts w:ascii="Verdana" w:hAnsi="Verdana"/>
          <w:sz w:val="20"/>
          <w:szCs w:val="20"/>
        </w:rPr>
        <w:t>De meeste l</w:t>
      </w:r>
      <w:r w:rsidR="00851C44">
        <w:rPr>
          <w:rFonts w:ascii="Verdana" w:hAnsi="Verdana"/>
          <w:sz w:val="20"/>
          <w:szCs w:val="20"/>
        </w:rPr>
        <w:t>idstaten</w:t>
      </w:r>
      <w:r w:rsidR="00B668B6">
        <w:rPr>
          <w:rFonts w:ascii="Verdana" w:hAnsi="Verdana"/>
          <w:sz w:val="20"/>
          <w:szCs w:val="20"/>
        </w:rPr>
        <w:t xml:space="preserve">, </w:t>
      </w:r>
      <w:r w:rsidR="006076B2">
        <w:rPr>
          <w:rFonts w:ascii="Verdana" w:hAnsi="Verdana"/>
          <w:sz w:val="20"/>
          <w:szCs w:val="20"/>
        </w:rPr>
        <w:t>waaronder Nederland</w:t>
      </w:r>
      <w:r w:rsidR="00B668B6">
        <w:rPr>
          <w:rFonts w:ascii="Verdana" w:hAnsi="Verdana"/>
          <w:sz w:val="20"/>
          <w:szCs w:val="20"/>
        </w:rPr>
        <w:t>,</w:t>
      </w:r>
      <w:r>
        <w:rPr>
          <w:rFonts w:ascii="Verdana" w:hAnsi="Verdana"/>
          <w:sz w:val="20"/>
          <w:szCs w:val="20"/>
        </w:rPr>
        <w:t xml:space="preserve"> hiel</w:t>
      </w:r>
      <w:r w:rsidRPr="005A08CD" w:rsidR="000F6E39">
        <w:rPr>
          <w:rFonts w:ascii="Verdana" w:hAnsi="Verdana"/>
          <w:sz w:val="20"/>
          <w:szCs w:val="20"/>
        </w:rPr>
        <w:t xml:space="preserve">den vast aan het standpunt </w:t>
      </w:r>
      <w:r w:rsidR="00B668B6">
        <w:rPr>
          <w:rFonts w:ascii="Verdana" w:hAnsi="Verdana"/>
          <w:sz w:val="20"/>
          <w:szCs w:val="20"/>
        </w:rPr>
        <w:t>dat</w:t>
      </w:r>
      <w:r w:rsidRPr="005A08CD" w:rsidR="000F6E39">
        <w:rPr>
          <w:rFonts w:ascii="Verdana" w:hAnsi="Verdana"/>
          <w:sz w:val="20"/>
          <w:szCs w:val="20"/>
        </w:rPr>
        <w:t xml:space="preserve"> BTW buiten de reikwijdte van de PIF-richtlijn </w:t>
      </w:r>
      <w:r w:rsidR="00B668B6">
        <w:rPr>
          <w:rFonts w:ascii="Verdana" w:hAnsi="Verdana"/>
          <w:sz w:val="20"/>
          <w:szCs w:val="20"/>
        </w:rPr>
        <w:t>moet blijven</w:t>
      </w:r>
      <w:r w:rsidR="006076B2">
        <w:rPr>
          <w:rFonts w:ascii="Verdana" w:hAnsi="Verdana"/>
          <w:sz w:val="20"/>
          <w:szCs w:val="20"/>
        </w:rPr>
        <w:t>.</w:t>
      </w:r>
      <w:r w:rsidRPr="005A08CD" w:rsidR="000F6E39">
        <w:rPr>
          <w:rFonts w:ascii="Verdana" w:hAnsi="Verdana"/>
          <w:sz w:val="20"/>
          <w:szCs w:val="20"/>
        </w:rPr>
        <w:t xml:space="preserve"> </w:t>
      </w:r>
    </w:p>
    <w:p w:rsidRPr="005A08CD" w:rsidR="000F6E39" w:rsidP="000F6E39" w:rsidRDefault="002B454F">
      <w:pPr>
        <w:pStyle w:val="Geenafstand"/>
        <w:rPr>
          <w:rFonts w:ascii="Verdana" w:hAnsi="Verdana"/>
          <w:sz w:val="20"/>
          <w:szCs w:val="20"/>
        </w:rPr>
      </w:pPr>
      <w:r>
        <w:rPr>
          <w:rFonts w:ascii="Verdana" w:hAnsi="Verdana"/>
          <w:sz w:val="20"/>
          <w:szCs w:val="20"/>
        </w:rPr>
        <w:t>Twee l</w:t>
      </w:r>
      <w:r w:rsidR="006076B2">
        <w:rPr>
          <w:rFonts w:ascii="Verdana" w:hAnsi="Verdana"/>
          <w:sz w:val="20"/>
          <w:szCs w:val="20"/>
        </w:rPr>
        <w:t>idstaten</w:t>
      </w:r>
      <w:r w:rsidRPr="005A08CD" w:rsidR="000F6E39">
        <w:rPr>
          <w:rFonts w:ascii="Verdana" w:hAnsi="Verdana"/>
          <w:sz w:val="20"/>
          <w:szCs w:val="20"/>
        </w:rPr>
        <w:t xml:space="preserve"> spr</w:t>
      </w:r>
      <w:r>
        <w:rPr>
          <w:rFonts w:ascii="Verdana" w:hAnsi="Verdana"/>
          <w:sz w:val="20"/>
          <w:szCs w:val="20"/>
        </w:rPr>
        <w:t>a</w:t>
      </w:r>
      <w:r w:rsidRPr="005A08CD" w:rsidR="000F6E39">
        <w:rPr>
          <w:rFonts w:ascii="Verdana" w:hAnsi="Verdana"/>
          <w:sz w:val="20"/>
          <w:szCs w:val="20"/>
        </w:rPr>
        <w:t xml:space="preserve">ken steun uit voor </w:t>
      </w:r>
      <w:r w:rsidR="00B668B6">
        <w:rPr>
          <w:rFonts w:ascii="Verdana" w:hAnsi="Verdana"/>
          <w:sz w:val="20"/>
          <w:szCs w:val="20"/>
        </w:rPr>
        <w:t>de idee</w:t>
      </w:r>
      <w:r w:rsidRPr="005A08CD" w:rsidR="000F6E39">
        <w:rPr>
          <w:rFonts w:ascii="Verdana" w:hAnsi="Verdana"/>
          <w:sz w:val="20"/>
          <w:szCs w:val="20"/>
        </w:rPr>
        <w:t xml:space="preserve"> BTW onder de reikwijdte van de PIF-richtlijn te brengen en daarmee ook rechtstreeks een bevoegdheid voor het EOM te creëren. </w:t>
      </w:r>
    </w:p>
    <w:p w:rsidRPr="005A08CD" w:rsidR="000F6E39" w:rsidP="000F6E39" w:rsidRDefault="000F6E39">
      <w:pPr>
        <w:pStyle w:val="Geenafstand"/>
        <w:rPr>
          <w:rFonts w:ascii="Verdana" w:hAnsi="Verdana"/>
          <w:sz w:val="20"/>
          <w:szCs w:val="20"/>
        </w:rPr>
      </w:pPr>
    </w:p>
    <w:p w:rsidRPr="005A08CD" w:rsidR="000F6E39" w:rsidP="000F6E39" w:rsidRDefault="000F6E39">
      <w:pPr>
        <w:pStyle w:val="Geenafstand"/>
        <w:rPr>
          <w:rFonts w:ascii="Verdana" w:hAnsi="Verdana"/>
          <w:sz w:val="20"/>
          <w:szCs w:val="20"/>
        </w:rPr>
      </w:pPr>
      <w:r w:rsidRPr="005A08CD">
        <w:rPr>
          <w:rFonts w:ascii="Verdana" w:hAnsi="Verdana"/>
          <w:sz w:val="20"/>
          <w:szCs w:val="20"/>
        </w:rPr>
        <w:t xml:space="preserve">Enkele </w:t>
      </w:r>
      <w:r w:rsidR="002B454F">
        <w:rPr>
          <w:rFonts w:ascii="Verdana" w:hAnsi="Verdana"/>
          <w:sz w:val="20"/>
          <w:szCs w:val="20"/>
        </w:rPr>
        <w:t>l</w:t>
      </w:r>
      <w:r w:rsidR="006076B2">
        <w:rPr>
          <w:rFonts w:ascii="Verdana" w:hAnsi="Verdana"/>
          <w:sz w:val="20"/>
          <w:szCs w:val="20"/>
        </w:rPr>
        <w:t>idstaten</w:t>
      </w:r>
      <w:r w:rsidRPr="005A08CD">
        <w:rPr>
          <w:rFonts w:ascii="Verdana" w:hAnsi="Verdana"/>
          <w:sz w:val="20"/>
          <w:szCs w:val="20"/>
        </w:rPr>
        <w:t xml:space="preserve"> to</w:t>
      </w:r>
      <w:r w:rsidR="002B454F">
        <w:rPr>
          <w:rFonts w:ascii="Verdana" w:hAnsi="Verdana"/>
          <w:sz w:val="20"/>
          <w:szCs w:val="20"/>
        </w:rPr>
        <w:t>onden</w:t>
      </w:r>
      <w:r w:rsidRPr="005A08CD">
        <w:rPr>
          <w:rFonts w:ascii="Verdana" w:hAnsi="Verdana"/>
          <w:sz w:val="20"/>
          <w:szCs w:val="20"/>
        </w:rPr>
        <w:t xml:space="preserve"> zich – niettegenstaande hun standpunt dat BTW buiten de reikwijdte van de PIF-richtlijn zou moeten blijven – bereid om te verkennen of zou kunnen worden voorzien in een bevoegdheid voor het EOM bij de bestrijding van BTW-fraude, waarbij wel een beperking tot ernstige vormen van BTW-fraude zou moeten worden aangebracht</w:t>
      </w:r>
      <w:r w:rsidR="006076B2">
        <w:rPr>
          <w:rFonts w:ascii="Verdana" w:hAnsi="Verdana"/>
          <w:sz w:val="20"/>
          <w:szCs w:val="20"/>
        </w:rPr>
        <w:t>.</w:t>
      </w:r>
      <w:r w:rsidRPr="005A08CD">
        <w:rPr>
          <w:rFonts w:ascii="Verdana" w:hAnsi="Verdana"/>
          <w:sz w:val="20"/>
          <w:szCs w:val="20"/>
        </w:rPr>
        <w:t xml:space="preserve"> </w:t>
      </w:r>
      <w:r w:rsidRPr="005A08CD">
        <w:rPr>
          <w:rFonts w:ascii="Verdana" w:hAnsi="Verdana"/>
          <w:sz w:val="20"/>
          <w:szCs w:val="20"/>
        </w:rPr>
        <w:br/>
      </w:r>
    </w:p>
    <w:p w:rsidRPr="005A08CD" w:rsidR="000F6E39" w:rsidP="000F6E39" w:rsidRDefault="006076B2">
      <w:pPr>
        <w:pStyle w:val="Geenafstand"/>
        <w:rPr>
          <w:rFonts w:ascii="Verdana" w:hAnsi="Verdana"/>
          <w:sz w:val="20"/>
          <w:szCs w:val="20"/>
        </w:rPr>
      </w:pPr>
      <w:r w:rsidRPr="002B454F">
        <w:rPr>
          <w:rFonts w:ascii="Verdana" w:hAnsi="Verdana"/>
          <w:sz w:val="20"/>
          <w:szCs w:val="20"/>
        </w:rPr>
        <w:t>Nederland</w:t>
      </w:r>
      <w:r w:rsidR="002B454F">
        <w:rPr>
          <w:rFonts w:ascii="Verdana" w:hAnsi="Verdana"/>
          <w:sz w:val="20"/>
          <w:szCs w:val="20"/>
        </w:rPr>
        <w:t xml:space="preserve"> gaf</w:t>
      </w:r>
      <w:r>
        <w:rPr>
          <w:rFonts w:ascii="Verdana" w:hAnsi="Verdana"/>
          <w:sz w:val="20"/>
          <w:szCs w:val="20"/>
        </w:rPr>
        <w:t xml:space="preserve"> met enkele andere </w:t>
      </w:r>
      <w:r w:rsidR="002B454F">
        <w:rPr>
          <w:rFonts w:ascii="Verdana" w:hAnsi="Verdana"/>
          <w:sz w:val="20"/>
          <w:szCs w:val="20"/>
        </w:rPr>
        <w:t>l</w:t>
      </w:r>
      <w:r>
        <w:rPr>
          <w:rFonts w:ascii="Verdana" w:hAnsi="Verdana"/>
          <w:sz w:val="20"/>
          <w:szCs w:val="20"/>
        </w:rPr>
        <w:t>idstaten</w:t>
      </w:r>
      <w:r w:rsidRPr="005A08CD" w:rsidR="000F6E39">
        <w:rPr>
          <w:rFonts w:ascii="Verdana" w:hAnsi="Verdana"/>
          <w:sz w:val="20"/>
          <w:szCs w:val="20"/>
        </w:rPr>
        <w:t xml:space="preserve"> aan dat zou kunnen worden voorzien in een evaluatiebepaling, waarin zou kunnen worden opgenomen dat op een later moment opnieuw wordt bezien of op EU</w:t>
      </w:r>
      <w:r w:rsidR="002B454F">
        <w:rPr>
          <w:rFonts w:ascii="Verdana" w:hAnsi="Verdana"/>
          <w:sz w:val="20"/>
          <w:szCs w:val="20"/>
        </w:rPr>
        <w:t>-</w:t>
      </w:r>
      <w:r w:rsidRPr="005A08CD" w:rsidR="000F6E39">
        <w:rPr>
          <w:rFonts w:ascii="Verdana" w:hAnsi="Verdana"/>
          <w:sz w:val="20"/>
          <w:szCs w:val="20"/>
        </w:rPr>
        <w:t xml:space="preserve">niveau aanvullende maatregelen ter zake BTW-fraude </w:t>
      </w:r>
      <w:r w:rsidR="0060223C">
        <w:rPr>
          <w:rFonts w:ascii="Verdana" w:hAnsi="Verdana"/>
          <w:sz w:val="20"/>
          <w:szCs w:val="20"/>
        </w:rPr>
        <w:t>nodig zijn</w:t>
      </w:r>
      <w:r w:rsidRPr="005A08CD" w:rsidR="000F6E39">
        <w:rPr>
          <w:rFonts w:ascii="Verdana" w:hAnsi="Verdana"/>
          <w:sz w:val="20"/>
          <w:szCs w:val="20"/>
        </w:rPr>
        <w:t xml:space="preserve">. </w:t>
      </w:r>
    </w:p>
    <w:p w:rsidRPr="005A08CD" w:rsidR="000F6E39" w:rsidP="000F6E39" w:rsidRDefault="000F6E39">
      <w:pPr>
        <w:pStyle w:val="Geenafstand"/>
        <w:rPr>
          <w:rFonts w:ascii="Verdana" w:hAnsi="Verdana"/>
          <w:sz w:val="20"/>
          <w:szCs w:val="20"/>
        </w:rPr>
      </w:pPr>
    </w:p>
    <w:p w:rsidR="006076B2" w:rsidP="000F6E39" w:rsidRDefault="000F6E39">
      <w:pPr>
        <w:pStyle w:val="Geenafstand"/>
        <w:rPr>
          <w:rFonts w:ascii="Verdana" w:hAnsi="Verdana"/>
          <w:sz w:val="20"/>
          <w:szCs w:val="20"/>
        </w:rPr>
      </w:pPr>
      <w:r w:rsidRPr="005A08CD">
        <w:rPr>
          <w:rFonts w:ascii="Verdana" w:hAnsi="Verdana"/>
          <w:sz w:val="20"/>
          <w:szCs w:val="20"/>
        </w:rPr>
        <w:t xml:space="preserve">Een aantal </w:t>
      </w:r>
      <w:r w:rsidR="002B454F">
        <w:rPr>
          <w:rFonts w:ascii="Verdana" w:hAnsi="Verdana"/>
          <w:sz w:val="20"/>
          <w:szCs w:val="20"/>
        </w:rPr>
        <w:t>l</w:t>
      </w:r>
      <w:r w:rsidR="001A4B33">
        <w:rPr>
          <w:rFonts w:ascii="Verdana" w:hAnsi="Verdana"/>
          <w:sz w:val="20"/>
          <w:szCs w:val="20"/>
        </w:rPr>
        <w:t>idstaten</w:t>
      </w:r>
      <w:r w:rsidR="002B454F">
        <w:rPr>
          <w:rFonts w:ascii="Verdana" w:hAnsi="Verdana"/>
          <w:sz w:val="20"/>
          <w:szCs w:val="20"/>
        </w:rPr>
        <w:t xml:space="preserve"> refereerde </w:t>
      </w:r>
      <w:r w:rsidRPr="005A08CD">
        <w:rPr>
          <w:rFonts w:ascii="Verdana" w:hAnsi="Verdana"/>
          <w:sz w:val="20"/>
          <w:szCs w:val="20"/>
        </w:rPr>
        <w:t>aan de zaak Taricco, die aanhangig is bij het H</w:t>
      </w:r>
      <w:r w:rsidR="00851C44">
        <w:rPr>
          <w:rFonts w:ascii="Verdana" w:hAnsi="Verdana"/>
          <w:sz w:val="20"/>
          <w:szCs w:val="20"/>
        </w:rPr>
        <w:t xml:space="preserve">of </w:t>
      </w:r>
      <w:r w:rsidRPr="005A08CD">
        <w:rPr>
          <w:rFonts w:ascii="Verdana" w:hAnsi="Verdana"/>
          <w:sz w:val="20"/>
          <w:szCs w:val="20"/>
        </w:rPr>
        <w:t>v</w:t>
      </w:r>
      <w:r w:rsidR="00851C44">
        <w:rPr>
          <w:rFonts w:ascii="Verdana" w:hAnsi="Verdana"/>
          <w:sz w:val="20"/>
          <w:szCs w:val="20"/>
        </w:rPr>
        <w:t xml:space="preserve">an </w:t>
      </w:r>
      <w:r w:rsidRPr="005A08CD">
        <w:rPr>
          <w:rFonts w:ascii="Verdana" w:hAnsi="Verdana"/>
          <w:sz w:val="20"/>
          <w:szCs w:val="20"/>
        </w:rPr>
        <w:t>J</w:t>
      </w:r>
      <w:r w:rsidR="00851C44">
        <w:rPr>
          <w:rFonts w:ascii="Verdana" w:hAnsi="Verdana"/>
          <w:sz w:val="20"/>
          <w:szCs w:val="20"/>
        </w:rPr>
        <w:t>ustitie</w:t>
      </w:r>
      <w:r w:rsidRPr="005A08CD">
        <w:rPr>
          <w:rFonts w:ascii="Verdana" w:hAnsi="Verdana"/>
          <w:sz w:val="20"/>
          <w:szCs w:val="20"/>
        </w:rPr>
        <w:t xml:space="preserve"> en waarin de </w:t>
      </w:r>
      <w:r w:rsidR="002B454F">
        <w:rPr>
          <w:rFonts w:ascii="Verdana" w:hAnsi="Verdana"/>
          <w:sz w:val="20"/>
          <w:szCs w:val="20"/>
        </w:rPr>
        <w:t>advocaat-generaal</w:t>
      </w:r>
      <w:r w:rsidRPr="005A08CD">
        <w:rPr>
          <w:rFonts w:ascii="Verdana" w:hAnsi="Verdana"/>
          <w:sz w:val="20"/>
          <w:szCs w:val="20"/>
        </w:rPr>
        <w:t xml:space="preserve"> heeft bepleit dat – in weerwil van het toelichtend rapport bij die overeenkomst – BTW reeds onder de reikwijdte van de PIF-overeenkomst uit 1995 zou vallen. De beslissing van het H</w:t>
      </w:r>
      <w:r w:rsidR="0060223C">
        <w:rPr>
          <w:rFonts w:ascii="Verdana" w:hAnsi="Verdana"/>
          <w:sz w:val="20"/>
          <w:szCs w:val="20"/>
        </w:rPr>
        <w:t xml:space="preserve">of </w:t>
      </w:r>
      <w:r w:rsidRPr="005A08CD">
        <w:rPr>
          <w:rFonts w:ascii="Verdana" w:hAnsi="Verdana"/>
          <w:sz w:val="20"/>
          <w:szCs w:val="20"/>
        </w:rPr>
        <w:t>v</w:t>
      </w:r>
      <w:r w:rsidR="0060223C">
        <w:rPr>
          <w:rFonts w:ascii="Verdana" w:hAnsi="Verdana"/>
          <w:sz w:val="20"/>
          <w:szCs w:val="20"/>
        </w:rPr>
        <w:t xml:space="preserve">an </w:t>
      </w:r>
      <w:r w:rsidRPr="005A08CD">
        <w:rPr>
          <w:rFonts w:ascii="Verdana" w:hAnsi="Verdana"/>
          <w:sz w:val="20"/>
          <w:szCs w:val="20"/>
        </w:rPr>
        <w:t>J</w:t>
      </w:r>
      <w:r w:rsidR="0060223C">
        <w:rPr>
          <w:rFonts w:ascii="Verdana" w:hAnsi="Verdana"/>
          <w:sz w:val="20"/>
          <w:szCs w:val="20"/>
        </w:rPr>
        <w:t>ustitie</w:t>
      </w:r>
      <w:r w:rsidRPr="005A08CD">
        <w:rPr>
          <w:rFonts w:ascii="Verdana" w:hAnsi="Verdana"/>
          <w:sz w:val="20"/>
          <w:szCs w:val="20"/>
        </w:rPr>
        <w:t xml:space="preserve"> in die zaak (voorzien voor september 2015) is van belang voor de onderhavige discussie. </w:t>
      </w:r>
    </w:p>
    <w:p w:rsidRPr="005A08CD" w:rsidR="000F6E39" w:rsidP="000F6E39" w:rsidRDefault="000F6E39">
      <w:pPr>
        <w:pStyle w:val="Geenafstand"/>
        <w:rPr>
          <w:rFonts w:ascii="Verdana" w:hAnsi="Verdana"/>
          <w:sz w:val="20"/>
          <w:szCs w:val="20"/>
        </w:rPr>
      </w:pPr>
    </w:p>
    <w:p w:rsidRPr="005A08CD" w:rsidR="000F6E39" w:rsidP="000F6E39" w:rsidRDefault="0060223C">
      <w:pPr>
        <w:pStyle w:val="Geenafstand"/>
        <w:rPr>
          <w:rFonts w:ascii="Verdana" w:hAnsi="Verdana"/>
          <w:sz w:val="20"/>
          <w:szCs w:val="20"/>
        </w:rPr>
      </w:pPr>
      <w:r w:rsidRPr="002B454F">
        <w:rPr>
          <w:rFonts w:ascii="Verdana" w:hAnsi="Verdana"/>
          <w:sz w:val="20"/>
          <w:szCs w:val="20"/>
        </w:rPr>
        <w:lastRenderedPageBreak/>
        <w:t>Het Luxemburgs</w:t>
      </w:r>
      <w:r w:rsidRPr="002B454F" w:rsidR="000F6E39">
        <w:rPr>
          <w:rFonts w:ascii="Verdana" w:hAnsi="Verdana"/>
          <w:sz w:val="20"/>
          <w:szCs w:val="20"/>
        </w:rPr>
        <w:t xml:space="preserve"> V</w:t>
      </w:r>
      <w:r w:rsidRPr="002B454F">
        <w:rPr>
          <w:rFonts w:ascii="Verdana" w:hAnsi="Verdana"/>
          <w:sz w:val="20"/>
          <w:szCs w:val="20"/>
        </w:rPr>
        <w:t>oor</w:t>
      </w:r>
      <w:r w:rsidRPr="002B454F" w:rsidR="000F6E39">
        <w:rPr>
          <w:rFonts w:ascii="Verdana" w:hAnsi="Verdana"/>
          <w:sz w:val="20"/>
          <w:szCs w:val="20"/>
        </w:rPr>
        <w:t>z</w:t>
      </w:r>
      <w:r w:rsidRPr="002B454F">
        <w:rPr>
          <w:rFonts w:ascii="Verdana" w:hAnsi="Verdana"/>
          <w:sz w:val="20"/>
          <w:szCs w:val="20"/>
        </w:rPr>
        <w:t>itter</w:t>
      </w:r>
      <w:r w:rsidRPr="002B454F" w:rsidR="00396E7A">
        <w:rPr>
          <w:rFonts w:ascii="Verdana" w:hAnsi="Verdana"/>
          <w:sz w:val="20"/>
          <w:szCs w:val="20"/>
        </w:rPr>
        <w:t>schap</w:t>
      </w:r>
      <w:r w:rsidR="00396E7A">
        <w:rPr>
          <w:rFonts w:ascii="Verdana" w:hAnsi="Verdana"/>
          <w:sz w:val="20"/>
          <w:szCs w:val="20"/>
        </w:rPr>
        <w:t xml:space="preserve"> concludeerde</w:t>
      </w:r>
      <w:r w:rsidRPr="005A08CD" w:rsidR="000F6E39">
        <w:rPr>
          <w:rFonts w:ascii="Verdana" w:hAnsi="Verdana"/>
          <w:sz w:val="20"/>
          <w:szCs w:val="20"/>
        </w:rPr>
        <w:t xml:space="preserve"> dat de </w:t>
      </w:r>
      <w:r w:rsidR="002B454F">
        <w:rPr>
          <w:rFonts w:ascii="Verdana" w:hAnsi="Verdana"/>
          <w:sz w:val="20"/>
          <w:szCs w:val="20"/>
        </w:rPr>
        <w:t>lidstaten</w:t>
      </w:r>
      <w:r w:rsidRPr="005A08CD" w:rsidR="000F6E39">
        <w:rPr>
          <w:rFonts w:ascii="Verdana" w:hAnsi="Verdana"/>
          <w:sz w:val="20"/>
          <w:szCs w:val="20"/>
        </w:rPr>
        <w:t xml:space="preserve"> vasthoud</w:t>
      </w:r>
      <w:r w:rsidR="002B454F">
        <w:rPr>
          <w:rFonts w:ascii="Verdana" w:hAnsi="Verdana"/>
          <w:sz w:val="20"/>
          <w:szCs w:val="20"/>
        </w:rPr>
        <w:t>en</w:t>
      </w:r>
      <w:r w:rsidRPr="005A08CD" w:rsidR="000F6E39">
        <w:rPr>
          <w:rFonts w:ascii="Verdana" w:hAnsi="Verdana"/>
          <w:sz w:val="20"/>
          <w:szCs w:val="20"/>
        </w:rPr>
        <w:t xml:space="preserve"> aan het verzet tegen </w:t>
      </w:r>
      <w:r w:rsidR="00B668B6">
        <w:rPr>
          <w:rFonts w:ascii="Verdana" w:hAnsi="Verdana"/>
          <w:sz w:val="20"/>
          <w:szCs w:val="20"/>
        </w:rPr>
        <w:t xml:space="preserve">de wens van de Commissie en het EP om </w:t>
      </w:r>
      <w:r w:rsidRPr="005A08CD" w:rsidR="000F6E39">
        <w:rPr>
          <w:rFonts w:ascii="Verdana" w:hAnsi="Verdana"/>
          <w:sz w:val="20"/>
          <w:szCs w:val="20"/>
        </w:rPr>
        <w:t>BTW onder de reikwijdte van de PIF-richtlijn</w:t>
      </w:r>
      <w:r w:rsidR="00B668B6">
        <w:rPr>
          <w:rFonts w:ascii="Verdana" w:hAnsi="Verdana"/>
          <w:sz w:val="20"/>
          <w:szCs w:val="20"/>
        </w:rPr>
        <w:t xml:space="preserve"> te brengen</w:t>
      </w:r>
      <w:r w:rsidRPr="005A08CD" w:rsidR="000F6E39">
        <w:rPr>
          <w:rFonts w:ascii="Verdana" w:hAnsi="Verdana"/>
          <w:sz w:val="20"/>
          <w:szCs w:val="20"/>
        </w:rPr>
        <w:t xml:space="preserve">. </w:t>
      </w:r>
      <w:r w:rsidR="00B668B6">
        <w:rPr>
          <w:rFonts w:ascii="Verdana" w:hAnsi="Verdana"/>
          <w:sz w:val="20"/>
          <w:szCs w:val="20"/>
        </w:rPr>
        <w:t xml:space="preserve">Zodra </w:t>
      </w:r>
      <w:r w:rsidRPr="005A08CD" w:rsidR="000F6E39">
        <w:rPr>
          <w:rFonts w:ascii="Verdana" w:hAnsi="Verdana"/>
          <w:sz w:val="20"/>
          <w:szCs w:val="20"/>
        </w:rPr>
        <w:t>de uitspraak van het H</w:t>
      </w:r>
      <w:r>
        <w:rPr>
          <w:rFonts w:ascii="Verdana" w:hAnsi="Verdana"/>
          <w:sz w:val="20"/>
          <w:szCs w:val="20"/>
        </w:rPr>
        <w:t xml:space="preserve">of </w:t>
      </w:r>
      <w:r w:rsidRPr="005A08CD" w:rsidR="000F6E39">
        <w:rPr>
          <w:rFonts w:ascii="Verdana" w:hAnsi="Verdana"/>
          <w:sz w:val="20"/>
          <w:szCs w:val="20"/>
        </w:rPr>
        <w:t>v</w:t>
      </w:r>
      <w:r>
        <w:rPr>
          <w:rFonts w:ascii="Verdana" w:hAnsi="Verdana"/>
          <w:sz w:val="20"/>
          <w:szCs w:val="20"/>
        </w:rPr>
        <w:t xml:space="preserve">an </w:t>
      </w:r>
      <w:r w:rsidRPr="005A08CD" w:rsidR="000F6E39">
        <w:rPr>
          <w:rFonts w:ascii="Verdana" w:hAnsi="Verdana"/>
          <w:sz w:val="20"/>
          <w:szCs w:val="20"/>
        </w:rPr>
        <w:t>J</w:t>
      </w:r>
      <w:r>
        <w:rPr>
          <w:rFonts w:ascii="Verdana" w:hAnsi="Verdana"/>
          <w:sz w:val="20"/>
          <w:szCs w:val="20"/>
        </w:rPr>
        <w:t>ustitie</w:t>
      </w:r>
      <w:r w:rsidRPr="005A08CD" w:rsidR="000F6E39">
        <w:rPr>
          <w:rFonts w:ascii="Verdana" w:hAnsi="Verdana"/>
          <w:sz w:val="20"/>
          <w:szCs w:val="20"/>
        </w:rPr>
        <w:t xml:space="preserve"> in de zaak Taricco </w:t>
      </w:r>
      <w:r w:rsidR="00B668B6">
        <w:rPr>
          <w:rFonts w:ascii="Verdana" w:hAnsi="Verdana"/>
          <w:sz w:val="20"/>
          <w:szCs w:val="20"/>
        </w:rPr>
        <w:t xml:space="preserve">beschikbaar is, </w:t>
      </w:r>
      <w:r w:rsidRPr="005A08CD" w:rsidR="000F6E39">
        <w:rPr>
          <w:rFonts w:ascii="Verdana" w:hAnsi="Verdana"/>
          <w:sz w:val="20"/>
          <w:szCs w:val="20"/>
        </w:rPr>
        <w:t>zal de discussie opnieuw op de agenda komen. Het V</w:t>
      </w:r>
      <w:r>
        <w:rPr>
          <w:rFonts w:ascii="Verdana" w:hAnsi="Verdana"/>
          <w:sz w:val="20"/>
          <w:szCs w:val="20"/>
        </w:rPr>
        <w:t>oor</w:t>
      </w:r>
      <w:r w:rsidRPr="005A08CD" w:rsidR="000F6E39">
        <w:rPr>
          <w:rFonts w:ascii="Verdana" w:hAnsi="Verdana"/>
          <w:sz w:val="20"/>
          <w:szCs w:val="20"/>
        </w:rPr>
        <w:t>z</w:t>
      </w:r>
      <w:r>
        <w:rPr>
          <w:rFonts w:ascii="Verdana" w:hAnsi="Verdana"/>
          <w:sz w:val="20"/>
          <w:szCs w:val="20"/>
        </w:rPr>
        <w:t>itter</w:t>
      </w:r>
      <w:r w:rsidRPr="005A08CD" w:rsidR="000F6E39">
        <w:rPr>
          <w:rFonts w:ascii="Verdana" w:hAnsi="Verdana"/>
          <w:sz w:val="20"/>
          <w:szCs w:val="20"/>
        </w:rPr>
        <w:t>schap stel</w:t>
      </w:r>
      <w:r w:rsidR="00B668B6">
        <w:rPr>
          <w:rFonts w:ascii="Verdana" w:hAnsi="Verdana"/>
          <w:sz w:val="20"/>
          <w:szCs w:val="20"/>
        </w:rPr>
        <w:t>de</w:t>
      </w:r>
      <w:r w:rsidRPr="005A08CD" w:rsidR="000F6E39">
        <w:rPr>
          <w:rFonts w:ascii="Verdana" w:hAnsi="Verdana"/>
          <w:sz w:val="20"/>
          <w:szCs w:val="20"/>
        </w:rPr>
        <w:t xml:space="preserve"> dat een aantal </w:t>
      </w:r>
      <w:r w:rsidR="002B454F">
        <w:rPr>
          <w:rFonts w:ascii="Verdana" w:hAnsi="Verdana"/>
          <w:sz w:val="20"/>
          <w:szCs w:val="20"/>
        </w:rPr>
        <w:t>lidstaten</w:t>
      </w:r>
      <w:r w:rsidRPr="005A08CD" w:rsidR="000F6E39">
        <w:rPr>
          <w:rFonts w:ascii="Verdana" w:hAnsi="Verdana"/>
          <w:sz w:val="20"/>
          <w:szCs w:val="20"/>
        </w:rPr>
        <w:t xml:space="preserve"> wel bereid is te kijken naar een bevoegdheid voor het EOM bij de bestrijding</w:t>
      </w:r>
      <w:r>
        <w:rPr>
          <w:rFonts w:ascii="Verdana" w:hAnsi="Verdana"/>
          <w:sz w:val="20"/>
          <w:szCs w:val="20"/>
        </w:rPr>
        <w:t xml:space="preserve"> van BTW-fraude. Het Luxemburgs Voorzitterschap</w:t>
      </w:r>
      <w:r w:rsidRPr="005A08CD" w:rsidR="000F6E39">
        <w:rPr>
          <w:rFonts w:ascii="Verdana" w:hAnsi="Verdana"/>
          <w:sz w:val="20"/>
          <w:szCs w:val="20"/>
        </w:rPr>
        <w:t xml:space="preserve"> zal die mogelijkheid verkennen en daartoe mogelijk tijdens een latere JBZ</w:t>
      </w:r>
      <w:r w:rsidR="002B454F">
        <w:rPr>
          <w:rFonts w:ascii="Verdana" w:hAnsi="Verdana"/>
          <w:sz w:val="20"/>
          <w:szCs w:val="20"/>
        </w:rPr>
        <w:t>-</w:t>
      </w:r>
      <w:r w:rsidRPr="005A08CD" w:rsidR="000F6E39">
        <w:rPr>
          <w:rFonts w:ascii="Verdana" w:hAnsi="Verdana"/>
          <w:sz w:val="20"/>
          <w:szCs w:val="20"/>
        </w:rPr>
        <w:t xml:space="preserve">Raad een voorstel voor doen.  </w:t>
      </w:r>
    </w:p>
    <w:p w:rsidR="000F6E39" w:rsidP="000F6E39" w:rsidRDefault="000F6E39">
      <w:pPr>
        <w:pStyle w:val="Geenafstand"/>
        <w:rPr>
          <w:rFonts w:ascii="Verdana" w:hAnsi="Verdana"/>
          <w:sz w:val="20"/>
          <w:szCs w:val="20"/>
        </w:rPr>
      </w:pPr>
    </w:p>
    <w:p w:rsidRPr="005A08CD" w:rsidR="002B454F" w:rsidP="000F6E39" w:rsidRDefault="002B454F">
      <w:pPr>
        <w:pStyle w:val="Geenafstand"/>
        <w:rPr>
          <w:rFonts w:ascii="Verdana" w:hAnsi="Verdana"/>
          <w:sz w:val="20"/>
          <w:szCs w:val="20"/>
        </w:rPr>
      </w:pPr>
    </w:p>
    <w:p w:rsidRPr="005A08CD" w:rsidR="00DA2173" w:rsidP="002B454F" w:rsidRDefault="008A5B16">
      <w:pPr>
        <w:pStyle w:val="Geenafstand"/>
        <w:rPr>
          <w:b/>
          <w:sz w:val="20"/>
          <w:szCs w:val="20"/>
        </w:rPr>
      </w:pPr>
      <w:r w:rsidRPr="005A08CD">
        <w:rPr>
          <w:rFonts w:ascii="Verdana" w:hAnsi="Verdana" w:cs="Verdana"/>
          <w:b/>
          <w:sz w:val="20"/>
          <w:szCs w:val="20"/>
        </w:rPr>
        <w:t>Sessie V:</w:t>
      </w:r>
      <w:r w:rsidR="002B454F">
        <w:rPr>
          <w:rFonts w:ascii="Verdana" w:hAnsi="Verdana" w:cs="Verdana"/>
          <w:b/>
          <w:sz w:val="20"/>
          <w:szCs w:val="20"/>
        </w:rPr>
        <w:t xml:space="preserve"> </w:t>
      </w:r>
      <w:r w:rsidRPr="002B454F" w:rsidR="00DA2173">
        <w:rPr>
          <w:rFonts w:ascii="Verdana" w:hAnsi="Verdana"/>
          <w:b/>
          <w:sz w:val="20"/>
          <w:szCs w:val="20"/>
        </w:rPr>
        <w:t>ontwerpverordening ter zake oprichting van het Europees openbaar ministerie</w:t>
      </w:r>
    </w:p>
    <w:p w:rsidRPr="005A08CD" w:rsidR="00DA2173" w:rsidP="00DA2173" w:rsidRDefault="00DA2173">
      <w:pPr>
        <w:rPr>
          <w:b/>
          <w:sz w:val="20"/>
          <w:szCs w:val="20"/>
        </w:rPr>
      </w:pPr>
    </w:p>
    <w:p w:rsidR="003F6B52" w:rsidP="003F6B52" w:rsidRDefault="00DA2173">
      <w:pPr>
        <w:rPr>
          <w:sz w:val="20"/>
          <w:szCs w:val="20"/>
        </w:rPr>
      </w:pPr>
      <w:r w:rsidRPr="005A08CD">
        <w:rPr>
          <w:sz w:val="20"/>
          <w:szCs w:val="20"/>
        </w:rPr>
        <w:t xml:space="preserve">  </w:t>
      </w:r>
      <w:r w:rsidRPr="00700686" w:rsidR="003F6B52">
        <w:rPr>
          <w:sz w:val="20"/>
          <w:szCs w:val="20"/>
        </w:rPr>
        <w:t xml:space="preserve">Het Luxemburgse Voorzitterschap </w:t>
      </w:r>
      <w:r w:rsidR="003F6B52">
        <w:rPr>
          <w:sz w:val="20"/>
          <w:szCs w:val="20"/>
        </w:rPr>
        <w:t xml:space="preserve">leidde de discussie in met de opmerking </w:t>
      </w:r>
      <w:r w:rsidRPr="005A08CD" w:rsidR="003F6B52">
        <w:rPr>
          <w:sz w:val="20"/>
          <w:szCs w:val="20"/>
        </w:rPr>
        <w:t xml:space="preserve">dat de ontwerpverordening </w:t>
      </w:r>
      <w:r w:rsidR="003F6B52">
        <w:rPr>
          <w:sz w:val="20"/>
          <w:szCs w:val="20"/>
        </w:rPr>
        <w:t>tot</w:t>
      </w:r>
      <w:r w:rsidRPr="005A08CD" w:rsidR="003F6B52">
        <w:rPr>
          <w:sz w:val="20"/>
          <w:szCs w:val="20"/>
        </w:rPr>
        <w:t xml:space="preserve"> oprichting van het Europees openbaar ministerie </w:t>
      </w:r>
      <w:r w:rsidR="003F6B52">
        <w:rPr>
          <w:sz w:val="20"/>
          <w:szCs w:val="20"/>
        </w:rPr>
        <w:t>(EOM) een prioriteit voor dit Voorzitterschap</w:t>
      </w:r>
      <w:r w:rsidRPr="005A08CD" w:rsidR="003F6B52">
        <w:rPr>
          <w:sz w:val="20"/>
          <w:szCs w:val="20"/>
        </w:rPr>
        <w:t xml:space="preserve"> </w:t>
      </w:r>
      <w:r w:rsidR="003F6B52">
        <w:rPr>
          <w:sz w:val="20"/>
          <w:szCs w:val="20"/>
        </w:rPr>
        <w:t>is</w:t>
      </w:r>
      <w:r w:rsidRPr="005A08CD" w:rsidR="003F6B52">
        <w:rPr>
          <w:sz w:val="20"/>
          <w:szCs w:val="20"/>
        </w:rPr>
        <w:t xml:space="preserve">. </w:t>
      </w:r>
    </w:p>
    <w:p w:rsidRPr="005A08CD" w:rsidR="003F6B52" w:rsidP="003F6B52" w:rsidRDefault="003F6B52">
      <w:pPr>
        <w:rPr>
          <w:sz w:val="20"/>
          <w:szCs w:val="20"/>
        </w:rPr>
      </w:pPr>
    </w:p>
    <w:p w:rsidR="003F6B52" w:rsidP="003F6B52" w:rsidRDefault="003F6B52">
      <w:pPr>
        <w:rPr>
          <w:sz w:val="20"/>
          <w:szCs w:val="20"/>
        </w:rPr>
      </w:pPr>
      <w:r w:rsidRPr="005A08CD">
        <w:rPr>
          <w:sz w:val="20"/>
          <w:szCs w:val="20"/>
        </w:rPr>
        <w:t xml:space="preserve">Het </w:t>
      </w:r>
      <w:r w:rsidRPr="006C7750">
        <w:rPr>
          <w:sz w:val="20"/>
          <w:szCs w:val="20"/>
        </w:rPr>
        <w:t>Luxemburgs</w:t>
      </w:r>
      <w:r>
        <w:rPr>
          <w:sz w:val="20"/>
          <w:szCs w:val="20"/>
        </w:rPr>
        <w:t>e</w:t>
      </w:r>
      <w:r w:rsidRPr="006C7750">
        <w:rPr>
          <w:sz w:val="20"/>
          <w:szCs w:val="20"/>
        </w:rPr>
        <w:t xml:space="preserve"> Voorzitterschap</w:t>
      </w:r>
      <w:r w:rsidRPr="005A08CD">
        <w:rPr>
          <w:sz w:val="20"/>
          <w:szCs w:val="20"/>
        </w:rPr>
        <w:t xml:space="preserve"> </w:t>
      </w:r>
      <w:r>
        <w:rPr>
          <w:sz w:val="20"/>
          <w:szCs w:val="20"/>
        </w:rPr>
        <w:t xml:space="preserve">heeft de ministers twee punten voorgelegd met de intentie </w:t>
      </w:r>
      <w:r w:rsidRPr="005A08CD">
        <w:rPr>
          <w:sz w:val="20"/>
          <w:szCs w:val="20"/>
        </w:rPr>
        <w:t xml:space="preserve">politieke sturing </w:t>
      </w:r>
      <w:r>
        <w:rPr>
          <w:sz w:val="20"/>
          <w:szCs w:val="20"/>
        </w:rPr>
        <w:t xml:space="preserve">te krijgen voor </w:t>
      </w:r>
      <w:r w:rsidRPr="005A08CD">
        <w:rPr>
          <w:sz w:val="20"/>
          <w:szCs w:val="20"/>
        </w:rPr>
        <w:t>het werk op technisch niveau</w:t>
      </w:r>
      <w:r>
        <w:rPr>
          <w:sz w:val="20"/>
          <w:szCs w:val="20"/>
        </w:rPr>
        <w:t>. In het voor deze Raad opgestelde discussiepaper zijn deze punten uiteengezet. Het gaat om</w:t>
      </w:r>
      <w:r w:rsidRPr="005A08CD">
        <w:rPr>
          <w:sz w:val="20"/>
          <w:szCs w:val="20"/>
        </w:rPr>
        <w:t xml:space="preserve"> 1) de wijze van samenwerken binnen het EOM in grensoverschrijdende zaken en 2) </w:t>
      </w:r>
      <w:r>
        <w:rPr>
          <w:sz w:val="20"/>
          <w:szCs w:val="20"/>
        </w:rPr>
        <w:t>rechterlijke</w:t>
      </w:r>
      <w:r w:rsidRPr="005A08CD">
        <w:rPr>
          <w:sz w:val="20"/>
          <w:szCs w:val="20"/>
        </w:rPr>
        <w:t xml:space="preserve"> controle (“judicial review”).</w:t>
      </w:r>
    </w:p>
    <w:p w:rsidRPr="005A08CD" w:rsidR="003F6B52" w:rsidP="003F6B52" w:rsidRDefault="003F6B52">
      <w:pPr>
        <w:rPr>
          <w:sz w:val="20"/>
          <w:szCs w:val="20"/>
        </w:rPr>
      </w:pPr>
    </w:p>
    <w:p w:rsidRPr="005A08CD" w:rsidR="003F6B52" w:rsidP="003F6B52" w:rsidRDefault="003F6B52">
      <w:pPr>
        <w:rPr>
          <w:sz w:val="20"/>
          <w:szCs w:val="20"/>
        </w:rPr>
      </w:pPr>
      <w:r>
        <w:rPr>
          <w:sz w:val="20"/>
          <w:szCs w:val="20"/>
        </w:rPr>
        <w:t>Met betrekking tot punt 1 stelde</w:t>
      </w:r>
      <w:r w:rsidRPr="005A08CD">
        <w:rPr>
          <w:sz w:val="20"/>
          <w:szCs w:val="20"/>
        </w:rPr>
        <w:t xml:space="preserve"> het V</w:t>
      </w:r>
      <w:r>
        <w:rPr>
          <w:sz w:val="20"/>
          <w:szCs w:val="20"/>
        </w:rPr>
        <w:t>oorzitter</w:t>
      </w:r>
      <w:r w:rsidRPr="005A08CD">
        <w:rPr>
          <w:sz w:val="20"/>
          <w:szCs w:val="20"/>
        </w:rPr>
        <w:t>schap dat het belangrijk is om in grensoverschrijdende zaken bij de inzet van onderzoeksmaatregelen een dubbele rechterlijke machtiging te voorkomen. Daarmee zou een meerwaarde worden gerealiseerd ten opzichte van de bestaande instrumenten op het terrein van strafrechtelijke samenwerking. Het V</w:t>
      </w:r>
      <w:r>
        <w:rPr>
          <w:sz w:val="20"/>
          <w:szCs w:val="20"/>
        </w:rPr>
        <w:t>oor</w:t>
      </w:r>
      <w:r w:rsidRPr="005A08CD">
        <w:rPr>
          <w:sz w:val="20"/>
          <w:szCs w:val="20"/>
        </w:rPr>
        <w:t>z</w:t>
      </w:r>
      <w:r>
        <w:rPr>
          <w:sz w:val="20"/>
          <w:szCs w:val="20"/>
        </w:rPr>
        <w:t>itter</w:t>
      </w:r>
      <w:r w:rsidRPr="005A08CD">
        <w:rPr>
          <w:sz w:val="20"/>
          <w:szCs w:val="20"/>
        </w:rPr>
        <w:t>schap stel</w:t>
      </w:r>
      <w:r>
        <w:rPr>
          <w:sz w:val="20"/>
          <w:szCs w:val="20"/>
        </w:rPr>
        <w:t>de</w:t>
      </w:r>
      <w:r w:rsidRPr="005A08CD">
        <w:rPr>
          <w:sz w:val="20"/>
          <w:szCs w:val="20"/>
        </w:rPr>
        <w:t xml:space="preserve"> voor om een verzoek tot een rechterlijke machtiging, indien nodig, te laten doen in de lidstaat van de “assisting”</w:t>
      </w:r>
      <w:r>
        <w:rPr>
          <w:sz w:val="20"/>
          <w:szCs w:val="20"/>
        </w:rPr>
        <w:t xml:space="preserve"> Europese gedelegeerde aanklager</w:t>
      </w:r>
      <w:r w:rsidRPr="005A08CD">
        <w:rPr>
          <w:sz w:val="20"/>
          <w:szCs w:val="20"/>
        </w:rPr>
        <w:t>.</w:t>
      </w:r>
    </w:p>
    <w:p w:rsidRPr="005A08CD" w:rsidR="003F6B52" w:rsidP="003F6B52" w:rsidRDefault="003F6B52">
      <w:pPr>
        <w:rPr>
          <w:sz w:val="20"/>
          <w:szCs w:val="20"/>
        </w:rPr>
      </w:pPr>
      <w:r>
        <w:rPr>
          <w:sz w:val="20"/>
          <w:szCs w:val="20"/>
        </w:rPr>
        <w:t>Met betrekking tot punt 2 stelde</w:t>
      </w:r>
      <w:r w:rsidRPr="005A08CD">
        <w:rPr>
          <w:sz w:val="20"/>
          <w:szCs w:val="20"/>
        </w:rPr>
        <w:t xml:space="preserve"> het V</w:t>
      </w:r>
      <w:r>
        <w:rPr>
          <w:sz w:val="20"/>
          <w:szCs w:val="20"/>
        </w:rPr>
        <w:t>oor</w:t>
      </w:r>
      <w:r w:rsidRPr="005A08CD">
        <w:rPr>
          <w:sz w:val="20"/>
          <w:szCs w:val="20"/>
        </w:rPr>
        <w:t>z</w:t>
      </w:r>
      <w:r>
        <w:rPr>
          <w:sz w:val="20"/>
          <w:szCs w:val="20"/>
        </w:rPr>
        <w:t>itterschap dat de door de Commissie</w:t>
      </w:r>
      <w:r w:rsidRPr="005A08CD">
        <w:rPr>
          <w:sz w:val="20"/>
          <w:szCs w:val="20"/>
        </w:rPr>
        <w:t xml:space="preserve"> in het oorspronkelijk voorstel </w:t>
      </w:r>
      <w:r>
        <w:rPr>
          <w:sz w:val="20"/>
          <w:szCs w:val="20"/>
        </w:rPr>
        <w:t xml:space="preserve">voor de ontwerpverordening </w:t>
      </w:r>
      <w:r w:rsidRPr="005A08CD">
        <w:rPr>
          <w:sz w:val="20"/>
          <w:szCs w:val="20"/>
        </w:rPr>
        <w:t>gekozen benadering</w:t>
      </w:r>
      <w:r w:rsidRPr="00CD2C74">
        <w:rPr>
          <w:sz w:val="20"/>
          <w:szCs w:val="20"/>
        </w:rPr>
        <w:t xml:space="preserve"> </w:t>
      </w:r>
      <w:r>
        <w:rPr>
          <w:sz w:val="20"/>
          <w:szCs w:val="20"/>
        </w:rPr>
        <w:t>(rechterlijke</w:t>
      </w:r>
      <w:r w:rsidRPr="005A08CD">
        <w:rPr>
          <w:sz w:val="20"/>
          <w:szCs w:val="20"/>
        </w:rPr>
        <w:t xml:space="preserve"> controle door de nationale rechter en niet </w:t>
      </w:r>
      <w:r>
        <w:rPr>
          <w:sz w:val="20"/>
          <w:szCs w:val="20"/>
        </w:rPr>
        <w:t xml:space="preserve">door </w:t>
      </w:r>
      <w:r w:rsidRPr="005A08CD">
        <w:rPr>
          <w:sz w:val="20"/>
          <w:szCs w:val="20"/>
        </w:rPr>
        <w:t>he</w:t>
      </w:r>
      <w:r>
        <w:rPr>
          <w:sz w:val="20"/>
          <w:szCs w:val="20"/>
        </w:rPr>
        <w:t>t EU Hof van Justitie) naar zijn mening voor discussie vatbaar is.</w:t>
      </w:r>
      <w:r w:rsidRPr="005A08CD">
        <w:rPr>
          <w:sz w:val="20"/>
          <w:szCs w:val="20"/>
        </w:rPr>
        <w:t xml:space="preserve"> Het V</w:t>
      </w:r>
      <w:r>
        <w:rPr>
          <w:sz w:val="20"/>
          <w:szCs w:val="20"/>
        </w:rPr>
        <w:t>oorzitterschap wees</w:t>
      </w:r>
      <w:r w:rsidRPr="005A08CD">
        <w:rPr>
          <w:sz w:val="20"/>
          <w:szCs w:val="20"/>
        </w:rPr>
        <w:t xml:space="preserve"> verder op de positie van het Europees Parlement en op het advies van de Juridische Dienst van de Raad</w:t>
      </w:r>
      <w:r>
        <w:rPr>
          <w:sz w:val="20"/>
          <w:szCs w:val="20"/>
        </w:rPr>
        <w:t xml:space="preserve"> terzake</w:t>
      </w:r>
      <w:r w:rsidRPr="005A08CD">
        <w:rPr>
          <w:sz w:val="20"/>
          <w:szCs w:val="20"/>
        </w:rPr>
        <w:t>. Het V</w:t>
      </w:r>
      <w:r>
        <w:rPr>
          <w:sz w:val="20"/>
          <w:szCs w:val="20"/>
        </w:rPr>
        <w:t>oorzitter</w:t>
      </w:r>
      <w:r w:rsidRPr="005A08CD">
        <w:rPr>
          <w:sz w:val="20"/>
          <w:szCs w:val="20"/>
        </w:rPr>
        <w:t>schap stel</w:t>
      </w:r>
      <w:r>
        <w:rPr>
          <w:sz w:val="20"/>
          <w:szCs w:val="20"/>
        </w:rPr>
        <w:t>de</w:t>
      </w:r>
      <w:r w:rsidRPr="005A08CD">
        <w:rPr>
          <w:sz w:val="20"/>
          <w:szCs w:val="20"/>
        </w:rPr>
        <w:t xml:space="preserve"> voor om verder te werken op basis van optie 2</w:t>
      </w:r>
      <w:r>
        <w:rPr>
          <w:sz w:val="20"/>
          <w:szCs w:val="20"/>
        </w:rPr>
        <w:t xml:space="preserve">, dat wil zeggen rechterlijke controle door het EU Hof van Justitie ten aanzien van bepaalde beslissingen van het EOM. </w:t>
      </w:r>
    </w:p>
    <w:p w:rsidR="003F6B52" w:rsidP="003F6B52" w:rsidRDefault="003F6B52">
      <w:pPr>
        <w:rPr>
          <w:sz w:val="20"/>
          <w:szCs w:val="20"/>
        </w:rPr>
      </w:pPr>
    </w:p>
    <w:p w:rsidRPr="005A08CD" w:rsidR="003F6B52" w:rsidP="003F6B52" w:rsidRDefault="003F6B52">
      <w:pPr>
        <w:rPr>
          <w:sz w:val="20"/>
          <w:szCs w:val="20"/>
        </w:rPr>
      </w:pPr>
      <w:r w:rsidRPr="006327D8">
        <w:rPr>
          <w:sz w:val="20"/>
          <w:szCs w:val="20"/>
        </w:rPr>
        <w:t>De Commissie</w:t>
      </w:r>
      <w:r w:rsidRPr="005A08CD">
        <w:rPr>
          <w:sz w:val="20"/>
          <w:szCs w:val="20"/>
        </w:rPr>
        <w:t xml:space="preserve">, bij monde van </w:t>
      </w:r>
      <w:r w:rsidRPr="006A1DEE">
        <w:rPr>
          <w:sz w:val="20"/>
          <w:szCs w:val="20"/>
        </w:rPr>
        <w:t>Commissaris Jourov</w:t>
      </w:r>
      <w:r>
        <w:rPr>
          <w:sz w:val="20"/>
          <w:szCs w:val="20"/>
        </w:rPr>
        <w:t>á, noemde</w:t>
      </w:r>
      <w:r w:rsidRPr="005A08CD">
        <w:rPr>
          <w:sz w:val="20"/>
          <w:szCs w:val="20"/>
        </w:rPr>
        <w:t xml:space="preserve"> het EO</w:t>
      </w:r>
      <w:r>
        <w:rPr>
          <w:sz w:val="20"/>
          <w:szCs w:val="20"/>
        </w:rPr>
        <w:t>M een “flagship project”. De Commissie</w:t>
      </w:r>
      <w:r w:rsidRPr="005A08CD">
        <w:rPr>
          <w:sz w:val="20"/>
          <w:szCs w:val="20"/>
        </w:rPr>
        <w:t xml:space="preserve"> </w:t>
      </w:r>
      <w:r>
        <w:rPr>
          <w:sz w:val="20"/>
          <w:szCs w:val="20"/>
        </w:rPr>
        <w:t xml:space="preserve">stelde te </w:t>
      </w:r>
      <w:r w:rsidRPr="005A08CD">
        <w:rPr>
          <w:sz w:val="20"/>
          <w:szCs w:val="20"/>
        </w:rPr>
        <w:t>str</w:t>
      </w:r>
      <w:r>
        <w:rPr>
          <w:sz w:val="20"/>
          <w:szCs w:val="20"/>
        </w:rPr>
        <w:t>even</w:t>
      </w:r>
      <w:r w:rsidRPr="005A08CD">
        <w:rPr>
          <w:sz w:val="20"/>
          <w:szCs w:val="20"/>
        </w:rPr>
        <w:t xml:space="preserve"> naar een EOM waaraa</w:t>
      </w:r>
      <w:r>
        <w:rPr>
          <w:sz w:val="20"/>
          <w:szCs w:val="20"/>
        </w:rPr>
        <w:t>n 25 lidstaten, zijnde alle lidstaten behalve de lidstaten met een zgn. opt out (Ierland, Denemarken en het Verenigd Koninkrijk)  deelnemen. De Commissie</w:t>
      </w:r>
      <w:r w:rsidRPr="005A08CD">
        <w:rPr>
          <w:sz w:val="20"/>
          <w:szCs w:val="20"/>
        </w:rPr>
        <w:t xml:space="preserve"> r</w:t>
      </w:r>
      <w:r>
        <w:rPr>
          <w:sz w:val="20"/>
          <w:szCs w:val="20"/>
        </w:rPr>
        <w:t>iep lidstaten</w:t>
      </w:r>
      <w:r w:rsidRPr="005A08CD">
        <w:rPr>
          <w:sz w:val="20"/>
          <w:szCs w:val="20"/>
        </w:rPr>
        <w:t xml:space="preserve"> evenwel op om de tekst niet te verwateren</w:t>
      </w:r>
      <w:r>
        <w:rPr>
          <w:sz w:val="20"/>
          <w:szCs w:val="20"/>
        </w:rPr>
        <w:t xml:space="preserve"> en</w:t>
      </w:r>
      <w:r w:rsidRPr="005A08CD">
        <w:rPr>
          <w:sz w:val="20"/>
          <w:szCs w:val="20"/>
        </w:rPr>
        <w:t xml:space="preserve"> te voorzien in een sterk en o</w:t>
      </w:r>
      <w:r>
        <w:rPr>
          <w:sz w:val="20"/>
          <w:szCs w:val="20"/>
        </w:rPr>
        <w:t>nafhankelijk EOM.</w:t>
      </w:r>
      <w:r w:rsidRPr="005A08CD">
        <w:rPr>
          <w:sz w:val="20"/>
          <w:szCs w:val="20"/>
        </w:rPr>
        <w:t xml:space="preserve"> </w:t>
      </w:r>
    </w:p>
    <w:p w:rsidR="003F6B52" w:rsidP="003F6B52" w:rsidRDefault="003F6B52">
      <w:pPr>
        <w:rPr>
          <w:sz w:val="20"/>
          <w:szCs w:val="20"/>
        </w:rPr>
      </w:pPr>
    </w:p>
    <w:p w:rsidRPr="005A08CD" w:rsidR="003F6B52" w:rsidP="003F6B52" w:rsidRDefault="003F6B52">
      <w:pPr>
        <w:rPr>
          <w:sz w:val="20"/>
          <w:szCs w:val="20"/>
        </w:rPr>
      </w:pPr>
      <w:r w:rsidRPr="005A08CD">
        <w:rPr>
          <w:sz w:val="20"/>
          <w:szCs w:val="20"/>
        </w:rPr>
        <w:t>Met bet</w:t>
      </w:r>
      <w:r>
        <w:rPr>
          <w:sz w:val="20"/>
          <w:szCs w:val="20"/>
        </w:rPr>
        <w:t>rekking tot punt 1 gaf de Commissie</w:t>
      </w:r>
      <w:r w:rsidRPr="005A08CD">
        <w:rPr>
          <w:sz w:val="20"/>
          <w:szCs w:val="20"/>
        </w:rPr>
        <w:t xml:space="preserve"> aan </w:t>
      </w:r>
      <w:r>
        <w:rPr>
          <w:sz w:val="20"/>
          <w:szCs w:val="20"/>
        </w:rPr>
        <w:t xml:space="preserve">te hechten aan </w:t>
      </w:r>
      <w:r w:rsidRPr="005A08CD">
        <w:rPr>
          <w:sz w:val="20"/>
          <w:szCs w:val="20"/>
        </w:rPr>
        <w:t>een systeem van samenwerking binnen het EOM dat verder gaat dan de bestaande instrumenten</w:t>
      </w:r>
      <w:r>
        <w:rPr>
          <w:sz w:val="20"/>
          <w:szCs w:val="20"/>
        </w:rPr>
        <w:t xml:space="preserve"> voor strafrechtelijke samenwerking</w:t>
      </w:r>
      <w:r w:rsidRPr="005A08CD">
        <w:rPr>
          <w:sz w:val="20"/>
          <w:szCs w:val="20"/>
        </w:rPr>
        <w:t>. De “single office” die het EOM zal zijn, bie</w:t>
      </w:r>
      <w:r>
        <w:rPr>
          <w:sz w:val="20"/>
          <w:szCs w:val="20"/>
        </w:rPr>
        <w:t>dt daartoe mogelijkheden. De Commissie</w:t>
      </w:r>
      <w:r w:rsidRPr="005A08CD">
        <w:rPr>
          <w:sz w:val="20"/>
          <w:szCs w:val="20"/>
        </w:rPr>
        <w:t xml:space="preserve"> was voorstander van een benadering waarbij een </w:t>
      </w:r>
      <w:r>
        <w:rPr>
          <w:sz w:val="20"/>
          <w:szCs w:val="20"/>
        </w:rPr>
        <w:t>rechterlijke</w:t>
      </w:r>
      <w:r w:rsidRPr="005A08CD">
        <w:rPr>
          <w:sz w:val="20"/>
          <w:szCs w:val="20"/>
        </w:rPr>
        <w:t xml:space="preserve"> machtiging zou worden verkregen in de </w:t>
      </w:r>
      <w:r>
        <w:rPr>
          <w:sz w:val="20"/>
          <w:szCs w:val="20"/>
        </w:rPr>
        <w:t>lidstaat</w:t>
      </w:r>
      <w:r w:rsidRPr="005A08CD">
        <w:rPr>
          <w:sz w:val="20"/>
          <w:szCs w:val="20"/>
        </w:rPr>
        <w:t xml:space="preserve"> van de “handling”</w:t>
      </w:r>
      <w:r>
        <w:rPr>
          <w:sz w:val="20"/>
          <w:szCs w:val="20"/>
        </w:rPr>
        <w:t xml:space="preserve"> Europese gedelegeerde aanklager</w:t>
      </w:r>
      <w:r w:rsidRPr="005A08CD">
        <w:rPr>
          <w:sz w:val="20"/>
          <w:szCs w:val="20"/>
        </w:rPr>
        <w:t xml:space="preserve">, omdat het dossier zich bevindt in diens lidstaat en het bewijs </w:t>
      </w:r>
      <w:r>
        <w:rPr>
          <w:sz w:val="20"/>
          <w:szCs w:val="20"/>
        </w:rPr>
        <w:t xml:space="preserve">daar ook </w:t>
      </w:r>
      <w:r w:rsidRPr="005A08CD">
        <w:rPr>
          <w:sz w:val="20"/>
          <w:szCs w:val="20"/>
        </w:rPr>
        <w:t>voor de rech</w:t>
      </w:r>
      <w:r>
        <w:rPr>
          <w:sz w:val="20"/>
          <w:szCs w:val="20"/>
        </w:rPr>
        <w:t>ter moet worden gebracht. De Commissie stelde</w:t>
      </w:r>
      <w:r w:rsidRPr="005A08CD">
        <w:rPr>
          <w:sz w:val="20"/>
          <w:szCs w:val="20"/>
        </w:rPr>
        <w:t xml:space="preserve"> zich evenwel open op ten aanzien van de benadering zoals door het V</w:t>
      </w:r>
      <w:r>
        <w:rPr>
          <w:sz w:val="20"/>
          <w:szCs w:val="20"/>
        </w:rPr>
        <w:t>oorzitter</w:t>
      </w:r>
      <w:r w:rsidRPr="005A08CD">
        <w:rPr>
          <w:sz w:val="20"/>
          <w:szCs w:val="20"/>
        </w:rPr>
        <w:t xml:space="preserve">schap </w:t>
      </w:r>
      <w:r>
        <w:rPr>
          <w:sz w:val="20"/>
          <w:szCs w:val="20"/>
        </w:rPr>
        <w:t xml:space="preserve">werd </w:t>
      </w:r>
      <w:r w:rsidRPr="005A08CD">
        <w:rPr>
          <w:sz w:val="20"/>
          <w:szCs w:val="20"/>
        </w:rPr>
        <w:t>voorgesteld.</w:t>
      </w:r>
    </w:p>
    <w:p w:rsidR="003F6B52" w:rsidP="003F6B52" w:rsidRDefault="003F6B52">
      <w:pPr>
        <w:rPr>
          <w:sz w:val="20"/>
          <w:szCs w:val="20"/>
        </w:rPr>
      </w:pPr>
      <w:r w:rsidRPr="005A08CD">
        <w:rPr>
          <w:sz w:val="20"/>
          <w:szCs w:val="20"/>
        </w:rPr>
        <w:t>Met be</w:t>
      </w:r>
      <w:r>
        <w:rPr>
          <w:sz w:val="20"/>
          <w:szCs w:val="20"/>
        </w:rPr>
        <w:t>trekking tot punt 2 benadrukte de Commissie</w:t>
      </w:r>
      <w:r w:rsidRPr="005A08CD">
        <w:rPr>
          <w:sz w:val="20"/>
          <w:szCs w:val="20"/>
        </w:rPr>
        <w:t xml:space="preserve"> het belang van een effectief en snel werke</w:t>
      </w:r>
      <w:r>
        <w:rPr>
          <w:sz w:val="20"/>
          <w:szCs w:val="20"/>
        </w:rPr>
        <w:t>nd EOM. De Commissie pleitte daarom</w:t>
      </w:r>
      <w:r w:rsidRPr="005A08CD">
        <w:rPr>
          <w:sz w:val="20"/>
          <w:szCs w:val="20"/>
        </w:rPr>
        <w:t xml:space="preserve"> voor </w:t>
      </w:r>
      <w:r>
        <w:rPr>
          <w:sz w:val="20"/>
          <w:szCs w:val="20"/>
        </w:rPr>
        <w:t>rechterlijke</w:t>
      </w:r>
      <w:r w:rsidRPr="005A08CD">
        <w:rPr>
          <w:sz w:val="20"/>
          <w:szCs w:val="20"/>
        </w:rPr>
        <w:t xml:space="preserve"> controle door de nationale rechter en niet </w:t>
      </w:r>
      <w:r>
        <w:rPr>
          <w:sz w:val="20"/>
          <w:szCs w:val="20"/>
        </w:rPr>
        <w:t xml:space="preserve">door </w:t>
      </w:r>
      <w:r w:rsidRPr="005A08CD">
        <w:rPr>
          <w:sz w:val="20"/>
          <w:szCs w:val="20"/>
        </w:rPr>
        <w:t>he</w:t>
      </w:r>
      <w:r>
        <w:rPr>
          <w:sz w:val="20"/>
          <w:szCs w:val="20"/>
        </w:rPr>
        <w:t>t EU Hof van Justitie. De Commissie</w:t>
      </w:r>
      <w:r w:rsidRPr="005A08CD">
        <w:rPr>
          <w:sz w:val="20"/>
          <w:szCs w:val="20"/>
        </w:rPr>
        <w:t xml:space="preserve"> vreest dat het H</w:t>
      </w:r>
      <w:r>
        <w:rPr>
          <w:sz w:val="20"/>
          <w:szCs w:val="20"/>
        </w:rPr>
        <w:t>of</w:t>
      </w:r>
      <w:r w:rsidRPr="005A08CD">
        <w:rPr>
          <w:sz w:val="20"/>
          <w:szCs w:val="20"/>
        </w:rPr>
        <w:t xml:space="preserve"> anders overladen dreigt te worden</w:t>
      </w:r>
      <w:r>
        <w:rPr>
          <w:sz w:val="20"/>
          <w:szCs w:val="20"/>
        </w:rPr>
        <w:t>,</w:t>
      </w:r>
      <w:r w:rsidRPr="005A08CD">
        <w:rPr>
          <w:sz w:val="20"/>
          <w:szCs w:val="20"/>
        </w:rPr>
        <w:t xml:space="preserve"> hetgeen een verlammend effect op het functioneren van het EOM zou kunnen hebben.</w:t>
      </w:r>
    </w:p>
    <w:p w:rsidRPr="005A08CD" w:rsidR="003F6B52" w:rsidP="003F6B52" w:rsidRDefault="003F6B52">
      <w:pPr>
        <w:rPr>
          <w:sz w:val="20"/>
          <w:szCs w:val="20"/>
        </w:rPr>
      </w:pPr>
    </w:p>
    <w:p w:rsidRPr="005A08CD" w:rsidR="003F6B52" w:rsidP="003F6B52" w:rsidRDefault="003F6B52">
      <w:pPr>
        <w:rPr>
          <w:sz w:val="20"/>
          <w:szCs w:val="20"/>
        </w:rPr>
      </w:pPr>
      <w:r>
        <w:rPr>
          <w:sz w:val="20"/>
          <w:szCs w:val="20"/>
        </w:rPr>
        <w:t xml:space="preserve">De heer </w:t>
      </w:r>
      <w:r w:rsidRPr="005A08CD">
        <w:rPr>
          <w:sz w:val="20"/>
          <w:szCs w:val="20"/>
        </w:rPr>
        <w:t>Svoboda</w:t>
      </w:r>
      <w:r>
        <w:rPr>
          <w:sz w:val="20"/>
          <w:szCs w:val="20"/>
        </w:rPr>
        <w:t>, voorzitter van het JURI comité</w:t>
      </w:r>
      <w:r w:rsidRPr="005A08CD">
        <w:rPr>
          <w:sz w:val="20"/>
          <w:szCs w:val="20"/>
        </w:rPr>
        <w:t>, benadrukt</w:t>
      </w:r>
      <w:r>
        <w:rPr>
          <w:sz w:val="20"/>
          <w:szCs w:val="20"/>
        </w:rPr>
        <w:t>e daarna namens het EP</w:t>
      </w:r>
      <w:r w:rsidRPr="005A08CD">
        <w:rPr>
          <w:sz w:val="20"/>
          <w:szCs w:val="20"/>
        </w:rPr>
        <w:t xml:space="preserve"> dat het EP de oprichting van het EOM van groot belang </w:t>
      </w:r>
      <w:r>
        <w:rPr>
          <w:sz w:val="20"/>
          <w:szCs w:val="20"/>
        </w:rPr>
        <w:t xml:space="preserve">vindt </w:t>
      </w:r>
      <w:r w:rsidRPr="005A08CD">
        <w:rPr>
          <w:sz w:val="20"/>
          <w:szCs w:val="20"/>
        </w:rPr>
        <w:t xml:space="preserve">voor de bestrijding van EU-fraude. Het EP heeft twee resoluties over het EOM aangenomen. Het EP </w:t>
      </w:r>
      <w:r>
        <w:rPr>
          <w:sz w:val="20"/>
          <w:szCs w:val="20"/>
        </w:rPr>
        <w:t xml:space="preserve">wil </w:t>
      </w:r>
      <w:r w:rsidRPr="005A08CD">
        <w:rPr>
          <w:sz w:val="20"/>
          <w:szCs w:val="20"/>
        </w:rPr>
        <w:t xml:space="preserve">een sterk en onafhankelijk EOM. </w:t>
      </w:r>
      <w:r>
        <w:rPr>
          <w:sz w:val="20"/>
          <w:szCs w:val="20"/>
        </w:rPr>
        <w:t xml:space="preserve">De heer Svoboda </w:t>
      </w:r>
      <w:r w:rsidRPr="005A08CD">
        <w:rPr>
          <w:sz w:val="20"/>
          <w:szCs w:val="20"/>
        </w:rPr>
        <w:t>stipt</w:t>
      </w:r>
      <w:r>
        <w:rPr>
          <w:sz w:val="20"/>
          <w:szCs w:val="20"/>
        </w:rPr>
        <w:t>e</w:t>
      </w:r>
      <w:r w:rsidRPr="005A08CD">
        <w:rPr>
          <w:sz w:val="20"/>
          <w:szCs w:val="20"/>
        </w:rPr>
        <w:t xml:space="preserve"> enkele aandachtspunten uit de resoluties aan, zoals het belang van een duidelijke bevoegdheidsverdeling tussen het EOM en de nationale autoriteiten, een goede informatiepositie voor het EOM en een sterke rol voor het centrale niveau van het EOM, in het bijzonder de </w:t>
      </w:r>
      <w:r>
        <w:rPr>
          <w:sz w:val="20"/>
          <w:szCs w:val="20"/>
        </w:rPr>
        <w:t>Permanente Kamers</w:t>
      </w:r>
      <w:r w:rsidRPr="005A08CD">
        <w:rPr>
          <w:sz w:val="20"/>
          <w:szCs w:val="20"/>
        </w:rPr>
        <w:t xml:space="preserve">. Met betrekking tot </w:t>
      </w:r>
      <w:r>
        <w:rPr>
          <w:sz w:val="20"/>
          <w:szCs w:val="20"/>
        </w:rPr>
        <w:t xml:space="preserve">punt </w:t>
      </w:r>
      <w:r w:rsidRPr="005A08CD">
        <w:rPr>
          <w:sz w:val="20"/>
          <w:szCs w:val="20"/>
        </w:rPr>
        <w:t xml:space="preserve">1 </w:t>
      </w:r>
      <w:r>
        <w:rPr>
          <w:sz w:val="20"/>
          <w:szCs w:val="20"/>
        </w:rPr>
        <w:t xml:space="preserve">is </w:t>
      </w:r>
      <w:r w:rsidRPr="005A08CD">
        <w:rPr>
          <w:sz w:val="20"/>
          <w:szCs w:val="20"/>
        </w:rPr>
        <w:t xml:space="preserve">het EP voor rechterlijke machtiging in de </w:t>
      </w:r>
      <w:r>
        <w:rPr>
          <w:sz w:val="20"/>
          <w:szCs w:val="20"/>
        </w:rPr>
        <w:t>lidstaten</w:t>
      </w:r>
      <w:r w:rsidRPr="005A08CD">
        <w:rPr>
          <w:sz w:val="20"/>
          <w:szCs w:val="20"/>
        </w:rPr>
        <w:t xml:space="preserve"> waar de onderzoeksmaatregel wordt uitgevoerd (de lidstaat van de “assisting”</w:t>
      </w:r>
      <w:r>
        <w:rPr>
          <w:sz w:val="20"/>
          <w:szCs w:val="20"/>
        </w:rPr>
        <w:t xml:space="preserve"> Europese gedelegeerde aanklager</w:t>
      </w:r>
      <w:r w:rsidRPr="005A08CD">
        <w:rPr>
          <w:sz w:val="20"/>
          <w:szCs w:val="20"/>
        </w:rPr>
        <w:t>), maar met toepassing van weigeringsgronden</w:t>
      </w:r>
      <w:r>
        <w:rPr>
          <w:sz w:val="20"/>
          <w:szCs w:val="20"/>
        </w:rPr>
        <w:t>,</w:t>
      </w:r>
      <w:r w:rsidRPr="005A08CD">
        <w:rPr>
          <w:sz w:val="20"/>
          <w:szCs w:val="20"/>
        </w:rPr>
        <w:t xml:space="preserve"> zoals </w:t>
      </w:r>
      <w:r>
        <w:rPr>
          <w:sz w:val="20"/>
          <w:szCs w:val="20"/>
        </w:rPr>
        <w:t xml:space="preserve">die </w:t>
      </w:r>
      <w:r w:rsidRPr="005A08CD">
        <w:rPr>
          <w:sz w:val="20"/>
          <w:szCs w:val="20"/>
        </w:rPr>
        <w:t xml:space="preserve">uit het Europees onderzoeksbevel. Met betrekking tot </w:t>
      </w:r>
      <w:r>
        <w:rPr>
          <w:sz w:val="20"/>
          <w:szCs w:val="20"/>
        </w:rPr>
        <w:t xml:space="preserve">punt </w:t>
      </w:r>
      <w:r w:rsidRPr="005A08CD">
        <w:rPr>
          <w:sz w:val="20"/>
          <w:szCs w:val="20"/>
        </w:rPr>
        <w:t>2 pleit</w:t>
      </w:r>
      <w:r>
        <w:rPr>
          <w:sz w:val="20"/>
          <w:szCs w:val="20"/>
        </w:rPr>
        <w:t>te</w:t>
      </w:r>
      <w:r w:rsidRPr="005A08CD">
        <w:rPr>
          <w:sz w:val="20"/>
          <w:szCs w:val="20"/>
        </w:rPr>
        <w:t xml:space="preserve"> </w:t>
      </w:r>
      <w:r>
        <w:rPr>
          <w:sz w:val="20"/>
          <w:szCs w:val="20"/>
        </w:rPr>
        <w:t>de heer Svoboda</w:t>
      </w:r>
      <w:r w:rsidRPr="005A08CD">
        <w:rPr>
          <w:sz w:val="20"/>
          <w:szCs w:val="20"/>
        </w:rPr>
        <w:t xml:space="preserve"> voor een rol van het </w:t>
      </w:r>
      <w:r>
        <w:rPr>
          <w:sz w:val="20"/>
          <w:szCs w:val="20"/>
        </w:rPr>
        <w:t>EU Hof van Justitie bij</w:t>
      </w:r>
      <w:r w:rsidRPr="005A08CD">
        <w:rPr>
          <w:sz w:val="20"/>
          <w:szCs w:val="20"/>
        </w:rPr>
        <w:t xml:space="preserve"> beslissingen die </w:t>
      </w:r>
      <w:r>
        <w:rPr>
          <w:sz w:val="20"/>
          <w:szCs w:val="20"/>
        </w:rPr>
        <w:t xml:space="preserve">door het EOM </w:t>
      </w:r>
      <w:r w:rsidRPr="005A08CD">
        <w:rPr>
          <w:sz w:val="20"/>
          <w:szCs w:val="20"/>
        </w:rPr>
        <w:t xml:space="preserve">rechtstreeks op basis van de verordening worden genomen, zoals de forumkeuze of sepot. </w:t>
      </w:r>
      <w:r>
        <w:rPr>
          <w:sz w:val="20"/>
          <w:szCs w:val="20"/>
        </w:rPr>
        <w:t>De o</w:t>
      </w:r>
      <w:r w:rsidRPr="005A08CD">
        <w:rPr>
          <w:sz w:val="20"/>
          <w:szCs w:val="20"/>
        </w:rPr>
        <w:t>verige beslissingen moeten volgens he</w:t>
      </w:r>
      <w:r>
        <w:rPr>
          <w:sz w:val="20"/>
          <w:szCs w:val="20"/>
        </w:rPr>
        <w:t>m</w:t>
      </w:r>
      <w:r w:rsidRPr="005A08CD">
        <w:rPr>
          <w:sz w:val="20"/>
          <w:szCs w:val="20"/>
        </w:rPr>
        <w:t xml:space="preserve"> door de nationale rechter worden getoetst.  </w:t>
      </w:r>
    </w:p>
    <w:p w:rsidR="003F6B52" w:rsidP="003F6B52" w:rsidRDefault="003F6B52">
      <w:pPr>
        <w:rPr>
          <w:sz w:val="20"/>
          <w:szCs w:val="20"/>
        </w:rPr>
      </w:pPr>
    </w:p>
    <w:p w:rsidRPr="005A08CD" w:rsidR="003F6B52" w:rsidP="003F6B52" w:rsidRDefault="003F6B52">
      <w:pPr>
        <w:rPr>
          <w:i/>
          <w:sz w:val="20"/>
          <w:szCs w:val="20"/>
        </w:rPr>
      </w:pPr>
      <w:r>
        <w:rPr>
          <w:i/>
          <w:sz w:val="20"/>
          <w:szCs w:val="20"/>
        </w:rPr>
        <w:t>Lidstaten a</w:t>
      </w:r>
      <w:r w:rsidRPr="005A08CD">
        <w:rPr>
          <w:i/>
          <w:sz w:val="20"/>
          <w:szCs w:val="20"/>
        </w:rPr>
        <w:t xml:space="preserve">d </w:t>
      </w:r>
      <w:r>
        <w:rPr>
          <w:i/>
          <w:sz w:val="20"/>
          <w:szCs w:val="20"/>
        </w:rPr>
        <w:t xml:space="preserve">punt </w:t>
      </w:r>
      <w:r w:rsidRPr="005A08CD">
        <w:rPr>
          <w:i/>
          <w:sz w:val="20"/>
          <w:szCs w:val="20"/>
        </w:rPr>
        <w:t>1</w:t>
      </w:r>
    </w:p>
    <w:p w:rsidR="003F6B52" w:rsidP="003F6B52" w:rsidRDefault="003F6B52">
      <w:pPr>
        <w:rPr>
          <w:sz w:val="20"/>
          <w:szCs w:val="20"/>
        </w:rPr>
      </w:pPr>
      <w:r w:rsidRPr="005A08CD">
        <w:rPr>
          <w:sz w:val="20"/>
          <w:szCs w:val="20"/>
        </w:rPr>
        <w:t xml:space="preserve">De meeste </w:t>
      </w:r>
      <w:r>
        <w:rPr>
          <w:sz w:val="20"/>
          <w:szCs w:val="20"/>
        </w:rPr>
        <w:t>lidstaten</w:t>
      </w:r>
      <w:r w:rsidRPr="005A08CD">
        <w:rPr>
          <w:sz w:val="20"/>
          <w:szCs w:val="20"/>
        </w:rPr>
        <w:t xml:space="preserve"> </w:t>
      </w:r>
      <w:r>
        <w:rPr>
          <w:sz w:val="20"/>
          <w:szCs w:val="20"/>
        </w:rPr>
        <w:t xml:space="preserve">gaven steun aan </w:t>
      </w:r>
      <w:r w:rsidRPr="005A08CD">
        <w:rPr>
          <w:sz w:val="20"/>
          <w:szCs w:val="20"/>
        </w:rPr>
        <w:t xml:space="preserve">een systeem waarbij in </w:t>
      </w:r>
      <w:r>
        <w:rPr>
          <w:sz w:val="20"/>
          <w:szCs w:val="20"/>
        </w:rPr>
        <w:t xml:space="preserve">een </w:t>
      </w:r>
      <w:r w:rsidRPr="005A08CD">
        <w:rPr>
          <w:sz w:val="20"/>
          <w:szCs w:val="20"/>
        </w:rPr>
        <w:t xml:space="preserve">grensoverschrijdend onderzoek </w:t>
      </w:r>
      <w:r>
        <w:rPr>
          <w:sz w:val="20"/>
          <w:szCs w:val="20"/>
        </w:rPr>
        <w:t xml:space="preserve">van het EOM </w:t>
      </w:r>
      <w:r w:rsidRPr="005A08CD">
        <w:rPr>
          <w:sz w:val="20"/>
          <w:szCs w:val="20"/>
        </w:rPr>
        <w:t>met een enkele rechterlijke machtiging wordt gewerkt</w:t>
      </w:r>
      <w:r>
        <w:rPr>
          <w:sz w:val="20"/>
          <w:szCs w:val="20"/>
        </w:rPr>
        <w:t xml:space="preserve"> die is af</w:t>
      </w:r>
      <w:r w:rsidRPr="005A08CD">
        <w:rPr>
          <w:sz w:val="20"/>
          <w:szCs w:val="20"/>
        </w:rPr>
        <w:t xml:space="preserve">gegeven door de rechter uit de lidstaat van </w:t>
      </w:r>
      <w:r>
        <w:rPr>
          <w:sz w:val="20"/>
          <w:szCs w:val="20"/>
        </w:rPr>
        <w:t xml:space="preserve">de </w:t>
      </w:r>
      <w:r w:rsidRPr="005A08CD">
        <w:rPr>
          <w:sz w:val="20"/>
          <w:szCs w:val="20"/>
        </w:rPr>
        <w:t>“assisting”</w:t>
      </w:r>
      <w:r>
        <w:rPr>
          <w:sz w:val="20"/>
          <w:szCs w:val="20"/>
        </w:rPr>
        <w:t xml:space="preserve"> Europese gedelegeerde aanklager</w:t>
      </w:r>
      <w:r w:rsidRPr="005A08CD">
        <w:rPr>
          <w:sz w:val="20"/>
          <w:szCs w:val="20"/>
        </w:rPr>
        <w:t>. Enkele</w:t>
      </w:r>
      <w:r>
        <w:rPr>
          <w:sz w:val="20"/>
          <w:szCs w:val="20"/>
        </w:rPr>
        <w:t xml:space="preserve"> lidstaten</w:t>
      </w:r>
      <w:r w:rsidRPr="005A08CD">
        <w:rPr>
          <w:sz w:val="20"/>
          <w:szCs w:val="20"/>
        </w:rPr>
        <w:t xml:space="preserve"> kunnen alleen akkoord gaan met een enkele rechterlijke machtiging als die door de rechter uit de lidstaat van de “handling</w:t>
      </w:r>
      <w:r>
        <w:rPr>
          <w:sz w:val="20"/>
          <w:szCs w:val="20"/>
        </w:rPr>
        <w:t xml:space="preserve">” Europese gedelegeerde aanklager wordt afgegeven. Ook de Commissie </w:t>
      </w:r>
      <w:r w:rsidRPr="005A08CD">
        <w:rPr>
          <w:sz w:val="20"/>
          <w:szCs w:val="20"/>
        </w:rPr>
        <w:t>pleit</w:t>
      </w:r>
      <w:r>
        <w:rPr>
          <w:sz w:val="20"/>
          <w:szCs w:val="20"/>
        </w:rPr>
        <w:t>te</w:t>
      </w:r>
      <w:r w:rsidRPr="005A08CD">
        <w:rPr>
          <w:sz w:val="20"/>
          <w:szCs w:val="20"/>
        </w:rPr>
        <w:t xml:space="preserve"> voor die benadering, maar stel</w:t>
      </w:r>
      <w:r>
        <w:rPr>
          <w:sz w:val="20"/>
          <w:szCs w:val="20"/>
        </w:rPr>
        <w:t>de</w:t>
      </w:r>
      <w:r w:rsidRPr="005A08CD">
        <w:rPr>
          <w:sz w:val="20"/>
          <w:szCs w:val="20"/>
        </w:rPr>
        <w:t xml:space="preserve"> zich flexibel op. Het </w:t>
      </w:r>
      <w:r>
        <w:rPr>
          <w:sz w:val="20"/>
          <w:szCs w:val="20"/>
        </w:rPr>
        <w:t xml:space="preserve">Luxemburgse </w:t>
      </w:r>
      <w:r w:rsidRPr="005A08CD">
        <w:rPr>
          <w:sz w:val="20"/>
          <w:szCs w:val="20"/>
        </w:rPr>
        <w:t>V</w:t>
      </w:r>
      <w:r>
        <w:rPr>
          <w:sz w:val="20"/>
          <w:szCs w:val="20"/>
        </w:rPr>
        <w:t>oor</w:t>
      </w:r>
      <w:r w:rsidRPr="005A08CD">
        <w:rPr>
          <w:sz w:val="20"/>
          <w:szCs w:val="20"/>
        </w:rPr>
        <w:t>z</w:t>
      </w:r>
      <w:r>
        <w:rPr>
          <w:sz w:val="20"/>
          <w:szCs w:val="20"/>
        </w:rPr>
        <w:t>itter</w:t>
      </w:r>
      <w:r w:rsidRPr="005A08CD">
        <w:rPr>
          <w:sz w:val="20"/>
          <w:szCs w:val="20"/>
        </w:rPr>
        <w:t xml:space="preserve">schap </w:t>
      </w:r>
      <w:r>
        <w:rPr>
          <w:sz w:val="20"/>
          <w:szCs w:val="20"/>
        </w:rPr>
        <w:t xml:space="preserve">concludeerde dat op technisch niveau verder zal worden gewerkt aan een systeem met een enkele rechterlijke machtiging. Het gaf naar aanleiding van de discussie aan te </w:t>
      </w:r>
      <w:r w:rsidRPr="005A08CD">
        <w:rPr>
          <w:sz w:val="20"/>
          <w:szCs w:val="20"/>
        </w:rPr>
        <w:t>wil</w:t>
      </w:r>
      <w:r>
        <w:rPr>
          <w:sz w:val="20"/>
          <w:szCs w:val="20"/>
        </w:rPr>
        <w:t xml:space="preserve">len </w:t>
      </w:r>
      <w:r w:rsidRPr="005A08CD">
        <w:rPr>
          <w:sz w:val="20"/>
          <w:szCs w:val="20"/>
        </w:rPr>
        <w:t xml:space="preserve">kijken naar een flexibele benadering </w:t>
      </w:r>
      <w:r>
        <w:rPr>
          <w:sz w:val="20"/>
          <w:szCs w:val="20"/>
        </w:rPr>
        <w:t xml:space="preserve">voor </w:t>
      </w:r>
      <w:r w:rsidRPr="005A08CD">
        <w:rPr>
          <w:sz w:val="20"/>
          <w:szCs w:val="20"/>
        </w:rPr>
        <w:t>wat de keuze voor de rechter in de lidstaat van de “assisting” of de “handling” gedelegeerde Europese aanklager</w:t>
      </w:r>
      <w:r>
        <w:rPr>
          <w:sz w:val="20"/>
          <w:szCs w:val="20"/>
        </w:rPr>
        <w:t xml:space="preserve"> betreft</w:t>
      </w:r>
      <w:r w:rsidRPr="005A08CD">
        <w:rPr>
          <w:sz w:val="20"/>
          <w:szCs w:val="20"/>
        </w:rPr>
        <w:t>.</w:t>
      </w:r>
    </w:p>
    <w:p w:rsidRPr="005A08CD" w:rsidR="003F6B52" w:rsidP="003F6B52" w:rsidRDefault="003F6B52">
      <w:pPr>
        <w:rPr>
          <w:sz w:val="20"/>
          <w:szCs w:val="20"/>
        </w:rPr>
      </w:pPr>
    </w:p>
    <w:p w:rsidRPr="005A08CD" w:rsidR="003F6B52" w:rsidP="003F6B52" w:rsidRDefault="003F6B52">
      <w:pPr>
        <w:rPr>
          <w:i/>
          <w:sz w:val="20"/>
          <w:szCs w:val="20"/>
        </w:rPr>
      </w:pPr>
      <w:r>
        <w:rPr>
          <w:i/>
          <w:sz w:val="20"/>
          <w:szCs w:val="20"/>
        </w:rPr>
        <w:t>Lidstaten a</w:t>
      </w:r>
      <w:r w:rsidRPr="005A08CD">
        <w:rPr>
          <w:i/>
          <w:sz w:val="20"/>
          <w:szCs w:val="20"/>
        </w:rPr>
        <w:t xml:space="preserve">d </w:t>
      </w:r>
      <w:r>
        <w:rPr>
          <w:i/>
          <w:sz w:val="20"/>
          <w:szCs w:val="20"/>
        </w:rPr>
        <w:t xml:space="preserve">punt </w:t>
      </w:r>
      <w:r w:rsidRPr="005A08CD">
        <w:rPr>
          <w:i/>
          <w:sz w:val="20"/>
          <w:szCs w:val="20"/>
        </w:rPr>
        <w:t>2</w:t>
      </w:r>
    </w:p>
    <w:p w:rsidRPr="005A08CD" w:rsidR="003F6B52" w:rsidP="003F6B52" w:rsidRDefault="003F6B52">
      <w:pPr>
        <w:rPr>
          <w:sz w:val="20"/>
          <w:szCs w:val="20"/>
        </w:rPr>
      </w:pPr>
      <w:r w:rsidRPr="005A08CD">
        <w:rPr>
          <w:sz w:val="20"/>
          <w:szCs w:val="20"/>
        </w:rPr>
        <w:t xml:space="preserve">Een meerderheid van de </w:t>
      </w:r>
      <w:r>
        <w:rPr>
          <w:sz w:val="20"/>
          <w:szCs w:val="20"/>
        </w:rPr>
        <w:t>lidstaten</w:t>
      </w:r>
      <w:r w:rsidRPr="005A08CD">
        <w:rPr>
          <w:sz w:val="20"/>
          <w:szCs w:val="20"/>
        </w:rPr>
        <w:t xml:space="preserve"> </w:t>
      </w:r>
      <w:r>
        <w:rPr>
          <w:sz w:val="20"/>
          <w:szCs w:val="20"/>
        </w:rPr>
        <w:t>gaf aan voor</w:t>
      </w:r>
      <w:r w:rsidRPr="005A08CD">
        <w:rPr>
          <w:sz w:val="20"/>
          <w:szCs w:val="20"/>
        </w:rPr>
        <w:t xml:space="preserve"> optie 2</w:t>
      </w:r>
      <w:r>
        <w:rPr>
          <w:sz w:val="20"/>
          <w:szCs w:val="20"/>
        </w:rPr>
        <w:t xml:space="preserve"> te zijn (rechterlijke controle op het EOM door het EU Hof van Justitie)</w:t>
      </w:r>
      <w:r w:rsidRPr="005A08CD">
        <w:rPr>
          <w:sz w:val="20"/>
          <w:szCs w:val="20"/>
        </w:rPr>
        <w:t>, met dien verstande dat veel van deze</w:t>
      </w:r>
      <w:r>
        <w:rPr>
          <w:sz w:val="20"/>
          <w:szCs w:val="20"/>
        </w:rPr>
        <w:t xml:space="preserve"> lidstaten</w:t>
      </w:r>
      <w:r w:rsidRPr="005A08CD">
        <w:rPr>
          <w:sz w:val="20"/>
          <w:szCs w:val="20"/>
        </w:rPr>
        <w:t xml:space="preserve"> de rol van het </w:t>
      </w:r>
      <w:r>
        <w:rPr>
          <w:sz w:val="20"/>
          <w:szCs w:val="20"/>
        </w:rPr>
        <w:t xml:space="preserve">Hof </w:t>
      </w:r>
      <w:r w:rsidRPr="005A08CD">
        <w:rPr>
          <w:sz w:val="20"/>
          <w:szCs w:val="20"/>
        </w:rPr>
        <w:t xml:space="preserve">beperkt willen houden tot bepaalde beslissingen die door het EOM rechtstreeks op basis van de verordening worden genomen. Deze </w:t>
      </w:r>
      <w:r>
        <w:rPr>
          <w:sz w:val="20"/>
          <w:szCs w:val="20"/>
        </w:rPr>
        <w:t>lidstaten</w:t>
      </w:r>
      <w:r w:rsidRPr="005A08CD">
        <w:rPr>
          <w:sz w:val="20"/>
          <w:szCs w:val="20"/>
        </w:rPr>
        <w:t xml:space="preserve"> onderschr</w:t>
      </w:r>
      <w:r>
        <w:rPr>
          <w:sz w:val="20"/>
          <w:szCs w:val="20"/>
        </w:rPr>
        <w:t>ev</w:t>
      </w:r>
      <w:r w:rsidRPr="005A08CD">
        <w:rPr>
          <w:sz w:val="20"/>
          <w:szCs w:val="20"/>
        </w:rPr>
        <w:t xml:space="preserve">en het </w:t>
      </w:r>
      <w:r>
        <w:rPr>
          <w:sz w:val="20"/>
          <w:szCs w:val="20"/>
        </w:rPr>
        <w:t xml:space="preserve">standpunt </w:t>
      </w:r>
      <w:r w:rsidRPr="005A08CD">
        <w:rPr>
          <w:sz w:val="20"/>
          <w:szCs w:val="20"/>
        </w:rPr>
        <w:t>van de Juridische Dienst van de Raad</w:t>
      </w:r>
      <w:r>
        <w:rPr>
          <w:sz w:val="20"/>
          <w:szCs w:val="20"/>
        </w:rPr>
        <w:t xml:space="preserve"> over deze kwestie</w:t>
      </w:r>
      <w:r w:rsidRPr="005A08CD">
        <w:rPr>
          <w:sz w:val="20"/>
          <w:szCs w:val="20"/>
        </w:rPr>
        <w:t>.</w:t>
      </w:r>
    </w:p>
    <w:p w:rsidR="003F6B52" w:rsidP="003F6B52" w:rsidRDefault="003F6B52">
      <w:pPr>
        <w:rPr>
          <w:sz w:val="20"/>
          <w:szCs w:val="20"/>
          <w:u w:val="single"/>
        </w:rPr>
      </w:pPr>
    </w:p>
    <w:p w:rsidRPr="008F4143" w:rsidR="003F6B52" w:rsidP="003F6B52" w:rsidRDefault="001E0566">
      <w:pPr>
        <w:rPr>
          <w:sz w:val="20"/>
          <w:szCs w:val="20"/>
        </w:rPr>
      </w:pPr>
      <w:r>
        <w:rPr>
          <w:sz w:val="20"/>
          <w:szCs w:val="20"/>
        </w:rPr>
        <w:t>De Minister wees</w:t>
      </w:r>
      <w:r w:rsidR="003F6B52">
        <w:rPr>
          <w:sz w:val="20"/>
          <w:szCs w:val="20"/>
        </w:rPr>
        <w:t xml:space="preserve"> namens </w:t>
      </w:r>
      <w:r w:rsidRPr="008F4143" w:rsidR="003F6B52">
        <w:rPr>
          <w:sz w:val="20"/>
          <w:szCs w:val="20"/>
        </w:rPr>
        <w:t xml:space="preserve">Nederland op de nog altijd kritische positie van het nationale parlement. Met betrekking tot </w:t>
      </w:r>
      <w:r w:rsidR="003F6B52">
        <w:rPr>
          <w:sz w:val="20"/>
          <w:szCs w:val="20"/>
        </w:rPr>
        <w:t>punt 1) he</w:t>
      </w:r>
      <w:r>
        <w:rPr>
          <w:sz w:val="20"/>
          <w:szCs w:val="20"/>
        </w:rPr>
        <w:t>eft hij</w:t>
      </w:r>
      <w:r w:rsidR="003F6B52">
        <w:rPr>
          <w:sz w:val="20"/>
          <w:szCs w:val="20"/>
        </w:rPr>
        <w:t xml:space="preserve"> aangegeven</w:t>
      </w:r>
      <w:r w:rsidRPr="008F4143" w:rsidR="003F6B52">
        <w:rPr>
          <w:sz w:val="20"/>
          <w:szCs w:val="20"/>
        </w:rPr>
        <w:t xml:space="preserve"> voorstander te zijn van een regeling waarbij het nationale recht in alle betrokken </w:t>
      </w:r>
      <w:r w:rsidR="003F6B52">
        <w:rPr>
          <w:sz w:val="20"/>
          <w:szCs w:val="20"/>
        </w:rPr>
        <w:t>lidstaten</w:t>
      </w:r>
      <w:r w:rsidRPr="008F4143" w:rsidR="003F6B52">
        <w:rPr>
          <w:sz w:val="20"/>
          <w:szCs w:val="20"/>
        </w:rPr>
        <w:t xml:space="preserve"> volledig toepassing vindt. Dat dit in voorkomend geval tot een dubbele rechte</w:t>
      </w:r>
      <w:r w:rsidR="003F6B52">
        <w:rPr>
          <w:sz w:val="20"/>
          <w:szCs w:val="20"/>
        </w:rPr>
        <w:t>r</w:t>
      </w:r>
      <w:r w:rsidRPr="008F4143" w:rsidR="003F6B52">
        <w:rPr>
          <w:sz w:val="20"/>
          <w:szCs w:val="20"/>
        </w:rPr>
        <w:t xml:space="preserve">lijke machtiging voor de inzet van onderzoeksmaatregelen zou kunnen leiden, ervaart Nederland niet als bezwaarlijk. </w:t>
      </w:r>
      <w:r w:rsidR="003F6B52">
        <w:rPr>
          <w:sz w:val="20"/>
          <w:szCs w:val="20"/>
        </w:rPr>
        <w:t>Echter, i</w:t>
      </w:r>
      <w:r w:rsidRPr="008F4143" w:rsidR="003F6B52">
        <w:rPr>
          <w:sz w:val="20"/>
          <w:szCs w:val="20"/>
        </w:rPr>
        <w:t xml:space="preserve">n </w:t>
      </w:r>
      <w:r w:rsidR="003F6B52">
        <w:rPr>
          <w:sz w:val="20"/>
          <w:szCs w:val="20"/>
        </w:rPr>
        <w:t xml:space="preserve">het geval de meerderheid van de lidstaten zou kiezen voor </w:t>
      </w:r>
      <w:r w:rsidRPr="008F4143" w:rsidR="003F6B52">
        <w:rPr>
          <w:sz w:val="20"/>
          <w:szCs w:val="20"/>
        </w:rPr>
        <w:t xml:space="preserve">een benadering waarbij slechts in een lidstaat een rechterlijke machtiging wordt verkregen, is Nederland van mening dat </w:t>
      </w:r>
      <w:r w:rsidR="003F6B52">
        <w:rPr>
          <w:sz w:val="20"/>
          <w:szCs w:val="20"/>
        </w:rPr>
        <w:t xml:space="preserve">hierover </w:t>
      </w:r>
      <w:r w:rsidRPr="008F4143" w:rsidR="003F6B52">
        <w:rPr>
          <w:sz w:val="20"/>
          <w:szCs w:val="20"/>
        </w:rPr>
        <w:t xml:space="preserve">– gegeven de verschillende zienswijzen –nader op technisch niveau zou moeten worden gesproken. </w:t>
      </w:r>
    </w:p>
    <w:p w:rsidR="003F6B52" w:rsidP="003F6B52" w:rsidRDefault="003F6B52">
      <w:pPr>
        <w:rPr>
          <w:sz w:val="20"/>
          <w:szCs w:val="20"/>
        </w:rPr>
      </w:pPr>
    </w:p>
    <w:p w:rsidRPr="005A08CD" w:rsidR="003F6B52" w:rsidP="003F6B52" w:rsidRDefault="003F6B52">
      <w:pPr>
        <w:rPr>
          <w:sz w:val="20"/>
          <w:szCs w:val="20"/>
        </w:rPr>
      </w:pPr>
      <w:r w:rsidRPr="008F4143">
        <w:rPr>
          <w:sz w:val="20"/>
          <w:szCs w:val="20"/>
        </w:rPr>
        <w:t xml:space="preserve">Met betrekking tot </w:t>
      </w:r>
      <w:r>
        <w:rPr>
          <w:sz w:val="20"/>
          <w:szCs w:val="20"/>
        </w:rPr>
        <w:t>punt 2</w:t>
      </w:r>
      <w:r w:rsidR="001E0566">
        <w:rPr>
          <w:sz w:val="20"/>
          <w:szCs w:val="20"/>
        </w:rPr>
        <w:t xml:space="preserve"> </w:t>
      </w:r>
      <w:r>
        <w:rPr>
          <w:sz w:val="20"/>
          <w:szCs w:val="20"/>
        </w:rPr>
        <w:t>he</w:t>
      </w:r>
      <w:r w:rsidR="001E0566">
        <w:rPr>
          <w:sz w:val="20"/>
          <w:szCs w:val="20"/>
        </w:rPr>
        <w:t>eft de Minister</w:t>
      </w:r>
      <w:r w:rsidRPr="008F4143">
        <w:rPr>
          <w:sz w:val="20"/>
          <w:szCs w:val="20"/>
        </w:rPr>
        <w:t>, anders</w:t>
      </w:r>
      <w:r>
        <w:rPr>
          <w:sz w:val="20"/>
          <w:szCs w:val="20"/>
        </w:rPr>
        <w:t xml:space="preserve"> dan het Luxemburgse</w:t>
      </w:r>
      <w:r w:rsidRPr="005A08CD">
        <w:rPr>
          <w:sz w:val="20"/>
          <w:szCs w:val="20"/>
        </w:rPr>
        <w:t xml:space="preserve"> V</w:t>
      </w:r>
      <w:r>
        <w:rPr>
          <w:sz w:val="20"/>
          <w:szCs w:val="20"/>
        </w:rPr>
        <w:t>oorzitters</w:t>
      </w:r>
      <w:r w:rsidRPr="005A08CD">
        <w:rPr>
          <w:sz w:val="20"/>
          <w:szCs w:val="20"/>
        </w:rPr>
        <w:t xml:space="preserve">chap, de wens </w:t>
      </w:r>
      <w:r>
        <w:rPr>
          <w:sz w:val="20"/>
          <w:szCs w:val="20"/>
        </w:rPr>
        <w:t>ge</w:t>
      </w:r>
      <w:r w:rsidRPr="005A08CD">
        <w:rPr>
          <w:sz w:val="20"/>
          <w:szCs w:val="20"/>
        </w:rPr>
        <w:t>uit de besprekingen te vervolgen op basis van optie 1. N</w:t>
      </w:r>
      <w:r>
        <w:rPr>
          <w:sz w:val="20"/>
          <w:szCs w:val="20"/>
        </w:rPr>
        <w:t>ederland</w:t>
      </w:r>
      <w:r w:rsidRPr="005A08CD">
        <w:rPr>
          <w:sz w:val="20"/>
          <w:szCs w:val="20"/>
        </w:rPr>
        <w:t xml:space="preserve"> </w:t>
      </w:r>
      <w:r>
        <w:rPr>
          <w:sz w:val="20"/>
          <w:szCs w:val="20"/>
        </w:rPr>
        <w:t>onderschrijft de argumenten die de Commissie</w:t>
      </w:r>
      <w:r w:rsidRPr="005A08CD">
        <w:rPr>
          <w:sz w:val="20"/>
          <w:szCs w:val="20"/>
        </w:rPr>
        <w:t xml:space="preserve"> naar voren heeft gebracht voor </w:t>
      </w:r>
      <w:r>
        <w:rPr>
          <w:sz w:val="20"/>
          <w:szCs w:val="20"/>
        </w:rPr>
        <w:t>rechterlijke</w:t>
      </w:r>
      <w:r w:rsidRPr="005A08CD">
        <w:rPr>
          <w:sz w:val="20"/>
          <w:szCs w:val="20"/>
        </w:rPr>
        <w:t xml:space="preserve"> controle door </w:t>
      </w:r>
      <w:r>
        <w:rPr>
          <w:sz w:val="20"/>
          <w:szCs w:val="20"/>
        </w:rPr>
        <w:t>de nationale rechter. Volgens Nederland</w:t>
      </w:r>
      <w:r w:rsidRPr="005A08CD">
        <w:rPr>
          <w:sz w:val="20"/>
          <w:szCs w:val="20"/>
        </w:rPr>
        <w:t xml:space="preserve"> is er goede grond voor die keuze, gegeven het feit dat rechte</w:t>
      </w:r>
      <w:r>
        <w:rPr>
          <w:sz w:val="20"/>
          <w:szCs w:val="20"/>
        </w:rPr>
        <w:t>r</w:t>
      </w:r>
      <w:r w:rsidRPr="005A08CD">
        <w:rPr>
          <w:sz w:val="20"/>
          <w:szCs w:val="20"/>
        </w:rPr>
        <w:t xml:space="preserve">lijke controle rechtstreeks verband houdt met de toepassing door het EOM van nationaal recht en het </w:t>
      </w:r>
      <w:r>
        <w:rPr>
          <w:sz w:val="20"/>
          <w:szCs w:val="20"/>
        </w:rPr>
        <w:t xml:space="preserve">EU </w:t>
      </w:r>
      <w:r w:rsidRPr="005A08CD">
        <w:rPr>
          <w:sz w:val="20"/>
          <w:szCs w:val="20"/>
        </w:rPr>
        <w:t>H</w:t>
      </w:r>
      <w:r>
        <w:rPr>
          <w:sz w:val="20"/>
          <w:szCs w:val="20"/>
        </w:rPr>
        <w:t xml:space="preserve">of </w:t>
      </w:r>
      <w:r w:rsidRPr="005A08CD">
        <w:rPr>
          <w:sz w:val="20"/>
          <w:szCs w:val="20"/>
        </w:rPr>
        <w:t>v</w:t>
      </w:r>
      <w:r>
        <w:rPr>
          <w:sz w:val="20"/>
          <w:szCs w:val="20"/>
        </w:rPr>
        <w:t xml:space="preserve">an </w:t>
      </w:r>
      <w:r w:rsidRPr="005A08CD">
        <w:rPr>
          <w:sz w:val="20"/>
          <w:szCs w:val="20"/>
        </w:rPr>
        <w:t>J</w:t>
      </w:r>
      <w:r>
        <w:rPr>
          <w:sz w:val="20"/>
          <w:szCs w:val="20"/>
        </w:rPr>
        <w:t xml:space="preserve">ustitie </w:t>
      </w:r>
      <w:r w:rsidRPr="005A08CD">
        <w:rPr>
          <w:sz w:val="20"/>
          <w:szCs w:val="20"/>
        </w:rPr>
        <w:t>in een positie zou worden gebracht waarin het aan nation</w:t>
      </w:r>
      <w:r>
        <w:rPr>
          <w:sz w:val="20"/>
          <w:szCs w:val="20"/>
        </w:rPr>
        <w:t>aal recht zou moeten toetsen. Nederland</w:t>
      </w:r>
      <w:r w:rsidRPr="005A08CD">
        <w:rPr>
          <w:sz w:val="20"/>
          <w:szCs w:val="20"/>
        </w:rPr>
        <w:t xml:space="preserve"> onderschrijft dat het EOM een EU-instantie zal zijn en erkent ook de regeling </w:t>
      </w:r>
      <w:r>
        <w:rPr>
          <w:sz w:val="20"/>
          <w:szCs w:val="20"/>
        </w:rPr>
        <w:t>voor</w:t>
      </w:r>
      <w:r w:rsidRPr="005A08CD">
        <w:rPr>
          <w:sz w:val="20"/>
          <w:szCs w:val="20"/>
        </w:rPr>
        <w:t xml:space="preserve"> de bevoegdheid van het </w:t>
      </w:r>
      <w:r>
        <w:rPr>
          <w:sz w:val="20"/>
          <w:szCs w:val="20"/>
        </w:rPr>
        <w:t xml:space="preserve">EU Hof van Justitie </w:t>
      </w:r>
      <w:r w:rsidRPr="005A08CD">
        <w:rPr>
          <w:sz w:val="20"/>
          <w:szCs w:val="20"/>
        </w:rPr>
        <w:t>als</w:t>
      </w:r>
      <w:r>
        <w:rPr>
          <w:sz w:val="20"/>
          <w:szCs w:val="20"/>
        </w:rPr>
        <w:t xml:space="preserve"> bedoeld in artikel 263, VWEU. Nederland</w:t>
      </w:r>
      <w:r w:rsidRPr="005A08CD">
        <w:rPr>
          <w:sz w:val="20"/>
          <w:szCs w:val="20"/>
        </w:rPr>
        <w:t xml:space="preserve"> is, anders dan de Juridische Dienst van de Raad, e</w:t>
      </w:r>
      <w:r>
        <w:rPr>
          <w:sz w:val="20"/>
          <w:szCs w:val="20"/>
        </w:rPr>
        <w:t>chter</w:t>
      </w:r>
      <w:r w:rsidRPr="005A08CD">
        <w:rPr>
          <w:sz w:val="20"/>
          <w:szCs w:val="20"/>
        </w:rPr>
        <w:t xml:space="preserve"> van mening dat hieruit voor het EOM –niet dwingend volgt dat rechte</w:t>
      </w:r>
      <w:r>
        <w:rPr>
          <w:sz w:val="20"/>
          <w:szCs w:val="20"/>
        </w:rPr>
        <w:t>r</w:t>
      </w:r>
      <w:r w:rsidRPr="005A08CD">
        <w:rPr>
          <w:sz w:val="20"/>
          <w:szCs w:val="20"/>
        </w:rPr>
        <w:t xml:space="preserve">lijke controle door het </w:t>
      </w:r>
      <w:r>
        <w:rPr>
          <w:sz w:val="20"/>
          <w:szCs w:val="20"/>
        </w:rPr>
        <w:t>Hof</w:t>
      </w:r>
      <w:r w:rsidRPr="005A08CD">
        <w:rPr>
          <w:sz w:val="20"/>
          <w:szCs w:val="20"/>
        </w:rPr>
        <w:t xml:space="preserve"> zou moeten </w:t>
      </w:r>
      <w:r w:rsidRPr="005A08CD">
        <w:rPr>
          <w:sz w:val="20"/>
          <w:szCs w:val="20"/>
        </w:rPr>
        <w:lastRenderedPageBreak/>
        <w:t>pl</w:t>
      </w:r>
      <w:r>
        <w:rPr>
          <w:sz w:val="20"/>
          <w:szCs w:val="20"/>
        </w:rPr>
        <w:t xml:space="preserve">aatsvinden. Immers, </w:t>
      </w:r>
      <w:r w:rsidRPr="005A08CD">
        <w:rPr>
          <w:sz w:val="20"/>
          <w:szCs w:val="20"/>
        </w:rPr>
        <w:t xml:space="preserve">van rechtsonzekerheid </w:t>
      </w:r>
      <w:r>
        <w:rPr>
          <w:sz w:val="20"/>
          <w:szCs w:val="20"/>
        </w:rPr>
        <w:t xml:space="preserve">is </w:t>
      </w:r>
      <w:r w:rsidRPr="005A08CD">
        <w:rPr>
          <w:sz w:val="20"/>
          <w:szCs w:val="20"/>
        </w:rPr>
        <w:t>geen sprake</w:t>
      </w:r>
      <w:r>
        <w:rPr>
          <w:sz w:val="20"/>
          <w:szCs w:val="20"/>
        </w:rPr>
        <w:t>, nu</w:t>
      </w:r>
      <w:r w:rsidRPr="005A08CD">
        <w:rPr>
          <w:sz w:val="20"/>
          <w:szCs w:val="20"/>
        </w:rPr>
        <w:t xml:space="preserve"> rechte</w:t>
      </w:r>
      <w:r>
        <w:rPr>
          <w:sz w:val="20"/>
          <w:szCs w:val="20"/>
        </w:rPr>
        <w:t>r</w:t>
      </w:r>
      <w:r w:rsidRPr="005A08CD">
        <w:rPr>
          <w:sz w:val="20"/>
          <w:szCs w:val="20"/>
        </w:rPr>
        <w:t>lijke controle volledig aan de nationale rechter kan worden toevertrouwd</w:t>
      </w:r>
      <w:r>
        <w:rPr>
          <w:sz w:val="20"/>
          <w:szCs w:val="20"/>
        </w:rPr>
        <w:t>.</w:t>
      </w:r>
      <w:r w:rsidRPr="005A08CD">
        <w:rPr>
          <w:sz w:val="20"/>
          <w:szCs w:val="20"/>
        </w:rPr>
        <w:t xml:space="preserve"> </w:t>
      </w:r>
      <w:r>
        <w:rPr>
          <w:sz w:val="20"/>
          <w:szCs w:val="20"/>
        </w:rPr>
        <w:t>Ten slotte he</w:t>
      </w:r>
      <w:r w:rsidR="001E0566">
        <w:rPr>
          <w:sz w:val="20"/>
          <w:szCs w:val="20"/>
        </w:rPr>
        <w:t>eft de Minister</w:t>
      </w:r>
      <w:r>
        <w:rPr>
          <w:sz w:val="20"/>
          <w:szCs w:val="20"/>
        </w:rPr>
        <w:t xml:space="preserve"> gewezen </w:t>
      </w:r>
      <w:r w:rsidRPr="005A08CD">
        <w:rPr>
          <w:sz w:val="20"/>
          <w:szCs w:val="20"/>
        </w:rPr>
        <w:t>op het beginsel</w:t>
      </w:r>
      <w:r w:rsidRPr="008F4143">
        <w:rPr>
          <w:sz w:val="20"/>
          <w:szCs w:val="20"/>
        </w:rPr>
        <w:t xml:space="preserve"> </w:t>
      </w:r>
      <w:r w:rsidRPr="005A08CD">
        <w:rPr>
          <w:sz w:val="20"/>
          <w:szCs w:val="20"/>
        </w:rPr>
        <w:t xml:space="preserve">van </w:t>
      </w:r>
      <w:r>
        <w:rPr>
          <w:sz w:val="20"/>
          <w:szCs w:val="20"/>
        </w:rPr>
        <w:t>de redelijke termijn</w:t>
      </w:r>
      <w:r w:rsidRPr="005A08CD">
        <w:rPr>
          <w:sz w:val="20"/>
          <w:szCs w:val="20"/>
        </w:rPr>
        <w:t>, zoals ook in artikel 47 van het Handvest is vervat</w:t>
      </w:r>
      <w:r>
        <w:rPr>
          <w:sz w:val="20"/>
          <w:szCs w:val="20"/>
        </w:rPr>
        <w:t>. Net als de Commissie he</w:t>
      </w:r>
      <w:r w:rsidR="001E0566">
        <w:rPr>
          <w:sz w:val="20"/>
          <w:szCs w:val="20"/>
        </w:rPr>
        <w:t>eft de Minister</w:t>
      </w:r>
      <w:r>
        <w:rPr>
          <w:sz w:val="20"/>
          <w:szCs w:val="20"/>
        </w:rPr>
        <w:t xml:space="preserve"> aangegeven dat Nederland</w:t>
      </w:r>
      <w:r w:rsidRPr="005A08CD">
        <w:rPr>
          <w:sz w:val="20"/>
          <w:szCs w:val="20"/>
        </w:rPr>
        <w:t xml:space="preserve"> van mening </w:t>
      </w:r>
      <w:r>
        <w:rPr>
          <w:sz w:val="20"/>
          <w:szCs w:val="20"/>
        </w:rPr>
        <w:t xml:space="preserve">is </w:t>
      </w:r>
      <w:r w:rsidRPr="005A08CD">
        <w:rPr>
          <w:sz w:val="20"/>
          <w:szCs w:val="20"/>
        </w:rPr>
        <w:t>dat rechte</w:t>
      </w:r>
      <w:r>
        <w:rPr>
          <w:sz w:val="20"/>
          <w:szCs w:val="20"/>
        </w:rPr>
        <w:t>r</w:t>
      </w:r>
      <w:r w:rsidRPr="005A08CD">
        <w:rPr>
          <w:sz w:val="20"/>
          <w:szCs w:val="20"/>
        </w:rPr>
        <w:t xml:space="preserve">lijke controle door het </w:t>
      </w:r>
      <w:r>
        <w:rPr>
          <w:sz w:val="20"/>
          <w:szCs w:val="20"/>
        </w:rPr>
        <w:t xml:space="preserve">EU </w:t>
      </w:r>
      <w:r w:rsidRPr="005A08CD">
        <w:rPr>
          <w:sz w:val="20"/>
          <w:szCs w:val="20"/>
        </w:rPr>
        <w:t>H</w:t>
      </w:r>
      <w:r>
        <w:rPr>
          <w:sz w:val="20"/>
          <w:szCs w:val="20"/>
        </w:rPr>
        <w:t xml:space="preserve">of </w:t>
      </w:r>
      <w:r w:rsidRPr="005A08CD">
        <w:rPr>
          <w:sz w:val="20"/>
          <w:szCs w:val="20"/>
        </w:rPr>
        <w:t>v</w:t>
      </w:r>
      <w:r>
        <w:rPr>
          <w:sz w:val="20"/>
          <w:szCs w:val="20"/>
        </w:rPr>
        <w:t xml:space="preserve">an </w:t>
      </w:r>
      <w:r w:rsidRPr="005A08CD">
        <w:rPr>
          <w:sz w:val="20"/>
          <w:szCs w:val="20"/>
        </w:rPr>
        <w:t>J</w:t>
      </w:r>
      <w:r>
        <w:rPr>
          <w:sz w:val="20"/>
          <w:szCs w:val="20"/>
        </w:rPr>
        <w:t>ustitie</w:t>
      </w:r>
      <w:r w:rsidRPr="005A08CD">
        <w:rPr>
          <w:sz w:val="20"/>
          <w:szCs w:val="20"/>
        </w:rPr>
        <w:t xml:space="preserve"> tot vertraging zal leiden.</w:t>
      </w:r>
    </w:p>
    <w:p w:rsidR="003F6B52" w:rsidP="003F6B52" w:rsidRDefault="003F6B52">
      <w:pPr>
        <w:rPr>
          <w:b/>
          <w:sz w:val="20"/>
          <w:szCs w:val="20"/>
        </w:rPr>
      </w:pPr>
    </w:p>
    <w:p w:rsidRPr="005A08CD" w:rsidR="003F6B52" w:rsidP="003F6B52" w:rsidRDefault="003F6B52">
      <w:pPr>
        <w:rPr>
          <w:sz w:val="20"/>
          <w:szCs w:val="20"/>
        </w:rPr>
      </w:pPr>
      <w:r w:rsidRPr="005A08CD">
        <w:rPr>
          <w:sz w:val="20"/>
          <w:szCs w:val="20"/>
        </w:rPr>
        <w:t xml:space="preserve">Het </w:t>
      </w:r>
      <w:r w:rsidRPr="008F4143">
        <w:rPr>
          <w:sz w:val="20"/>
          <w:szCs w:val="20"/>
        </w:rPr>
        <w:t>Luxemburgs</w:t>
      </w:r>
      <w:r>
        <w:rPr>
          <w:sz w:val="20"/>
          <w:szCs w:val="20"/>
        </w:rPr>
        <w:t>e</w:t>
      </w:r>
      <w:r w:rsidRPr="008F4143">
        <w:rPr>
          <w:sz w:val="20"/>
          <w:szCs w:val="20"/>
        </w:rPr>
        <w:t xml:space="preserve"> Voorzitterschap</w:t>
      </w:r>
      <w:r>
        <w:rPr>
          <w:sz w:val="20"/>
          <w:szCs w:val="20"/>
        </w:rPr>
        <w:t xml:space="preserve"> concludeerde</w:t>
      </w:r>
      <w:r w:rsidRPr="005A08CD">
        <w:rPr>
          <w:sz w:val="20"/>
          <w:szCs w:val="20"/>
        </w:rPr>
        <w:t xml:space="preserve"> ten aanzien van </w:t>
      </w:r>
      <w:r>
        <w:rPr>
          <w:sz w:val="20"/>
          <w:szCs w:val="20"/>
        </w:rPr>
        <w:t>punt 1 dat een meerderheid van de lidstaten</w:t>
      </w:r>
      <w:r w:rsidRPr="005A08CD">
        <w:rPr>
          <w:sz w:val="20"/>
          <w:szCs w:val="20"/>
        </w:rPr>
        <w:t xml:space="preserve"> steun geeft aan een systeem waarbij met een enkele rechterlijke machtiging wordt gewerkt. Volgens het V</w:t>
      </w:r>
      <w:r>
        <w:rPr>
          <w:sz w:val="20"/>
          <w:szCs w:val="20"/>
        </w:rPr>
        <w:t>oor</w:t>
      </w:r>
      <w:r w:rsidRPr="005A08CD">
        <w:rPr>
          <w:sz w:val="20"/>
          <w:szCs w:val="20"/>
        </w:rPr>
        <w:t>z</w:t>
      </w:r>
      <w:r>
        <w:rPr>
          <w:sz w:val="20"/>
          <w:szCs w:val="20"/>
        </w:rPr>
        <w:t>itter</w:t>
      </w:r>
      <w:r w:rsidRPr="005A08CD">
        <w:rPr>
          <w:sz w:val="20"/>
          <w:szCs w:val="20"/>
        </w:rPr>
        <w:t>schap is dat een belangrijke stap in vergelijking met de bestaande instrumenten van</w:t>
      </w:r>
      <w:r w:rsidR="001E0566">
        <w:rPr>
          <w:sz w:val="20"/>
          <w:szCs w:val="20"/>
        </w:rPr>
        <w:t xml:space="preserve"> </w:t>
      </w:r>
      <w:r>
        <w:rPr>
          <w:sz w:val="20"/>
          <w:szCs w:val="20"/>
        </w:rPr>
        <w:t>strafrechtelijke samenwerking</w:t>
      </w:r>
      <w:r w:rsidRPr="005A08CD">
        <w:rPr>
          <w:sz w:val="20"/>
          <w:szCs w:val="20"/>
        </w:rPr>
        <w:t>. Daarmee zou toegevoegde waarde worden gecreëerd, hetgeen van belang is bij oprichting van een EOM. Op technisch niveau zal worden verder gewerkt</w:t>
      </w:r>
      <w:r w:rsidRPr="0040420E">
        <w:rPr>
          <w:sz w:val="20"/>
          <w:szCs w:val="20"/>
        </w:rPr>
        <w:t xml:space="preserve"> </w:t>
      </w:r>
      <w:r w:rsidRPr="005A08CD">
        <w:rPr>
          <w:sz w:val="20"/>
          <w:szCs w:val="20"/>
        </w:rPr>
        <w:t xml:space="preserve">aan dit systeem. Daarbij moet oog zijn voor de zorgen van een aantal </w:t>
      </w:r>
      <w:r>
        <w:rPr>
          <w:sz w:val="20"/>
          <w:szCs w:val="20"/>
        </w:rPr>
        <w:t>lidstaten</w:t>
      </w:r>
      <w:r w:rsidRPr="005A08CD">
        <w:rPr>
          <w:sz w:val="20"/>
          <w:szCs w:val="20"/>
        </w:rPr>
        <w:t>. Het V</w:t>
      </w:r>
      <w:r>
        <w:rPr>
          <w:sz w:val="20"/>
          <w:szCs w:val="20"/>
        </w:rPr>
        <w:t>oor</w:t>
      </w:r>
      <w:r w:rsidRPr="005A08CD">
        <w:rPr>
          <w:sz w:val="20"/>
          <w:szCs w:val="20"/>
        </w:rPr>
        <w:t>z</w:t>
      </w:r>
      <w:r>
        <w:rPr>
          <w:sz w:val="20"/>
          <w:szCs w:val="20"/>
        </w:rPr>
        <w:t>itter</w:t>
      </w:r>
      <w:r w:rsidRPr="005A08CD">
        <w:rPr>
          <w:sz w:val="20"/>
          <w:szCs w:val="20"/>
        </w:rPr>
        <w:t xml:space="preserve">schap </w:t>
      </w:r>
      <w:r>
        <w:rPr>
          <w:sz w:val="20"/>
          <w:szCs w:val="20"/>
        </w:rPr>
        <w:t xml:space="preserve">gaf aan te </w:t>
      </w:r>
      <w:r w:rsidRPr="005A08CD">
        <w:rPr>
          <w:sz w:val="20"/>
          <w:szCs w:val="20"/>
        </w:rPr>
        <w:t>wil</w:t>
      </w:r>
      <w:r>
        <w:rPr>
          <w:sz w:val="20"/>
          <w:szCs w:val="20"/>
        </w:rPr>
        <w:t>len</w:t>
      </w:r>
      <w:r w:rsidRPr="005A08CD">
        <w:rPr>
          <w:sz w:val="20"/>
          <w:szCs w:val="20"/>
        </w:rPr>
        <w:t xml:space="preserve"> kijken naar een flexibele benadering </w:t>
      </w:r>
      <w:r>
        <w:rPr>
          <w:sz w:val="20"/>
          <w:szCs w:val="20"/>
        </w:rPr>
        <w:t xml:space="preserve">voor </w:t>
      </w:r>
      <w:r w:rsidRPr="005A08CD">
        <w:rPr>
          <w:sz w:val="20"/>
          <w:szCs w:val="20"/>
        </w:rPr>
        <w:t>wat de keuze voor de rechter in de “assisting” of de “handling” lidstaat</w:t>
      </w:r>
      <w:r w:rsidRPr="0040420E">
        <w:rPr>
          <w:sz w:val="20"/>
          <w:szCs w:val="20"/>
        </w:rPr>
        <w:t xml:space="preserve"> </w:t>
      </w:r>
      <w:r w:rsidRPr="005A08CD">
        <w:rPr>
          <w:sz w:val="20"/>
          <w:szCs w:val="20"/>
        </w:rPr>
        <w:t>betreft.</w:t>
      </w:r>
    </w:p>
    <w:p w:rsidRPr="005A08CD" w:rsidR="00DA2173" w:rsidP="003F6B52" w:rsidRDefault="003F6B52">
      <w:pPr>
        <w:rPr>
          <w:sz w:val="20"/>
          <w:szCs w:val="20"/>
        </w:rPr>
      </w:pPr>
      <w:r w:rsidRPr="001D1460">
        <w:rPr>
          <w:sz w:val="20"/>
          <w:szCs w:val="20"/>
        </w:rPr>
        <w:t>M</w:t>
      </w:r>
      <w:r>
        <w:rPr>
          <w:sz w:val="20"/>
          <w:szCs w:val="20"/>
        </w:rPr>
        <w:t>et betrekking tot punt 2 concludeerde</w:t>
      </w:r>
      <w:r w:rsidRPr="001D1460">
        <w:rPr>
          <w:sz w:val="20"/>
          <w:szCs w:val="20"/>
        </w:rPr>
        <w:t xml:space="preserve"> het Voorzitterschap dat een meerderheid van de </w:t>
      </w:r>
      <w:r>
        <w:rPr>
          <w:sz w:val="20"/>
          <w:szCs w:val="20"/>
        </w:rPr>
        <w:t>lidstaten</w:t>
      </w:r>
      <w:r w:rsidRPr="005A08CD">
        <w:rPr>
          <w:sz w:val="20"/>
          <w:szCs w:val="20"/>
        </w:rPr>
        <w:t xml:space="preserve"> zich </w:t>
      </w:r>
      <w:r>
        <w:rPr>
          <w:sz w:val="20"/>
          <w:szCs w:val="20"/>
        </w:rPr>
        <w:t xml:space="preserve">had </w:t>
      </w:r>
      <w:r w:rsidRPr="005A08CD">
        <w:rPr>
          <w:sz w:val="20"/>
          <w:szCs w:val="20"/>
        </w:rPr>
        <w:t>uit</w:t>
      </w:r>
      <w:r>
        <w:rPr>
          <w:sz w:val="20"/>
          <w:szCs w:val="20"/>
        </w:rPr>
        <w:t>gesproken</w:t>
      </w:r>
      <w:r w:rsidRPr="005A08CD">
        <w:rPr>
          <w:sz w:val="20"/>
          <w:szCs w:val="20"/>
        </w:rPr>
        <w:t xml:space="preserve"> voor optie 2 als basis voor de verde</w:t>
      </w:r>
      <w:r>
        <w:rPr>
          <w:sz w:val="20"/>
          <w:szCs w:val="20"/>
        </w:rPr>
        <w:t>re besprekingen. Volgens het Luxemburgs</w:t>
      </w:r>
      <w:r w:rsidRPr="005A08CD">
        <w:rPr>
          <w:sz w:val="20"/>
          <w:szCs w:val="20"/>
        </w:rPr>
        <w:t xml:space="preserve"> V</w:t>
      </w:r>
      <w:r>
        <w:rPr>
          <w:sz w:val="20"/>
          <w:szCs w:val="20"/>
        </w:rPr>
        <w:t>oor</w:t>
      </w:r>
      <w:r w:rsidRPr="005A08CD">
        <w:rPr>
          <w:sz w:val="20"/>
          <w:szCs w:val="20"/>
        </w:rPr>
        <w:t>z</w:t>
      </w:r>
      <w:r>
        <w:rPr>
          <w:sz w:val="20"/>
          <w:szCs w:val="20"/>
        </w:rPr>
        <w:t>itter</w:t>
      </w:r>
      <w:r w:rsidRPr="005A08CD">
        <w:rPr>
          <w:sz w:val="20"/>
          <w:szCs w:val="20"/>
        </w:rPr>
        <w:t xml:space="preserve">schap heeft het </w:t>
      </w:r>
      <w:r>
        <w:rPr>
          <w:sz w:val="20"/>
          <w:szCs w:val="20"/>
        </w:rPr>
        <w:t xml:space="preserve">EU Hof van Justitie </w:t>
      </w:r>
      <w:r w:rsidRPr="005A08CD">
        <w:rPr>
          <w:sz w:val="20"/>
          <w:szCs w:val="20"/>
        </w:rPr>
        <w:t xml:space="preserve">toenemende ervaring op het terrein van het strafrecht. Het </w:t>
      </w:r>
      <w:r>
        <w:rPr>
          <w:sz w:val="20"/>
          <w:szCs w:val="20"/>
        </w:rPr>
        <w:t>Hof</w:t>
      </w:r>
      <w:r w:rsidRPr="005A08CD">
        <w:rPr>
          <w:sz w:val="20"/>
          <w:szCs w:val="20"/>
        </w:rPr>
        <w:t xml:space="preserve"> kent ook reeds een versnelde procedure. Ten slotte wordt het H</w:t>
      </w:r>
      <w:r>
        <w:rPr>
          <w:sz w:val="20"/>
          <w:szCs w:val="20"/>
        </w:rPr>
        <w:t>of</w:t>
      </w:r>
      <w:r w:rsidRPr="005A08CD">
        <w:rPr>
          <w:sz w:val="20"/>
          <w:szCs w:val="20"/>
        </w:rPr>
        <w:t xml:space="preserve"> in capaciteit sterk uitgebreid. Het V</w:t>
      </w:r>
      <w:r>
        <w:rPr>
          <w:sz w:val="20"/>
          <w:szCs w:val="20"/>
        </w:rPr>
        <w:t>oor</w:t>
      </w:r>
      <w:r w:rsidRPr="005A08CD">
        <w:rPr>
          <w:sz w:val="20"/>
          <w:szCs w:val="20"/>
        </w:rPr>
        <w:t>z</w:t>
      </w:r>
      <w:r>
        <w:rPr>
          <w:sz w:val="20"/>
          <w:szCs w:val="20"/>
        </w:rPr>
        <w:t>itter</w:t>
      </w:r>
      <w:r w:rsidRPr="005A08CD">
        <w:rPr>
          <w:sz w:val="20"/>
          <w:szCs w:val="20"/>
        </w:rPr>
        <w:t>schap benadrukt</w:t>
      </w:r>
      <w:r>
        <w:rPr>
          <w:sz w:val="20"/>
          <w:szCs w:val="20"/>
        </w:rPr>
        <w:t xml:space="preserve">e daarbij </w:t>
      </w:r>
      <w:r w:rsidRPr="005A08CD">
        <w:rPr>
          <w:sz w:val="20"/>
          <w:szCs w:val="20"/>
        </w:rPr>
        <w:t xml:space="preserve">dat </w:t>
      </w:r>
      <w:r>
        <w:rPr>
          <w:sz w:val="20"/>
          <w:szCs w:val="20"/>
        </w:rPr>
        <w:t xml:space="preserve">de rol van het </w:t>
      </w:r>
      <w:r w:rsidRPr="005A08CD">
        <w:rPr>
          <w:sz w:val="20"/>
          <w:szCs w:val="20"/>
        </w:rPr>
        <w:t>H</w:t>
      </w:r>
      <w:r>
        <w:rPr>
          <w:sz w:val="20"/>
          <w:szCs w:val="20"/>
        </w:rPr>
        <w:t>of</w:t>
      </w:r>
      <w:r w:rsidRPr="005A08CD">
        <w:rPr>
          <w:sz w:val="20"/>
          <w:szCs w:val="20"/>
        </w:rPr>
        <w:t xml:space="preserve"> </w:t>
      </w:r>
      <w:r>
        <w:rPr>
          <w:sz w:val="20"/>
          <w:szCs w:val="20"/>
        </w:rPr>
        <w:t xml:space="preserve">zich </w:t>
      </w:r>
      <w:r w:rsidRPr="005A08CD">
        <w:rPr>
          <w:sz w:val="20"/>
          <w:szCs w:val="20"/>
        </w:rPr>
        <w:t xml:space="preserve">zou </w:t>
      </w:r>
      <w:r>
        <w:rPr>
          <w:sz w:val="20"/>
          <w:szCs w:val="20"/>
        </w:rPr>
        <w:t xml:space="preserve">moeten beperken tot </w:t>
      </w:r>
      <w:r w:rsidRPr="005A08CD">
        <w:rPr>
          <w:sz w:val="20"/>
          <w:szCs w:val="20"/>
        </w:rPr>
        <w:t>het opereren van het EOM “exclusively on the basis of Union law”.</w:t>
      </w:r>
      <w:r w:rsidRPr="005A08CD" w:rsidR="00DA2173">
        <w:rPr>
          <w:sz w:val="20"/>
          <w:szCs w:val="20"/>
        </w:rPr>
        <w:t xml:space="preserve"> </w:t>
      </w:r>
    </w:p>
    <w:p w:rsidRPr="005A08CD" w:rsidR="00DA2173" w:rsidP="00DA2173" w:rsidRDefault="00DA2173">
      <w:pPr>
        <w:rPr>
          <w:sz w:val="20"/>
          <w:szCs w:val="20"/>
        </w:rPr>
      </w:pPr>
    </w:p>
    <w:p w:rsidRPr="005A08CD" w:rsidR="006F03B2" w:rsidP="00B6179E" w:rsidRDefault="008A5B16">
      <w:pPr>
        <w:rPr>
          <w:b/>
          <w:sz w:val="20"/>
          <w:szCs w:val="20"/>
        </w:rPr>
      </w:pPr>
      <w:r w:rsidRPr="005A08CD">
        <w:rPr>
          <w:b/>
          <w:sz w:val="20"/>
          <w:szCs w:val="20"/>
        </w:rPr>
        <w:t xml:space="preserve">Sessie VI </w:t>
      </w:r>
      <w:r w:rsidRPr="005A08CD" w:rsidR="00CA5BA8">
        <w:rPr>
          <w:b/>
          <w:sz w:val="20"/>
          <w:szCs w:val="20"/>
        </w:rPr>
        <w:t>Herziening Brussel IIbis</w:t>
      </w:r>
    </w:p>
    <w:p w:rsidRPr="005A08CD" w:rsidR="007C400F" w:rsidP="005E3EA7" w:rsidRDefault="007C400F">
      <w:pPr>
        <w:rPr>
          <w:sz w:val="20"/>
          <w:szCs w:val="20"/>
        </w:rPr>
      </w:pPr>
    </w:p>
    <w:p w:rsidRPr="005A08CD" w:rsidR="00863C67" w:rsidP="00A677A2" w:rsidRDefault="00E71946">
      <w:pPr>
        <w:autoSpaceDE w:val="0"/>
        <w:autoSpaceDN w:val="0"/>
        <w:adjustRightInd w:val="0"/>
        <w:rPr>
          <w:sz w:val="20"/>
          <w:szCs w:val="20"/>
        </w:rPr>
      </w:pPr>
      <w:r w:rsidRPr="001D1460">
        <w:rPr>
          <w:sz w:val="20"/>
          <w:szCs w:val="20"/>
        </w:rPr>
        <w:t xml:space="preserve">Het Luxemburgs </w:t>
      </w:r>
      <w:r w:rsidR="001D1460">
        <w:rPr>
          <w:sz w:val="20"/>
          <w:szCs w:val="20"/>
        </w:rPr>
        <w:t>V</w:t>
      </w:r>
      <w:r w:rsidRPr="001D1460">
        <w:rPr>
          <w:sz w:val="20"/>
          <w:szCs w:val="20"/>
        </w:rPr>
        <w:t>oorzitterschap</w:t>
      </w:r>
      <w:r w:rsidRPr="005A08CD" w:rsidR="00863C67">
        <w:rPr>
          <w:sz w:val="20"/>
          <w:szCs w:val="20"/>
        </w:rPr>
        <w:t xml:space="preserve"> verwees in</w:t>
      </w:r>
      <w:r w:rsidRPr="005A08CD" w:rsidR="00A677A2">
        <w:rPr>
          <w:sz w:val="20"/>
          <w:szCs w:val="20"/>
        </w:rPr>
        <w:t xml:space="preserve"> </w:t>
      </w:r>
      <w:r w:rsidRPr="005A08CD" w:rsidR="00863C67">
        <w:rPr>
          <w:sz w:val="20"/>
          <w:szCs w:val="20"/>
        </w:rPr>
        <w:t xml:space="preserve">zijn inleiding naar het toegezonden </w:t>
      </w:r>
      <w:r>
        <w:rPr>
          <w:sz w:val="20"/>
          <w:szCs w:val="20"/>
        </w:rPr>
        <w:t>‘</w:t>
      </w:r>
      <w:r w:rsidRPr="005A08CD" w:rsidR="00863C67">
        <w:rPr>
          <w:sz w:val="20"/>
          <w:szCs w:val="20"/>
        </w:rPr>
        <w:t>discussion paper</w:t>
      </w:r>
      <w:r>
        <w:rPr>
          <w:sz w:val="20"/>
          <w:szCs w:val="20"/>
        </w:rPr>
        <w:t>’</w:t>
      </w:r>
      <w:r w:rsidRPr="005A08CD" w:rsidR="00863C67">
        <w:rPr>
          <w:sz w:val="20"/>
          <w:szCs w:val="20"/>
        </w:rPr>
        <w:t>. Daarin werd uiteengezet dat de Brussel II bis</w:t>
      </w:r>
      <w:r w:rsidRPr="005A08CD" w:rsidR="00A677A2">
        <w:rPr>
          <w:sz w:val="20"/>
          <w:szCs w:val="20"/>
        </w:rPr>
        <w:t xml:space="preserve"> </w:t>
      </w:r>
      <w:r w:rsidRPr="005A08CD" w:rsidR="00863C67">
        <w:rPr>
          <w:sz w:val="20"/>
          <w:szCs w:val="20"/>
        </w:rPr>
        <w:t>verordening van 2003 (in werking sinds 2005) de hoeksteen is van de juridische samenwerking op het</w:t>
      </w:r>
      <w:r w:rsidRPr="005A08CD" w:rsidR="00A677A2">
        <w:rPr>
          <w:sz w:val="20"/>
          <w:szCs w:val="20"/>
        </w:rPr>
        <w:t xml:space="preserve"> </w:t>
      </w:r>
      <w:r w:rsidRPr="005A08CD" w:rsidR="00863C67">
        <w:rPr>
          <w:sz w:val="20"/>
          <w:szCs w:val="20"/>
        </w:rPr>
        <w:t>terrein van het familierecht. De verordening bevat regels voor toepasselijk recht en bevordert de</w:t>
      </w:r>
      <w:r w:rsidRPr="005A08CD" w:rsidR="00A677A2">
        <w:rPr>
          <w:sz w:val="20"/>
          <w:szCs w:val="20"/>
        </w:rPr>
        <w:t xml:space="preserve"> </w:t>
      </w:r>
      <w:r w:rsidRPr="005A08CD" w:rsidR="00863C67">
        <w:rPr>
          <w:sz w:val="20"/>
          <w:szCs w:val="20"/>
        </w:rPr>
        <w:t>erkenning en tenuitvoerlegging van vonnissen en overeenkomsten in andere lidstaten. De</w:t>
      </w:r>
      <w:r w:rsidRPr="005A08CD" w:rsidR="00254516">
        <w:rPr>
          <w:sz w:val="20"/>
          <w:szCs w:val="20"/>
        </w:rPr>
        <w:t xml:space="preserve"> </w:t>
      </w:r>
      <w:r w:rsidRPr="005A08CD" w:rsidR="00863C67">
        <w:rPr>
          <w:sz w:val="20"/>
          <w:szCs w:val="20"/>
        </w:rPr>
        <w:t>verordening is met name van belang voor kinderontvoeringen en bevat specifieke regels voor de</w:t>
      </w:r>
      <w:r w:rsidRPr="005A08CD" w:rsidR="00A677A2">
        <w:rPr>
          <w:sz w:val="20"/>
          <w:szCs w:val="20"/>
        </w:rPr>
        <w:t xml:space="preserve"> </w:t>
      </w:r>
      <w:r w:rsidRPr="005A08CD" w:rsidR="001D1460">
        <w:rPr>
          <w:sz w:val="20"/>
          <w:szCs w:val="20"/>
        </w:rPr>
        <w:t>teruggeleiding</w:t>
      </w:r>
      <w:r w:rsidRPr="005A08CD" w:rsidR="00863C67">
        <w:rPr>
          <w:sz w:val="20"/>
          <w:szCs w:val="20"/>
        </w:rPr>
        <w:t xml:space="preserve"> van het ontvoerde kind naar zijn </w:t>
      </w:r>
      <w:r>
        <w:rPr>
          <w:sz w:val="20"/>
          <w:szCs w:val="20"/>
        </w:rPr>
        <w:t>‘</w:t>
      </w:r>
      <w:r w:rsidRPr="005A08CD" w:rsidR="00863C67">
        <w:rPr>
          <w:sz w:val="20"/>
          <w:szCs w:val="20"/>
        </w:rPr>
        <w:t>woonland</w:t>
      </w:r>
      <w:r>
        <w:rPr>
          <w:sz w:val="20"/>
          <w:szCs w:val="20"/>
        </w:rPr>
        <w:t>’</w:t>
      </w:r>
      <w:r w:rsidRPr="005A08CD" w:rsidR="00863C67">
        <w:rPr>
          <w:sz w:val="20"/>
          <w:szCs w:val="20"/>
        </w:rPr>
        <w:t>. De Comm</w:t>
      </w:r>
      <w:r w:rsidRPr="005A08CD" w:rsidR="00A677A2">
        <w:rPr>
          <w:sz w:val="20"/>
          <w:szCs w:val="20"/>
        </w:rPr>
        <w:t xml:space="preserve">issie heeft in 2014 een rapport </w:t>
      </w:r>
      <w:r w:rsidRPr="005A08CD" w:rsidR="00863C67">
        <w:rPr>
          <w:sz w:val="20"/>
          <w:szCs w:val="20"/>
        </w:rPr>
        <w:t>opgesteld over de werking van Brussel II bis en beoogt een aa</w:t>
      </w:r>
      <w:r w:rsidRPr="005A08CD" w:rsidR="00A677A2">
        <w:rPr>
          <w:sz w:val="20"/>
          <w:szCs w:val="20"/>
        </w:rPr>
        <w:t xml:space="preserve">npassing van de verordening. De </w:t>
      </w:r>
      <w:r w:rsidRPr="005A08CD" w:rsidR="00863C67">
        <w:rPr>
          <w:sz w:val="20"/>
          <w:szCs w:val="20"/>
        </w:rPr>
        <w:t>discussie in de Informele Raad is bedoeld om input voor de Commis</w:t>
      </w:r>
      <w:r w:rsidRPr="005A08CD" w:rsidR="00A677A2">
        <w:rPr>
          <w:sz w:val="20"/>
          <w:szCs w:val="20"/>
        </w:rPr>
        <w:t xml:space="preserve">sie te genereren. Daartoe heeft </w:t>
      </w:r>
      <w:r w:rsidRPr="005A08CD" w:rsidR="00863C67">
        <w:rPr>
          <w:sz w:val="20"/>
          <w:szCs w:val="20"/>
        </w:rPr>
        <w:t xml:space="preserve">het Voorzitterschap in </w:t>
      </w:r>
      <w:r w:rsidR="001D1460">
        <w:rPr>
          <w:sz w:val="20"/>
          <w:szCs w:val="20"/>
        </w:rPr>
        <w:t xml:space="preserve">het voorliggende discussiedocument </w:t>
      </w:r>
      <w:r w:rsidRPr="005A08CD" w:rsidR="00863C67">
        <w:rPr>
          <w:sz w:val="20"/>
          <w:szCs w:val="20"/>
        </w:rPr>
        <w:t>een vi</w:t>
      </w:r>
      <w:r w:rsidRPr="005A08CD" w:rsidR="00A677A2">
        <w:rPr>
          <w:sz w:val="20"/>
          <w:szCs w:val="20"/>
        </w:rPr>
        <w:t xml:space="preserve">ertal thema’s genoemd waarop de </w:t>
      </w:r>
      <w:r w:rsidRPr="005A08CD" w:rsidR="00863C67">
        <w:rPr>
          <w:sz w:val="20"/>
          <w:szCs w:val="20"/>
        </w:rPr>
        <w:t>aanpassing van de Verordening zich zou moeten concentreren. De vraag aan de ministers was, of zij</w:t>
      </w:r>
      <w:r w:rsidRPr="005A08CD" w:rsidR="00A677A2">
        <w:rPr>
          <w:sz w:val="20"/>
          <w:szCs w:val="20"/>
        </w:rPr>
        <w:t xml:space="preserve"> </w:t>
      </w:r>
      <w:r w:rsidRPr="005A08CD" w:rsidR="00863C67">
        <w:rPr>
          <w:sz w:val="20"/>
          <w:szCs w:val="20"/>
        </w:rPr>
        <w:t xml:space="preserve">zich herkenden in deze prioriteiten voor de </w:t>
      </w:r>
      <w:r w:rsidRPr="005A08CD" w:rsidR="00A677A2">
        <w:rPr>
          <w:sz w:val="20"/>
          <w:szCs w:val="20"/>
        </w:rPr>
        <w:t xml:space="preserve">wijziging van de verordening en </w:t>
      </w:r>
      <w:r w:rsidRPr="005A08CD" w:rsidR="00863C67">
        <w:rPr>
          <w:sz w:val="20"/>
          <w:szCs w:val="20"/>
        </w:rPr>
        <w:t>of zij daarnaast nog</w:t>
      </w:r>
      <w:r w:rsidRPr="005A08CD" w:rsidR="00A677A2">
        <w:rPr>
          <w:sz w:val="20"/>
          <w:szCs w:val="20"/>
        </w:rPr>
        <w:t xml:space="preserve"> </w:t>
      </w:r>
      <w:r w:rsidRPr="005A08CD" w:rsidR="00863C67">
        <w:rPr>
          <w:sz w:val="20"/>
          <w:szCs w:val="20"/>
        </w:rPr>
        <w:t>andere punten wilden adresseren.</w:t>
      </w:r>
    </w:p>
    <w:p w:rsidRPr="005A08CD" w:rsidR="00863C67" w:rsidP="00A677A2" w:rsidRDefault="00863C67">
      <w:pPr>
        <w:autoSpaceDE w:val="0"/>
        <w:autoSpaceDN w:val="0"/>
        <w:adjustRightInd w:val="0"/>
        <w:rPr>
          <w:sz w:val="20"/>
          <w:szCs w:val="20"/>
        </w:rPr>
      </w:pPr>
      <w:r w:rsidRPr="005A08CD">
        <w:rPr>
          <w:sz w:val="20"/>
          <w:szCs w:val="20"/>
        </w:rPr>
        <w:t>De vier punten waren:</w:t>
      </w:r>
    </w:p>
    <w:p w:rsidRPr="005A08CD" w:rsidR="00863C67" w:rsidP="00A677A2" w:rsidRDefault="00863C67">
      <w:pPr>
        <w:autoSpaceDE w:val="0"/>
        <w:autoSpaceDN w:val="0"/>
        <w:adjustRightInd w:val="0"/>
        <w:rPr>
          <w:sz w:val="20"/>
          <w:szCs w:val="20"/>
        </w:rPr>
      </w:pPr>
      <w:r w:rsidRPr="005A08CD">
        <w:rPr>
          <w:sz w:val="20"/>
          <w:szCs w:val="20"/>
        </w:rPr>
        <w:t>1. Afschaffing van de exequatur voor beslissingen over het gezag;</w:t>
      </w:r>
    </w:p>
    <w:p w:rsidRPr="005A08CD" w:rsidR="00863C67" w:rsidP="00A677A2" w:rsidRDefault="00863C67">
      <w:pPr>
        <w:autoSpaceDE w:val="0"/>
        <w:autoSpaceDN w:val="0"/>
        <w:adjustRightInd w:val="0"/>
        <w:rPr>
          <w:sz w:val="20"/>
          <w:szCs w:val="20"/>
        </w:rPr>
      </w:pPr>
      <w:r w:rsidRPr="005A08CD">
        <w:rPr>
          <w:sz w:val="20"/>
          <w:szCs w:val="20"/>
        </w:rPr>
        <w:t>2. Verbetering van de procedure voor effectieve en spoedige terugkeer van ontvoerde</w:t>
      </w:r>
    </w:p>
    <w:p w:rsidRPr="005A08CD" w:rsidR="00863C67" w:rsidP="00A677A2" w:rsidRDefault="00863C67">
      <w:pPr>
        <w:autoSpaceDE w:val="0"/>
        <w:autoSpaceDN w:val="0"/>
        <w:adjustRightInd w:val="0"/>
        <w:rPr>
          <w:sz w:val="20"/>
          <w:szCs w:val="20"/>
        </w:rPr>
      </w:pPr>
      <w:r w:rsidRPr="005A08CD">
        <w:rPr>
          <w:sz w:val="20"/>
          <w:szCs w:val="20"/>
        </w:rPr>
        <w:t>kinderen;</w:t>
      </w:r>
    </w:p>
    <w:p w:rsidRPr="005A08CD" w:rsidR="00863C67" w:rsidP="00A677A2" w:rsidRDefault="00863C67">
      <w:pPr>
        <w:autoSpaceDE w:val="0"/>
        <w:autoSpaceDN w:val="0"/>
        <w:adjustRightInd w:val="0"/>
        <w:rPr>
          <w:sz w:val="20"/>
          <w:szCs w:val="20"/>
        </w:rPr>
      </w:pPr>
      <w:r w:rsidRPr="005A08CD">
        <w:rPr>
          <w:sz w:val="20"/>
          <w:szCs w:val="20"/>
        </w:rPr>
        <w:t>3. Effectiever maken van de tenuitvoerleggingsprocedures van familierechtelijke beslissingen;</w:t>
      </w:r>
      <w:r w:rsidR="001D1460">
        <w:rPr>
          <w:sz w:val="20"/>
          <w:szCs w:val="20"/>
        </w:rPr>
        <w:t xml:space="preserve"> </w:t>
      </w:r>
      <w:r w:rsidRPr="005A08CD">
        <w:rPr>
          <w:sz w:val="20"/>
          <w:szCs w:val="20"/>
        </w:rPr>
        <w:t>deze worden bepaald door het nationaal recht dat soms geen speciale spoedvoorziening</w:t>
      </w:r>
      <w:r w:rsidR="001D1460">
        <w:rPr>
          <w:sz w:val="20"/>
          <w:szCs w:val="20"/>
        </w:rPr>
        <w:t xml:space="preserve"> </w:t>
      </w:r>
      <w:r w:rsidRPr="005A08CD">
        <w:rPr>
          <w:sz w:val="20"/>
          <w:szCs w:val="20"/>
        </w:rPr>
        <w:t>kent. In sommige landen kan een appelprocedure tot grote vertraging leiden bij de</w:t>
      </w:r>
      <w:r w:rsidR="001D1460">
        <w:rPr>
          <w:sz w:val="20"/>
          <w:szCs w:val="20"/>
        </w:rPr>
        <w:t xml:space="preserve"> terug</w:t>
      </w:r>
      <w:r w:rsidRPr="005A08CD" w:rsidR="001D1460">
        <w:rPr>
          <w:sz w:val="20"/>
          <w:szCs w:val="20"/>
        </w:rPr>
        <w:t>geleiding</w:t>
      </w:r>
      <w:r w:rsidRPr="005A08CD">
        <w:rPr>
          <w:sz w:val="20"/>
          <w:szCs w:val="20"/>
        </w:rPr>
        <w:t xml:space="preserve"> van kinderen.</w:t>
      </w:r>
    </w:p>
    <w:p w:rsidR="00863C67" w:rsidP="00A677A2" w:rsidRDefault="00863C67">
      <w:pPr>
        <w:autoSpaceDE w:val="0"/>
        <w:autoSpaceDN w:val="0"/>
        <w:adjustRightInd w:val="0"/>
        <w:rPr>
          <w:sz w:val="20"/>
          <w:szCs w:val="20"/>
        </w:rPr>
      </w:pPr>
      <w:r w:rsidRPr="005A08CD">
        <w:rPr>
          <w:sz w:val="20"/>
          <w:szCs w:val="20"/>
        </w:rPr>
        <w:t>4. Verbetering van de samenwerking tussen Centrale Autoriteiten en vaststellen van hun rol en</w:t>
      </w:r>
      <w:r w:rsidR="00B30F8C">
        <w:rPr>
          <w:sz w:val="20"/>
          <w:szCs w:val="20"/>
        </w:rPr>
        <w:t xml:space="preserve"> </w:t>
      </w:r>
      <w:r w:rsidRPr="005A08CD">
        <w:rPr>
          <w:sz w:val="20"/>
          <w:szCs w:val="20"/>
        </w:rPr>
        <w:t>hun taken.</w:t>
      </w:r>
    </w:p>
    <w:p w:rsidRPr="005A08CD" w:rsidR="001D1460" w:rsidP="00A677A2" w:rsidRDefault="001D1460">
      <w:pPr>
        <w:autoSpaceDE w:val="0"/>
        <w:autoSpaceDN w:val="0"/>
        <w:adjustRightInd w:val="0"/>
        <w:rPr>
          <w:sz w:val="20"/>
          <w:szCs w:val="20"/>
        </w:rPr>
      </w:pPr>
    </w:p>
    <w:p w:rsidRPr="005A08CD" w:rsidR="00863C67" w:rsidP="00A677A2" w:rsidRDefault="00863C67">
      <w:pPr>
        <w:autoSpaceDE w:val="0"/>
        <w:autoSpaceDN w:val="0"/>
        <w:adjustRightInd w:val="0"/>
        <w:rPr>
          <w:sz w:val="20"/>
          <w:szCs w:val="20"/>
        </w:rPr>
      </w:pPr>
      <w:r w:rsidRPr="001D1460">
        <w:rPr>
          <w:sz w:val="20"/>
          <w:szCs w:val="20"/>
        </w:rPr>
        <w:t>Commissaris Jourova</w:t>
      </w:r>
      <w:r w:rsidRPr="005A08CD">
        <w:rPr>
          <w:sz w:val="20"/>
          <w:szCs w:val="20"/>
        </w:rPr>
        <w:t xml:space="preserve"> benadrukte evenals </w:t>
      </w:r>
      <w:r w:rsidR="001D1460">
        <w:rPr>
          <w:sz w:val="20"/>
          <w:szCs w:val="20"/>
        </w:rPr>
        <w:t>het Voorzitterschap</w:t>
      </w:r>
      <w:r w:rsidRPr="005A08CD">
        <w:rPr>
          <w:sz w:val="20"/>
          <w:szCs w:val="20"/>
        </w:rPr>
        <w:t xml:space="preserve"> dat het belang van het kind voorop moet</w:t>
      </w:r>
      <w:r w:rsidR="00B30F8C">
        <w:rPr>
          <w:sz w:val="20"/>
          <w:szCs w:val="20"/>
        </w:rPr>
        <w:t xml:space="preserve"> </w:t>
      </w:r>
      <w:r w:rsidRPr="005A08CD">
        <w:rPr>
          <w:sz w:val="20"/>
          <w:szCs w:val="20"/>
        </w:rPr>
        <w:t>staan.</w:t>
      </w:r>
      <w:r w:rsidR="00B30F8C">
        <w:rPr>
          <w:sz w:val="20"/>
          <w:szCs w:val="20"/>
        </w:rPr>
        <w:t xml:space="preserve"> </w:t>
      </w:r>
      <w:r w:rsidRPr="005A08CD">
        <w:rPr>
          <w:sz w:val="20"/>
          <w:szCs w:val="20"/>
        </w:rPr>
        <w:t>Grensoverschrijdende gedingen over het gezag duren nu vaak te lang, waarvan kinderen</w:t>
      </w:r>
      <w:r w:rsidR="00B30F8C">
        <w:rPr>
          <w:sz w:val="20"/>
          <w:szCs w:val="20"/>
        </w:rPr>
        <w:t xml:space="preserve"> </w:t>
      </w:r>
      <w:r w:rsidRPr="005A08CD">
        <w:rPr>
          <w:sz w:val="20"/>
          <w:szCs w:val="20"/>
        </w:rPr>
        <w:t>nadeel ondervinden. Zij meende dat de vier punten van het Voorzitterschap inderdaad de</w:t>
      </w:r>
      <w:r w:rsidR="00B30F8C">
        <w:rPr>
          <w:sz w:val="20"/>
          <w:szCs w:val="20"/>
        </w:rPr>
        <w:t xml:space="preserve"> </w:t>
      </w:r>
      <w:r w:rsidRPr="005A08CD">
        <w:rPr>
          <w:sz w:val="20"/>
          <w:szCs w:val="20"/>
        </w:rPr>
        <w:t>prioriteiten moesten zijn voor een wijzigingsvoorstel.</w:t>
      </w:r>
    </w:p>
    <w:p w:rsidR="00B30F8C" w:rsidP="00A677A2" w:rsidRDefault="00B30F8C">
      <w:pPr>
        <w:autoSpaceDE w:val="0"/>
        <w:autoSpaceDN w:val="0"/>
        <w:adjustRightInd w:val="0"/>
        <w:rPr>
          <w:sz w:val="20"/>
          <w:szCs w:val="20"/>
        </w:rPr>
      </w:pPr>
    </w:p>
    <w:p w:rsidRPr="005A08CD" w:rsidR="00863C67" w:rsidP="00A677A2" w:rsidRDefault="00863C67">
      <w:pPr>
        <w:autoSpaceDE w:val="0"/>
        <w:autoSpaceDN w:val="0"/>
        <w:adjustRightInd w:val="0"/>
        <w:rPr>
          <w:sz w:val="20"/>
          <w:szCs w:val="20"/>
        </w:rPr>
      </w:pPr>
      <w:r w:rsidRPr="001D1460">
        <w:rPr>
          <w:sz w:val="20"/>
          <w:szCs w:val="20"/>
        </w:rPr>
        <w:lastRenderedPageBreak/>
        <w:t>Pavel Svoboda, de voorzitter van JURI,</w:t>
      </w:r>
      <w:r w:rsidRPr="005A08CD">
        <w:rPr>
          <w:sz w:val="20"/>
          <w:szCs w:val="20"/>
        </w:rPr>
        <w:t xml:space="preserve"> sprak namens de LIBE-commissie van het Europees Parlement.</w:t>
      </w:r>
      <w:r w:rsidR="00B30F8C">
        <w:rPr>
          <w:sz w:val="20"/>
          <w:szCs w:val="20"/>
        </w:rPr>
        <w:t xml:space="preserve"> </w:t>
      </w:r>
      <w:r w:rsidRPr="005A08CD">
        <w:rPr>
          <w:sz w:val="20"/>
          <w:szCs w:val="20"/>
        </w:rPr>
        <w:t>Hij sprak hij zich uit voor een verdergaande aanpassing van Brussel II bis, op basis van een studie die</w:t>
      </w:r>
      <w:r w:rsidRPr="005A08CD" w:rsidR="00A677A2">
        <w:rPr>
          <w:sz w:val="20"/>
          <w:szCs w:val="20"/>
        </w:rPr>
        <w:t xml:space="preserve"> </w:t>
      </w:r>
      <w:r w:rsidRPr="005A08CD">
        <w:rPr>
          <w:sz w:val="20"/>
          <w:szCs w:val="20"/>
        </w:rPr>
        <w:t>LIBE heeft laten uitvoeren door het Swiss Institute of Comparative Law in Lausanne.</w:t>
      </w:r>
    </w:p>
    <w:p w:rsidRPr="005A08CD" w:rsidR="00863C67" w:rsidP="00A677A2" w:rsidRDefault="00863C67">
      <w:pPr>
        <w:autoSpaceDE w:val="0"/>
        <w:autoSpaceDN w:val="0"/>
        <w:adjustRightInd w:val="0"/>
        <w:rPr>
          <w:sz w:val="20"/>
          <w:szCs w:val="20"/>
          <w:lang w:val="de-DE"/>
        </w:rPr>
      </w:pPr>
      <w:r w:rsidRPr="005A08CD">
        <w:rPr>
          <w:sz w:val="20"/>
          <w:szCs w:val="20"/>
          <w:lang w:val="de-DE"/>
        </w:rPr>
        <w:t>(www.europarl.europa.eu/RegData/etudes/STUD/2015/510012/IPOL STU(2015)510012 EN.pdf.</w:t>
      </w:r>
      <w:r w:rsidR="00855256">
        <w:rPr>
          <w:sz w:val="20"/>
          <w:szCs w:val="20"/>
          <w:lang w:val="de-DE"/>
        </w:rPr>
        <w:t>)</w:t>
      </w:r>
    </w:p>
    <w:p w:rsidRPr="005A08CD" w:rsidR="00863C67" w:rsidP="00A677A2" w:rsidRDefault="00863C67">
      <w:pPr>
        <w:autoSpaceDE w:val="0"/>
        <w:autoSpaceDN w:val="0"/>
        <w:adjustRightInd w:val="0"/>
        <w:rPr>
          <w:sz w:val="20"/>
          <w:szCs w:val="20"/>
        </w:rPr>
      </w:pPr>
      <w:r w:rsidRPr="005A08CD">
        <w:rPr>
          <w:sz w:val="20"/>
          <w:szCs w:val="20"/>
        </w:rPr>
        <w:t>De conclusie van deze studie is dat in de ve</w:t>
      </w:r>
      <w:r w:rsidR="00A37275">
        <w:rPr>
          <w:sz w:val="20"/>
          <w:szCs w:val="20"/>
        </w:rPr>
        <w:t>e</w:t>
      </w:r>
      <w:r w:rsidRPr="005A08CD">
        <w:rPr>
          <w:sz w:val="20"/>
          <w:szCs w:val="20"/>
        </w:rPr>
        <w:t>l gevallen waarin het de verzorgende ouder is die het</w:t>
      </w:r>
      <w:r w:rsidR="00B30F8C">
        <w:rPr>
          <w:sz w:val="20"/>
          <w:szCs w:val="20"/>
        </w:rPr>
        <w:t xml:space="preserve"> </w:t>
      </w:r>
      <w:r w:rsidRPr="005A08CD">
        <w:rPr>
          <w:sz w:val="20"/>
          <w:szCs w:val="20"/>
        </w:rPr>
        <w:t>kind, n</w:t>
      </w:r>
      <w:r w:rsidR="00A37275">
        <w:rPr>
          <w:sz w:val="20"/>
          <w:szCs w:val="20"/>
        </w:rPr>
        <w:t>a</w:t>
      </w:r>
      <w:r w:rsidRPr="005A08CD">
        <w:rPr>
          <w:sz w:val="20"/>
          <w:szCs w:val="20"/>
        </w:rPr>
        <w:t xml:space="preserve"> een mislukt huwelijk, meeneemt naar haar land van herkomst, deze “ontvoering”</w:t>
      </w:r>
      <w:r w:rsidR="00B30F8C">
        <w:rPr>
          <w:sz w:val="20"/>
          <w:szCs w:val="20"/>
        </w:rPr>
        <w:t xml:space="preserve"> </w:t>
      </w:r>
      <w:r w:rsidRPr="005A08CD">
        <w:rPr>
          <w:sz w:val="20"/>
          <w:szCs w:val="20"/>
        </w:rPr>
        <w:t>voorkomen kan worden door de tijdige inzet van mediation om een ordelijke verplaatsing mogelijk te</w:t>
      </w:r>
      <w:r w:rsidRPr="005A08CD" w:rsidR="00A677A2">
        <w:rPr>
          <w:sz w:val="20"/>
          <w:szCs w:val="20"/>
        </w:rPr>
        <w:t xml:space="preserve"> </w:t>
      </w:r>
      <w:r w:rsidRPr="005A08CD">
        <w:rPr>
          <w:sz w:val="20"/>
          <w:szCs w:val="20"/>
        </w:rPr>
        <w:t>maken. Verder moet vooral voorkomen worden dat rechters in twee landen tegenstrijdige</w:t>
      </w:r>
      <w:r w:rsidR="00B30F8C">
        <w:rPr>
          <w:sz w:val="20"/>
          <w:szCs w:val="20"/>
        </w:rPr>
        <w:t xml:space="preserve"> </w:t>
      </w:r>
      <w:r w:rsidRPr="005A08CD">
        <w:rPr>
          <w:sz w:val="20"/>
          <w:szCs w:val="20"/>
        </w:rPr>
        <w:t>beslissingen nemen. Gestreefd moet worden naar een “joint decision” door gespecialiseerde</w:t>
      </w:r>
      <w:r w:rsidR="00B30F8C">
        <w:rPr>
          <w:sz w:val="20"/>
          <w:szCs w:val="20"/>
        </w:rPr>
        <w:t xml:space="preserve"> </w:t>
      </w:r>
      <w:r w:rsidRPr="005A08CD">
        <w:rPr>
          <w:sz w:val="20"/>
          <w:szCs w:val="20"/>
        </w:rPr>
        <w:t>gerechten in de betrokken landen.</w:t>
      </w:r>
    </w:p>
    <w:p w:rsidR="00AC125C" w:rsidP="00A677A2" w:rsidRDefault="00AC125C">
      <w:pPr>
        <w:autoSpaceDE w:val="0"/>
        <w:autoSpaceDN w:val="0"/>
        <w:adjustRightInd w:val="0"/>
        <w:rPr>
          <w:sz w:val="20"/>
          <w:szCs w:val="20"/>
          <w:u w:val="single"/>
        </w:rPr>
      </w:pPr>
    </w:p>
    <w:p w:rsidRPr="005A08CD" w:rsidR="00863C67" w:rsidP="00A677A2" w:rsidRDefault="00863C67">
      <w:pPr>
        <w:autoSpaceDE w:val="0"/>
        <w:autoSpaceDN w:val="0"/>
        <w:adjustRightInd w:val="0"/>
        <w:rPr>
          <w:sz w:val="20"/>
          <w:szCs w:val="20"/>
        </w:rPr>
      </w:pPr>
      <w:r w:rsidRPr="00A37275">
        <w:rPr>
          <w:sz w:val="20"/>
          <w:szCs w:val="20"/>
        </w:rPr>
        <w:t>Constantinos Manolopoulos</w:t>
      </w:r>
      <w:r w:rsidRPr="005A08CD">
        <w:rPr>
          <w:sz w:val="20"/>
          <w:szCs w:val="20"/>
        </w:rPr>
        <w:t xml:space="preserve">, de interim directeur van </w:t>
      </w:r>
      <w:r w:rsidR="00A37275">
        <w:rPr>
          <w:sz w:val="20"/>
          <w:szCs w:val="20"/>
        </w:rPr>
        <w:t>het Europees Grondrechtenagentschap</w:t>
      </w:r>
      <w:r w:rsidRPr="005A08CD">
        <w:rPr>
          <w:sz w:val="20"/>
          <w:szCs w:val="20"/>
        </w:rPr>
        <w:t>, riep ertoe op</w:t>
      </w:r>
      <w:r w:rsidR="00B30F8C">
        <w:rPr>
          <w:sz w:val="20"/>
          <w:szCs w:val="20"/>
        </w:rPr>
        <w:t xml:space="preserve"> </w:t>
      </w:r>
      <w:r w:rsidRPr="005A08CD">
        <w:rPr>
          <w:sz w:val="20"/>
          <w:szCs w:val="20"/>
        </w:rPr>
        <w:t>bij de herziening van Brussel II bis rekening te houden met de relatie tussen kindontvoeringen en</w:t>
      </w:r>
      <w:r w:rsidR="00B30F8C">
        <w:rPr>
          <w:sz w:val="20"/>
          <w:szCs w:val="20"/>
        </w:rPr>
        <w:t xml:space="preserve"> </w:t>
      </w:r>
      <w:r w:rsidRPr="005A08CD">
        <w:rPr>
          <w:sz w:val="20"/>
          <w:szCs w:val="20"/>
        </w:rPr>
        <w:t>mensenhandel. Ook pleitte hij voor kwaliteitsstandaarden en een standaard minimu</w:t>
      </w:r>
      <w:r w:rsidR="00B30F8C">
        <w:rPr>
          <w:sz w:val="20"/>
          <w:szCs w:val="20"/>
        </w:rPr>
        <w:t xml:space="preserve">m </w:t>
      </w:r>
      <w:r w:rsidRPr="005A08CD">
        <w:rPr>
          <w:sz w:val="20"/>
          <w:szCs w:val="20"/>
        </w:rPr>
        <w:t>dienstenpakket voor Centrale Autoriteiten (met o.a. mediation en vertegenwoordiging minderjarigen</w:t>
      </w:r>
      <w:r w:rsidR="00B30F8C">
        <w:rPr>
          <w:sz w:val="20"/>
          <w:szCs w:val="20"/>
        </w:rPr>
        <w:t xml:space="preserve"> </w:t>
      </w:r>
      <w:r w:rsidRPr="005A08CD">
        <w:rPr>
          <w:sz w:val="20"/>
          <w:szCs w:val="20"/>
        </w:rPr>
        <w:t>in rechte).</w:t>
      </w:r>
      <w:r w:rsidRPr="005A08CD" w:rsidR="00A677A2">
        <w:rPr>
          <w:sz w:val="20"/>
          <w:szCs w:val="20"/>
        </w:rPr>
        <w:t xml:space="preserve"> </w:t>
      </w:r>
      <w:r w:rsidRPr="005A08CD">
        <w:rPr>
          <w:sz w:val="20"/>
          <w:szCs w:val="20"/>
        </w:rPr>
        <w:t>Vervolgens</w:t>
      </w:r>
      <w:r w:rsidR="009524E1">
        <w:rPr>
          <w:sz w:val="20"/>
          <w:szCs w:val="20"/>
        </w:rPr>
        <w:t xml:space="preserve"> spraken 23 van de 28 lidstaten.</w:t>
      </w:r>
      <w:r w:rsidRPr="005A08CD">
        <w:rPr>
          <w:sz w:val="20"/>
          <w:szCs w:val="20"/>
        </w:rPr>
        <w:t xml:space="preserve"> </w:t>
      </w:r>
    </w:p>
    <w:p w:rsidR="009524E1" w:rsidP="00CB77FE" w:rsidRDefault="009524E1">
      <w:pPr>
        <w:autoSpaceDE w:val="0"/>
        <w:autoSpaceDN w:val="0"/>
        <w:adjustRightInd w:val="0"/>
        <w:rPr>
          <w:sz w:val="20"/>
          <w:szCs w:val="20"/>
        </w:rPr>
      </w:pPr>
    </w:p>
    <w:p w:rsidRPr="005A08CD" w:rsidR="00A677A2" w:rsidP="00CB77FE" w:rsidRDefault="00863C67">
      <w:pPr>
        <w:autoSpaceDE w:val="0"/>
        <w:autoSpaceDN w:val="0"/>
        <w:adjustRightInd w:val="0"/>
        <w:rPr>
          <w:sz w:val="20"/>
          <w:szCs w:val="20"/>
        </w:rPr>
      </w:pPr>
      <w:r w:rsidRPr="005A08CD">
        <w:rPr>
          <w:sz w:val="20"/>
          <w:szCs w:val="20"/>
        </w:rPr>
        <w:t>Alle lidstaten waren het ermee eens dat een herziening noodzakelijk is en konden zich vinden in de</w:t>
      </w:r>
      <w:r w:rsidR="00CB77FE">
        <w:rPr>
          <w:sz w:val="20"/>
          <w:szCs w:val="20"/>
        </w:rPr>
        <w:t xml:space="preserve"> </w:t>
      </w:r>
      <w:r w:rsidRPr="005A08CD">
        <w:rPr>
          <w:sz w:val="20"/>
          <w:szCs w:val="20"/>
        </w:rPr>
        <w:t xml:space="preserve">vier prioriteiten. </w:t>
      </w:r>
    </w:p>
    <w:p w:rsidRPr="005A08CD" w:rsidR="00CB77FE" w:rsidP="00CB77FE" w:rsidRDefault="00CB77FE">
      <w:pPr>
        <w:autoSpaceDE w:val="0"/>
        <w:autoSpaceDN w:val="0"/>
        <w:adjustRightInd w:val="0"/>
        <w:rPr>
          <w:sz w:val="20"/>
          <w:szCs w:val="20"/>
        </w:rPr>
      </w:pPr>
      <w:r w:rsidRPr="005A08CD">
        <w:rPr>
          <w:sz w:val="20"/>
          <w:szCs w:val="20"/>
        </w:rPr>
        <w:t>Over de vier hoofdpunten was het beeld als volgt.</w:t>
      </w:r>
    </w:p>
    <w:p w:rsidRPr="00A37275" w:rsidR="00CB77FE" w:rsidP="00CB77FE" w:rsidRDefault="00CB77FE">
      <w:pPr>
        <w:autoSpaceDE w:val="0"/>
        <w:autoSpaceDN w:val="0"/>
        <w:adjustRightInd w:val="0"/>
        <w:rPr>
          <w:sz w:val="20"/>
          <w:szCs w:val="20"/>
        </w:rPr>
      </w:pPr>
      <w:r w:rsidRPr="00A37275">
        <w:rPr>
          <w:sz w:val="20"/>
          <w:szCs w:val="20"/>
        </w:rPr>
        <w:t>Punt 1, exequatur</w:t>
      </w:r>
      <w:r w:rsidR="00A37275">
        <w:rPr>
          <w:sz w:val="20"/>
          <w:szCs w:val="20"/>
        </w:rPr>
        <w:t>.</w:t>
      </w:r>
      <w:r w:rsidRPr="00A37275">
        <w:rPr>
          <w:sz w:val="20"/>
          <w:szCs w:val="20"/>
        </w:rPr>
        <w:t xml:space="preserve"> De meeste lidstaten die zich uitspraken</w:t>
      </w:r>
      <w:r w:rsidR="00A37275">
        <w:rPr>
          <w:sz w:val="20"/>
          <w:szCs w:val="20"/>
        </w:rPr>
        <w:t>,</w:t>
      </w:r>
      <w:r w:rsidRPr="00A37275">
        <w:rPr>
          <w:sz w:val="20"/>
          <w:szCs w:val="20"/>
        </w:rPr>
        <w:t xml:space="preserve"> steunden de afschaffing van de exequatur voor gezagsbeslissingen mits een vereenvoudigd mechanisme voldoende waarborgen heeft. Enkele landen waren meer terugh</w:t>
      </w:r>
      <w:r w:rsidRPr="00A37275" w:rsidR="009524E1">
        <w:rPr>
          <w:sz w:val="20"/>
          <w:szCs w:val="20"/>
        </w:rPr>
        <w:t>oudend, ve</w:t>
      </w:r>
      <w:r w:rsidR="00A37275">
        <w:rPr>
          <w:sz w:val="20"/>
          <w:szCs w:val="20"/>
        </w:rPr>
        <w:t>e</w:t>
      </w:r>
      <w:r w:rsidRPr="00A37275" w:rsidR="009524E1">
        <w:rPr>
          <w:sz w:val="20"/>
          <w:szCs w:val="20"/>
        </w:rPr>
        <w:t>l landen waaronder Nederland</w:t>
      </w:r>
      <w:r w:rsidRPr="00A37275">
        <w:rPr>
          <w:sz w:val="20"/>
          <w:szCs w:val="20"/>
        </w:rPr>
        <w:t xml:space="preserve"> spraken zich niet uitdrukkelijk uit. </w:t>
      </w:r>
    </w:p>
    <w:p w:rsidRPr="00A37275" w:rsidR="00CB77FE" w:rsidP="00CB77FE" w:rsidRDefault="00CB77FE">
      <w:pPr>
        <w:autoSpaceDE w:val="0"/>
        <w:autoSpaceDN w:val="0"/>
        <w:adjustRightInd w:val="0"/>
        <w:rPr>
          <w:sz w:val="20"/>
          <w:szCs w:val="20"/>
        </w:rPr>
      </w:pPr>
      <w:r w:rsidRPr="00A37275">
        <w:rPr>
          <w:sz w:val="20"/>
          <w:szCs w:val="20"/>
        </w:rPr>
        <w:t>Punt 2, effectievere en snellere terugkeer. De meeste landen willen onderzoeken of een</w:t>
      </w:r>
    </w:p>
    <w:p w:rsidRPr="00A37275" w:rsidR="009524E1" w:rsidP="00CB77FE" w:rsidRDefault="00CB77FE">
      <w:pPr>
        <w:autoSpaceDE w:val="0"/>
        <w:autoSpaceDN w:val="0"/>
        <w:adjustRightInd w:val="0"/>
        <w:rPr>
          <w:sz w:val="20"/>
          <w:szCs w:val="20"/>
        </w:rPr>
      </w:pPr>
      <w:r w:rsidRPr="00A37275">
        <w:rPr>
          <w:sz w:val="20"/>
          <w:szCs w:val="20"/>
        </w:rPr>
        <w:t xml:space="preserve">versnelde procedure gerealiseerd kan worden, onder andere door een betere communicatie tussen de betrokken rechters. </w:t>
      </w:r>
    </w:p>
    <w:p w:rsidRPr="00A37275" w:rsidR="00CB77FE" w:rsidP="00CB77FE" w:rsidRDefault="00CB77FE">
      <w:pPr>
        <w:autoSpaceDE w:val="0"/>
        <w:autoSpaceDN w:val="0"/>
        <w:adjustRightInd w:val="0"/>
        <w:rPr>
          <w:sz w:val="20"/>
          <w:szCs w:val="20"/>
        </w:rPr>
      </w:pPr>
      <w:r w:rsidRPr="00A37275">
        <w:rPr>
          <w:sz w:val="20"/>
          <w:szCs w:val="20"/>
        </w:rPr>
        <w:t xml:space="preserve">Punt 3, correcte tenuitvoerlegging </w:t>
      </w:r>
      <w:r w:rsidR="00A37275">
        <w:rPr>
          <w:sz w:val="20"/>
          <w:szCs w:val="20"/>
        </w:rPr>
        <w:t xml:space="preserve">van </w:t>
      </w:r>
      <w:r w:rsidRPr="00A37275">
        <w:rPr>
          <w:sz w:val="20"/>
          <w:szCs w:val="20"/>
        </w:rPr>
        <w:t xml:space="preserve">buitenlandse vonnissen. De meeste lidstaten waren beducht voor een ontwikkeling in de richting van harmonisatie. </w:t>
      </w:r>
    </w:p>
    <w:p w:rsidRPr="00A37275" w:rsidR="00CB77FE" w:rsidP="00CB77FE" w:rsidRDefault="00CB77FE">
      <w:pPr>
        <w:autoSpaceDE w:val="0"/>
        <w:autoSpaceDN w:val="0"/>
        <w:adjustRightInd w:val="0"/>
        <w:rPr>
          <w:sz w:val="20"/>
          <w:szCs w:val="20"/>
        </w:rPr>
      </w:pPr>
      <w:r w:rsidRPr="00A37275">
        <w:rPr>
          <w:sz w:val="20"/>
          <w:szCs w:val="20"/>
        </w:rPr>
        <w:t>Punt 4, samenwerking en taken Centrale Autoriteiten. De meeste lidstaten willen kijken hoe de samenwerking kan worden verbeterd en meer lijn kan worden gebracht in het takenpakket.</w:t>
      </w:r>
    </w:p>
    <w:p w:rsidRPr="00A37275" w:rsidR="00CB77FE" w:rsidP="00A677A2" w:rsidRDefault="00CB77FE">
      <w:pPr>
        <w:autoSpaceDE w:val="0"/>
        <w:autoSpaceDN w:val="0"/>
        <w:adjustRightInd w:val="0"/>
        <w:rPr>
          <w:sz w:val="20"/>
          <w:szCs w:val="20"/>
        </w:rPr>
      </w:pPr>
    </w:p>
    <w:p w:rsidR="00CB77FE" w:rsidP="00A677A2" w:rsidRDefault="00A37275">
      <w:pPr>
        <w:autoSpaceDE w:val="0"/>
        <w:autoSpaceDN w:val="0"/>
        <w:adjustRightInd w:val="0"/>
        <w:rPr>
          <w:sz w:val="20"/>
          <w:szCs w:val="20"/>
        </w:rPr>
      </w:pPr>
      <w:r>
        <w:rPr>
          <w:sz w:val="20"/>
          <w:szCs w:val="20"/>
        </w:rPr>
        <w:t xml:space="preserve">De </w:t>
      </w:r>
      <w:r w:rsidR="002F6AEE">
        <w:rPr>
          <w:sz w:val="20"/>
          <w:szCs w:val="20"/>
        </w:rPr>
        <w:t>Minister</w:t>
      </w:r>
      <w:r>
        <w:rPr>
          <w:sz w:val="20"/>
          <w:szCs w:val="20"/>
        </w:rPr>
        <w:t xml:space="preserve"> </w:t>
      </w:r>
      <w:r w:rsidRPr="00A37275" w:rsidR="00863C67">
        <w:rPr>
          <w:sz w:val="20"/>
          <w:szCs w:val="20"/>
        </w:rPr>
        <w:t>benadrukte</w:t>
      </w:r>
      <w:r w:rsidRPr="005A08CD" w:rsidR="00863C67">
        <w:rPr>
          <w:sz w:val="20"/>
          <w:szCs w:val="20"/>
        </w:rPr>
        <w:t xml:space="preserve"> </w:t>
      </w:r>
      <w:r>
        <w:rPr>
          <w:sz w:val="20"/>
          <w:szCs w:val="20"/>
        </w:rPr>
        <w:t xml:space="preserve">voorts </w:t>
      </w:r>
      <w:r w:rsidRPr="005A08CD" w:rsidR="00863C67">
        <w:rPr>
          <w:sz w:val="20"/>
          <w:szCs w:val="20"/>
        </w:rPr>
        <w:t>het belang van mediation in de praktijk van kinderontvoeringszaken zonder daaraan de</w:t>
      </w:r>
      <w:r w:rsidRPr="005A08CD" w:rsidR="00A677A2">
        <w:rPr>
          <w:sz w:val="20"/>
          <w:szCs w:val="20"/>
        </w:rPr>
        <w:t xml:space="preserve"> </w:t>
      </w:r>
      <w:r w:rsidRPr="005A08CD" w:rsidR="00863C67">
        <w:rPr>
          <w:sz w:val="20"/>
          <w:szCs w:val="20"/>
        </w:rPr>
        <w:t xml:space="preserve">conclusie te verbinden dat de </w:t>
      </w:r>
      <w:r>
        <w:rPr>
          <w:sz w:val="20"/>
          <w:szCs w:val="20"/>
        </w:rPr>
        <w:t>V</w:t>
      </w:r>
      <w:r w:rsidRPr="005A08CD" w:rsidR="00863C67">
        <w:rPr>
          <w:sz w:val="20"/>
          <w:szCs w:val="20"/>
        </w:rPr>
        <w:t>erordening op dit punt moet worden aangepast. Hij bood zijn</w:t>
      </w:r>
      <w:r w:rsidRPr="005A08CD" w:rsidR="00A677A2">
        <w:rPr>
          <w:sz w:val="20"/>
          <w:szCs w:val="20"/>
        </w:rPr>
        <w:t xml:space="preserve"> </w:t>
      </w:r>
      <w:r w:rsidRPr="005A08CD" w:rsidR="00863C67">
        <w:rPr>
          <w:sz w:val="20"/>
          <w:szCs w:val="20"/>
        </w:rPr>
        <w:t xml:space="preserve">collega’s aan de goede Nederlandse ervaring met </w:t>
      </w:r>
      <w:r w:rsidR="00ED2697">
        <w:rPr>
          <w:sz w:val="20"/>
          <w:szCs w:val="20"/>
        </w:rPr>
        <w:t xml:space="preserve">grensoverschrijdende </w:t>
      </w:r>
      <w:r w:rsidRPr="005A08CD" w:rsidR="00863C67">
        <w:rPr>
          <w:sz w:val="20"/>
          <w:szCs w:val="20"/>
        </w:rPr>
        <w:t xml:space="preserve">mediation te delen. </w:t>
      </w:r>
    </w:p>
    <w:p w:rsidR="00CB77FE" w:rsidP="00A677A2" w:rsidRDefault="00CB77FE">
      <w:pPr>
        <w:autoSpaceDE w:val="0"/>
        <w:autoSpaceDN w:val="0"/>
        <w:adjustRightInd w:val="0"/>
        <w:rPr>
          <w:sz w:val="20"/>
          <w:szCs w:val="20"/>
        </w:rPr>
      </w:pPr>
    </w:p>
    <w:sectPr w:rsidR="00CB77FE">
      <w:footerReference w:type="default" r:id="rId9"/>
      <w:pgSz w:w="11906" w:h="16838"/>
      <w:pgMar w:top="1417" w:right="1417" w:bottom="1417" w:left="1417" w:header="708" w:footer="708" w:gutter="0"/>
      <w:cols w:space="708"/>
      <w:docGrid w:linePitch="360"/>
      <w:paperSrc w:first="4" w:other="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E0466" w:rsidRDefault="001E0466" w:rsidP="0003349A">
      <w:r>
        <w:separator/>
      </w:r>
    </w:p>
  </w:endnote>
  <w:endnote w:type="continuationSeparator" w:id="0">
    <w:p w:rsidR="001E0466" w:rsidRDefault="001E0466" w:rsidP="000334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94916378"/>
      <w:docPartObj>
        <w:docPartGallery w:val="Page Numbers (Bottom of Page)"/>
        <w:docPartUnique/>
      </w:docPartObj>
    </w:sdtPr>
    <w:sdtEndPr/>
    <w:sdtContent>
      <w:p w:rsidR="00FF5521" w:rsidRDefault="00FF5521">
        <w:pPr>
          <w:pStyle w:val="Voettekst"/>
          <w:jc w:val="right"/>
        </w:pPr>
        <w:r>
          <w:fldChar w:fldCharType="begin"/>
        </w:r>
        <w:r>
          <w:instrText>PAGE   \* MERGEFORMAT</w:instrText>
        </w:r>
        <w:r>
          <w:fldChar w:fldCharType="separate"/>
        </w:r>
        <w:r w:rsidR="001B2080">
          <w:rPr>
            <w:noProof/>
          </w:rPr>
          <w:t>1</w:t>
        </w:r>
        <w:r>
          <w:fldChar w:fldCharType="end"/>
        </w:r>
      </w:p>
    </w:sdtContent>
  </w:sdt>
  <w:p w:rsidR="00FF5521" w:rsidRDefault="00FF5521">
    <w:pPr>
      <w:pStyle w:val="Voetteks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E0466" w:rsidRDefault="001E0466" w:rsidP="0003349A">
      <w:r>
        <w:separator/>
      </w:r>
    </w:p>
  </w:footnote>
  <w:footnote w:type="continuationSeparator" w:id="0">
    <w:p w:rsidR="001E0466" w:rsidRDefault="001E0466" w:rsidP="0003349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DD1689"/>
    <w:multiLevelType w:val="hybridMultilevel"/>
    <w:tmpl w:val="497437B2"/>
    <w:lvl w:ilvl="0" w:tplc="E02A559A">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nsid w:val="06B45EFC"/>
    <w:multiLevelType w:val="hybridMultilevel"/>
    <w:tmpl w:val="45427AC6"/>
    <w:lvl w:ilvl="0" w:tplc="04130017">
      <w:start w:val="1"/>
      <w:numFmt w:val="lowerLetter"/>
      <w:lvlText w:val="%1)"/>
      <w:lvlJc w:val="left"/>
      <w:pPr>
        <w:ind w:left="1080" w:hanging="360"/>
      </w:pPr>
    </w:lvl>
    <w:lvl w:ilvl="1" w:tplc="04130019" w:tentative="1">
      <w:start w:val="1"/>
      <w:numFmt w:val="lowerLetter"/>
      <w:lvlText w:val="%2."/>
      <w:lvlJc w:val="left"/>
      <w:pPr>
        <w:ind w:left="1800" w:hanging="360"/>
      </w:pPr>
    </w:lvl>
    <w:lvl w:ilvl="2" w:tplc="0413001B" w:tentative="1">
      <w:start w:val="1"/>
      <w:numFmt w:val="lowerRoman"/>
      <w:lvlText w:val="%3."/>
      <w:lvlJc w:val="right"/>
      <w:pPr>
        <w:ind w:left="2520" w:hanging="180"/>
      </w:pPr>
    </w:lvl>
    <w:lvl w:ilvl="3" w:tplc="0413000F" w:tentative="1">
      <w:start w:val="1"/>
      <w:numFmt w:val="decimal"/>
      <w:lvlText w:val="%4."/>
      <w:lvlJc w:val="left"/>
      <w:pPr>
        <w:ind w:left="3240" w:hanging="360"/>
      </w:pPr>
    </w:lvl>
    <w:lvl w:ilvl="4" w:tplc="04130019" w:tentative="1">
      <w:start w:val="1"/>
      <w:numFmt w:val="lowerLetter"/>
      <w:lvlText w:val="%5."/>
      <w:lvlJc w:val="left"/>
      <w:pPr>
        <w:ind w:left="3960" w:hanging="360"/>
      </w:pPr>
    </w:lvl>
    <w:lvl w:ilvl="5" w:tplc="0413001B" w:tentative="1">
      <w:start w:val="1"/>
      <w:numFmt w:val="lowerRoman"/>
      <w:lvlText w:val="%6."/>
      <w:lvlJc w:val="right"/>
      <w:pPr>
        <w:ind w:left="4680" w:hanging="180"/>
      </w:pPr>
    </w:lvl>
    <w:lvl w:ilvl="6" w:tplc="0413000F" w:tentative="1">
      <w:start w:val="1"/>
      <w:numFmt w:val="decimal"/>
      <w:lvlText w:val="%7."/>
      <w:lvlJc w:val="left"/>
      <w:pPr>
        <w:ind w:left="5400" w:hanging="360"/>
      </w:pPr>
    </w:lvl>
    <w:lvl w:ilvl="7" w:tplc="04130019" w:tentative="1">
      <w:start w:val="1"/>
      <w:numFmt w:val="lowerLetter"/>
      <w:lvlText w:val="%8."/>
      <w:lvlJc w:val="left"/>
      <w:pPr>
        <w:ind w:left="6120" w:hanging="360"/>
      </w:pPr>
    </w:lvl>
    <w:lvl w:ilvl="8" w:tplc="0413001B" w:tentative="1">
      <w:start w:val="1"/>
      <w:numFmt w:val="lowerRoman"/>
      <w:lvlText w:val="%9."/>
      <w:lvlJc w:val="right"/>
      <w:pPr>
        <w:ind w:left="6840" w:hanging="180"/>
      </w:pPr>
    </w:lvl>
  </w:abstractNum>
  <w:abstractNum w:abstractNumId="2">
    <w:nsid w:val="0B7419EA"/>
    <w:multiLevelType w:val="hybridMultilevel"/>
    <w:tmpl w:val="106EC920"/>
    <w:lvl w:ilvl="0" w:tplc="6950A80A">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nsid w:val="10A83A35"/>
    <w:multiLevelType w:val="hybridMultilevel"/>
    <w:tmpl w:val="E9B21832"/>
    <w:lvl w:ilvl="0" w:tplc="D6AC288C">
      <w:start w:val="1"/>
      <w:numFmt w:val="bullet"/>
      <w:lvlText w:val="-"/>
      <w:lvlJc w:val="left"/>
      <w:pPr>
        <w:tabs>
          <w:tab w:val="num" w:pos="1065"/>
        </w:tabs>
        <w:ind w:left="1065" w:hanging="705"/>
      </w:pPr>
      <w:rPr>
        <w:rFonts w:ascii="Verdana" w:eastAsia="Times New Roman" w:hAnsi="Verdana" w:cs="Times New Roman"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4">
    <w:nsid w:val="18DB45C6"/>
    <w:multiLevelType w:val="hybridMultilevel"/>
    <w:tmpl w:val="DCB815C2"/>
    <w:lvl w:ilvl="0" w:tplc="D6A4FE58">
      <w:start w:val="1"/>
      <w:numFmt w:val="decimal"/>
      <w:lvlText w:val="%1."/>
      <w:lvlJc w:val="left"/>
      <w:pPr>
        <w:tabs>
          <w:tab w:val="num" w:pos="360"/>
        </w:tabs>
        <w:ind w:left="360" w:hanging="360"/>
      </w:pPr>
      <w:rPr>
        <w:rFonts w:hint="default"/>
      </w:rPr>
    </w:lvl>
    <w:lvl w:ilvl="1" w:tplc="04130019" w:tentative="1">
      <w:start w:val="1"/>
      <w:numFmt w:val="lowerLetter"/>
      <w:lvlText w:val="%2."/>
      <w:lvlJc w:val="left"/>
      <w:pPr>
        <w:tabs>
          <w:tab w:val="num" w:pos="1080"/>
        </w:tabs>
        <w:ind w:left="1080" w:hanging="360"/>
      </w:pPr>
    </w:lvl>
    <w:lvl w:ilvl="2" w:tplc="0413001B" w:tentative="1">
      <w:start w:val="1"/>
      <w:numFmt w:val="lowerRoman"/>
      <w:lvlText w:val="%3."/>
      <w:lvlJc w:val="right"/>
      <w:pPr>
        <w:tabs>
          <w:tab w:val="num" w:pos="1800"/>
        </w:tabs>
        <w:ind w:left="1800" w:hanging="180"/>
      </w:pPr>
    </w:lvl>
    <w:lvl w:ilvl="3" w:tplc="0413000F" w:tentative="1">
      <w:start w:val="1"/>
      <w:numFmt w:val="decimal"/>
      <w:lvlText w:val="%4."/>
      <w:lvlJc w:val="left"/>
      <w:pPr>
        <w:tabs>
          <w:tab w:val="num" w:pos="2520"/>
        </w:tabs>
        <w:ind w:left="2520" w:hanging="360"/>
      </w:pPr>
    </w:lvl>
    <w:lvl w:ilvl="4" w:tplc="04130019" w:tentative="1">
      <w:start w:val="1"/>
      <w:numFmt w:val="lowerLetter"/>
      <w:lvlText w:val="%5."/>
      <w:lvlJc w:val="left"/>
      <w:pPr>
        <w:tabs>
          <w:tab w:val="num" w:pos="3240"/>
        </w:tabs>
        <w:ind w:left="3240" w:hanging="360"/>
      </w:pPr>
    </w:lvl>
    <w:lvl w:ilvl="5" w:tplc="0413001B" w:tentative="1">
      <w:start w:val="1"/>
      <w:numFmt w:val="lowerRoman"/>
      <w:lvlText w:val="%6."/>
      <w:lvlJc w:val="right"/>
      <w:pPr>
        <w:tabs>
          <w:tab w:val="num" w:pos="3960"/>
        </w:tabs>
        <w:ind w:left="3960" w:hanging="180"/>
      </w:pPr>
    </w:lvl>
    <w:lvl w:ilvl="6" w:tplc="0413000F" w:tentative="1">
      <w:start w:val="1"/>
      <w:numFmt w:val="decimal"/>
      <w:lvlText w:val="%7."/>
      <w:lvlJc w:val="left"/>
      <w:pPr>
        <w:tabs>
          <w:tab w:val="num" w:pos="4680"/>
        </w:tabs>
        <w:ind w:left="4680" w:hanging="360"/>
      </w:pPr>
    </w:lvl>
    <w:lvl w:ilvl="7" w:tplc="04130019" w:tentative="1">
      <w:start w:val="1"/>
      <w:numFmt w:val="lowerLetter"/>
      <w:lvlText w:val="%8."/>
      <w:lvlJc w:val="left"/>
      <w:pPr>
        <w:tabs>
          <w:tab w:val="num" w:pos="5400"/>
        </w:tabs>
        <w:ind w:left="5400" w:hanging="360"/>
      </w:pPr>
    </w:lvl>
    <w:lvl w:ilvl="8" w:tplc="0413001B" w:tentative="1">
      <w:start w:val="1"/>
      <w:numFmt w:val="lowerRoman"/>
      <w:lvlText w:val="%9."/>
      <w:lvlJc w:val="right"/>
      <w:pPr>
        <w:tabs>
          <w:tab w:val="num" w:pos="6120"/>
        </w:tabs>
        <w:ind w:left="6120" w:hanging="180"/>
      </w:pPr>
    </w:lvl>
  </w:abstractNum>
  <w:abstractNum w:abstractNumId="5">
    <w:nsid w:val="1ADC1843"/>
    <w:multiLevelType w:val="hybridMultilevel"/>
    <w:tmpl w:val="8458832E"/>
    <w:lvl w:ilvl="0" w:tplc="FD763EA2">
      <w:start w:val="1"/>
      <w:numFmt w:val="decimal"/>
      <w:lvlText w:val="%1."/>
      <w:lvlJc w:val="left"/>
      <w:pPr>
        <w:tabs>
          <w:tab w:val="num" w:pos="1065"/>
        </w:tabs>
        <w:ind w:left="1065" w:hanging="705"/>
      </w:pPr>
      <w:rPr>
        <w:rFonts w:hint="default"/>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6">
    <w:nsid w:val="1C077201"/>
    <w:multiLevelType w:val="hybridMultilevel"/>
    <w:tmpl w:val="B77451D0"/>
    <w:lvl w:ilvl="0" w:tplc="04130019">
      <w:start w:val="1"/>
      <w:numFmt w:val="lowerLetter"/>
      <w:lvlText w:val="%1."/>
      <w:lvlJc w:val="left"/>
      <w:pPr>
        <w:ind w:left="1080" w:hanging="360"/>
      </w:pPr>
    </w:lvl>
    <w:lvl w:ilvl="1" w:tplc="04130019" w:tentative="1">
      <w:start w:val="1"/>
      <w:numFmt w:val="lowerLetter"/>
      <w:lvlText w:val="%2."/>
      <w:lvlJc w:val="left"/>
      <w:pPr>
        <w:ind w:left="1800" w:hanging="360"/>
      </w:pPr>
    </w:lvl>
    <w:lvl w:ilvl="2" w:tplc="0413001B" w:tentative="1">
      <w:start w:val="1"/>
      <w:numFmt w:val="lowerRoman"/>
      <w:lvlText w:val="%3."/>
      <w:lvlJc w:val="right"/>
      <w:pPr>
        <w:ind w:left="2520" w:hanging="180"/>
      </w:pPr>
    </w:lvl>
    <w:lvl w:ilvl="3" w:tplc="0413000F" w:tentative="1">
      <w:start w:val="1"/>
      <w:numFmt w:val="decimal"/>
      <w:lvlText w:val="%4."/>
      <w:lvlJc w:val="left"/>
      <w:pPr>
        <w:ind w:left="3240" w:hanging="360"/>
      </w:pPr>
    </w:lvl>
    <w:lvl w:ilvl="4" w:tplc="04130019" w:tentative="1">
      <w:start w:val="1"/>
      <w:numFmt w:val="lowerLetter"/>
      <w:lvlText w:val="%5."/>
      <w:lvlJc w:val="left"/>
      <w:pPr>
        <w:ind w:left="3960" w:hanging="360"/>
      </w:pPr>
    </w:lvl>
    <w:lvl w:ilvl="5" w:tplc="0413001B" w:tentative="1">
      <w:start w:val="1"/>
      <w:numFmt w:val="lowerRoman"/>
      <w:lvlText w:val="%6."/>
      <w:lvlJc w:val="right"/>
      <w:pPr>
        <w:ind w:left="4680" w:hanging="180"/>
      </w:pPr>
    </w:lvl>
    <w:lvl w:ilvl="6" w:tplc="0413000F" w:tentative="1">
      <w:start w:val="1"/>
      <w:numFmt w:val="decimal"/>
      <w:lvlText w:val="%7."/>
      <w:lvlJc w:val="left"/>
      <w:pPr>
        <w:ind w:left="5400" w:hanging="360"/>
      </w:pPr>
    </w:lvl>
    <w:lvl w:ilvl="7" w:tplc="04130019" w:tentative="1">
      <w:start w:val="1"/>
      <w:numFmt w:val="lowerLetter"/>
      <w:lvlText w:val="%8."/>
      <w:lvlJc w:val="left"/>
      <w:pPr>
        <w:ind w:left="6120" w:hanging="360"/>
      </w:pPr>
    </w:lvl>
    <w:lvl w:ilvl="8" w:tplc="0413001B" w:tentative="1">
      <w:start w:val="1"/>
      <w:numFmt w:val="lowerRoman"/>
      <w:lvlText w:val="%9."/>
      <w:lvlJc w:val="right"/>
      <w:pPr>
        <w:ind w:left="6840" w:hanging="180"/>
      </w:pPr>
    </w:lvl>
  </w:abstractNum>
  <w:abstractNum w:abstractNumId="7">
    <w:nsid w:val="1CDE397F"/>
    <w:multiLevelType w:val="hybridMultilevel"/>
    <w:tmpl w:val="E2CEAE3A"/>
    <w:lvl w:ilvl="0" w:tplc="04130001">
      <w:start w:val="1"/>
      <w:numFmt w:val="bullet"/>
      <w:lvlText w:val=""/>
      <w:lvlJc w:val="left"/>
      <w:pPr>
        <w:ind w:left="1080" w:hanging="360"/>
      </w:pPr>
      <w:rPr>
        <w:rFonts w:ascii="Symbol" w:hAnsi="Symbol" w:hint="default"/>
      </w:rPr>
    </w:lvl>
    <w:lvl w:ilvl="1" w:tplc="04130003" w:tentative="1">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abstractNum w:abstractNumId="8">
    <w:nsid w:val="1D09205C"/>
    <w:multiLevelType w:val="hybridMultilevel"/>
    <w:tmpl w:val="05A2733E"/>
    <w:lvl w:ilvl="0" w:tplc="FD763EA2">
      <w:start w:val="1"/>
      <w:numFmt w:val="decimal"/>
      <w:lvlText w:val="%1."/>
      <w:lvlJc w:val="left"/>
      <w:pPr>
        <w:tabs>
          <w:tab w:val="num" w:pos="1065"/>
        </w:tabs>
        <w:ind w:left="1065" w:hanging="705"/>
      </w:pPr>
      <w:rPr>
        <w:rFonts w:hint="default"/>
      </w:rPr>
    </w:lvl>
    <w:lvl w:ilvl="1" w:tplc="AA121206">
      <w:start w:val="2"/>
      <w:numFmt w:val="upperLetter"/>
      <w:lvlText w:val="%2."/>
      <w:lvlJc w:val="left"/>
      <w:pPr>
        <w:tabs>
          <w:tab w:val="num" w:pos="1785"/>
        </w:tabs>
        <w:ind w:left="1785" w:hanging="705"/>
      </w:pPr>
      <w:rPr>
        <w:rFonts w:hint="default"/>
        <w:u w:val="none"/>
      </w:r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9">
    <w:nsid w:val="20A355F3"/>
    <w:multiLevelType w:val="hybridMultilevel"/>
    <w:tmpl w:val="82F43E22"/>
    <w:lvl w:ilvl="0" w:tplc="6F00BF1E">
      <w:start w:val="1"/>
      <w:numFmt w:val="lowerLetter"/>
      <w:lvlText w:val="(%1)"/>
      <w:lvlJc w:val="left"/>
      <w:pPr>
        <w:ind w:left="1080" w:hanging="72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0">
    <w:nsid w:val="24307737"/>
    <w:multiLevelType w:val="hybridMultilevel"/>
    <w:tmpl w:val="B91E54EA"/>
    <w:lvl w:ilvl="0" w:tplc="6F98A310">
      <w:start w:val="1"/>
      <w:numFmt w:val="decimal"/>
      <w:lvlText w:val="%1."/>
      <w:lvlJc w:val="left"/>
      <w:pPr>
        <w:tabs>
          <w:tab w:val="num" w:pos="360"/>
        </w:tabs>
        <w:ind w:left="360" w:hanging="360"/>
      </w:pPr>
      <w:rPr>
        <w:rFonts w:hint="default"/>
        <w:lang w:val="en-US"/>
      </w:rPr>
    </w:lvl>
    <w:lvl w:ilvl="1" w:tplc="04130019" w:tentative="1">
      <w:start w:val="1"/>
      <w:numFmt w:val="lowerLetter"/>
      <w:lvlText w:val="%2."/>
      <w:lvlJc w:val="left"/>
      <w:pPr>
        <w:tabs>
          <w:tab w:val="num" w:pos="1080"/>
        </w:tabs>
        <w:ind w:left="1080" w:hanging="360"/>
      </w:pPr>
    </w:lvl>
    <w:lvl w:ilvl="2" w:tplc="0413001B" w:tentative="1">
      <w:start w:val="1"/>
      <w:numFmt w:val="lowerRoman"/>
      <w:lvlText w:val="%3."/>
      <w:lvlJc w:val="right"/>
      <w:pPr>
        <w:tabs>
          <w:tab w:val="num" w:pos="1800"/>
        </w:tabs>
        <w:ind w:left="1800" w:hanging="180"/>
      </w:pPr>
    </w:lvl>
    <w:lvl w:ilvl="3" w:tplc="0413000F" w:tentative="1">
      <w:start w:val="1"/>
      <w:numFmt w:val="decimal"/>
      <w:lvlText w:val="%4."/>
      <w:lvlJc w:val="left"/>
      <w:pPr>
        <w:tabs>
          <w:tab w:val="num" w:pos="2520"/>
        </w:tabs>
        <w:ind w:left="2520" w:hanging="360"/>
      </w:pPr>
    </w:lvl>
    <w:lvl w:ilvl="4" w:tplc="04130019" w:tentative="1">
      <w:start w:val="1"/>
      <w:numFmt w:val="lowerLetter"/>
      <w:lvlText w:val="%5."/>
      <w:lvlJc w:val="left"/>
      <w:pPr>
        <w:tabs>
          <w:tab w:val="num" w:pos="3240"/>
        </w:tabs>
        <w:ind w:left="3240" w:hanging="360"/>
      </w:pPr>
    </w:lvl>
    <w:lvl w:ilvl="5" w:tplc="0413001B" w:tentative="1">
      <w:start w:val="1"/>
      <w:numFmt w:val="lowerRoman"/>
      <w:lvlText w:val="%6."/>
      <w:lvlJc w:val="right"/>
      <w:pPr>
        <w:tabs>
          <w:tab w:val="num" w:pos="3960"/>
        </w:tabs>
        <w:ind w:left="3960" w:hanging="180"/>
      </w:pPr>
    </w:lvl>
    <w:lvl w:ilvl="6" w:tplc="0413000F" w:tentative="1">
      <w:start w:val="1"/>
      <w:numFmt w:val="decimal"/>
      <w:lvlText w:val="%7."/>
      <w:lvlJc w:val="left"/>
      <w:pPr>
        <w:tabs>
          <w:tab w:val="num" w:pos="4680"/>
        </w:tabs>
        <w:ind w:left="4680" w:hanging="360"/>
      </w:pPr>
    </w:lvl>
    <w:lvl w:ilvl="7" w:tplc="04130019" w:tentative="1">
      <w:start w:val="1"/>
      <w:numFmt w:val="lowerLetter"/>
      <w:lvlText w:val="%8."/>
      <w:lvlJc w:val="left"/>
      <w:pPr>
        <w:tabs>
          <w:tab w:val="num" w:pos="5400"/>
        </w:tabs>
        <w:ind w:left="5400" w:hanging="360"/>
      </w:pPr>
    </w:lvl>
    <w:lvl w:ilvl="8" w:tplc="0413001B" w:tentative="1">
      <w:start w:val="1"/>
      <w:numFmt w:val="lowerRoman"/>
      <w:lvlText w:val="%9."/>
      <w:lvlJc w:val="right"/>
      <w:pPr>
        <w:tabs>
          <w:tab w:val="num" w:pos="6120"/>
        </w:tabs>
        <w:ind w:left="6120" w:hanging="180"/>
      </w:pPr>
    </w:lvl>
  </w:abstractNum>
  <w:abstractNum w:abstractNumId="11">
    <w:nsid w:val="25B13782"/>
    <w:multiLevelType w:val="multilevel"/>
    <w:tmpl w:val="F9D4D992"/>
    <w:lvl w:ilvl="0">
      <w:start w:val="1"/>
      <w:numFmt w:val="decimal"/>
      <w:lvlText w:val="%1."/>
      <w:lvlJc w:val="left"/>
      <w:pPr>
        <w:tabs>
          <w:tab w:val="num" w:pos="360"/>
        </w:tabs>
        <w:ind w:left="360" w:hanging="360"/>
      </w:pPr>
      <w:rPr>
        <w:rFonts w:hint="default"/>
      </w:rPr>
    </w:lvl>
    <w:lvl w:ilvl="1">
      <w:start w:val="16"/>
      <w:numFmt w:val="bullet"/>
      <w:lvlText w:val=""/>
      <w:lvlJc w:val="left"/>
      <w:pPr>
        <w:tabs>
          <w:tab w:val="num" w:pos="1425"/>
        </w:tabs>
        <w:ind w:left="1425" w:hanging="705"/>
      </w:pPr>
      <w:rPr>
        <w:rFonts w:ascii="Symbol" w:eastAsia="Times New Roman" w:hAnsi="Symbol" w:cs="Times New Roman" w:hint="default"/>
      </w:r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2">
    <w:nsid w:val="2FD24A91"/>
    <w:multiLevelType w:val="hybridMultilevel"/>
    <w:tmpl w:val="B5BA0FFE"/>
    <w:lvl w:ilvl="0" w:tplc="0DD03B48">
      <w:numFmt w:val="bullet"/>
      <w:lvlText w:val="-"/>
      <w:lvlJc w:val="left"/>
      <w:pPr>
        <w:ind w:left="720" w:hanging="360"/>
      </w:pPr>
      <w:rPr>
        <w:rFonts w:ascii="Verdana" w:eastAsia="Times New Roman" w:hAnsi="Verdana"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3">
    <w:nsid w:val="31B239F8"/>
    <w:multiLevelType w:val="hybridMultilevel"/>
    <w:tmpl w:val="82628574"/>
    <w:lvl w:ilvl="0" w:tplc="97DA1B9C">
      <w:start w:val="5"/>
      <w:numFmt w:val="bullet"/>
      <w:lvlText w:val="-"/>
      <w:lvlJc w:val="left"/>
      <w:pPr>
        <w:ind w:left="720" w:hanging="360"/>
      </w:pPr>
      <w:rPr>
        <w:rFonts w:ascii="Verdana" w:eastAsia="Times New Roman" w:hAnsi="Verdana"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4">
    <w:nsid w:val="32BB6257"/>
    <w:multiLevelType w:val="hybridMultilevel"/>
    <w:tmpl w:val="EE7490C8"/>
    <w:lvl w:ilvl="0" w:tplc="5C6AA658">
      <w:start w:val="5"/>
      <w:numFmt w:val="bullet"/>
      <w:lvlText w:val="-"/>
      <w:lvlJc w:val="left"/>
      <w:pPr>
        <w:ind w:left="720" w:hanging="360"/>
      </w:pPr>
      <w:rPr>
        <w:rFonts w:ascii="Verdana" w:eastAsia="Times New Roman" w:hAnsi="Verdana" w:cs="Times New Roman"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5">
    <w:nsid w:val="36F22C1D"/>
    <w:multiLevelType w:val="multilevel"/>
    <w:tmpl w:val="05A2733E"/>
    <w:lvl w:ilvl="0">
      <w:start w:val="1"/>
      <w:numFmt w:val="decimal"/>
      <w:lvlText w:val="%1."/>
      <w:lvlJc w:val="left"/>
      <w:pPr>
        <w:tabs>
          <w:tab w:val="num" w:pos="1065"/>
        </w:tabs>
        <w:ind w:left="1065" w:hanging="705"/>
      </w:pPr>
      <w:rPr>
        <w:rFonts w:hint="default"/>
      </w:rPr>
    </w:lvl>
    <w:lvl w:ilvl="1">
      <w:start w:val="2"/>
      <w:numFmt w:val="upperLetter"/>
      <w:lvlText w:val="%2."/>
      <w:lvlJc w:val="left"/>
      <w:pPr>
        <w:tabs>
          <w:tab w:val="num" w:pos="1785"/>
        </w:tabs>
        <w:ind w:left="1785" w:hanging="705"/>
      </w:pPr>
      <w:rPr>
        <w:rFonts w:hint="default"/>
        <w:u w:val="none"/>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
    <w:nsid w:val="389032F5"/>
    <w:multiLevelType w:val="hybridMultilevel"/>
    <w:tmpl w:val="50EAA46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7">
    <w:nsid w:val="3E5E6D8A"/>
    <w:multiLevelType w:val="hybridMultilevel"/>
    <w:tmpl w:val="1AFC992C"/>
    <w:lvl w:ilvl="0" w:tplc="E8EAEA98">
      <w:start w:val="1"/>
      <w:numFmt w:val="decimal"/>
      <w:lvlText w:val="%1."/>
      <w:lvlJc w:val="left"/>
      <w:pPr>
        <w:tabs>
          <w:tab w:val="num" w:pos="360"/>
        </w:tabs>
        <w:ind w:left="360" w:hanging="360"/>
      </w:pPr>
      <w:rPr>
        <w:rFonts w:hint="default"/>
      </w:rPr>
    </w:lvl>
    <w:lvl w:ilvl="1" w:tplc="04130019" w:tentative="1">
      <w:start w:val="1"/>
      <w:numFmt w:val="lowerLetter"/>
      <w:lvlText w:val="%2."/>
      <w:lvlJc w:val="left"/>
      <w:pPr>
        <w:tabs>
          <w:tab w:val="num" w:pos="1080"/>
        </w:tabs>
        <w:ind w:left="1080" w:hanging="360"/>
      </w:pPr>
    </w:lvl>
    <w:lvl w:ilvl="2" w:tplc="0413001B" w:tentative="1">
      <w:start w:val="1"/>
      <w:numFmt w:val="lowerRoman"/>
      <w:lvlText w:val="%3."/>
      <w:lvlJc w:val="right"/>
      <w:pPr>
        <w:tabs>
          <w:tab w:val="num" w:pos="1800"/>
        </w:tabs>
        <w:ind w:left="1800" w:hanging="180"/>
      </w:pPr>
    </w:lvl>
    <w:lvl w:ilvl="3" w:tplc="0413000F" w:tentative="1">
      <w:start w:val="1"/>
      <w:numFmt w:val="decimal"/>
      <w:lvlText w:val="%4."/>
      <w:lvlJc w:val="left"/>
      <w:pPr>
        <w:tabs>
          <w:tab w:val="num" w:pos="2520"/>
        </w:tabs>
        <w:ind w:left="2520" w:hanging="360"/>
      </w:pPr>
    </w:lvl>
    <w:lvl w:ilvl="4" w:tplc="04130019" w:tentative="1">
      <w:start w:val="1"/>
      <w:numFmt w:val="lowerLetter"/>
      <w:lvlText w:val="%5."/>
      <w:lvlJc w:val="left"/>
      <w:pPr>
        <w:tabs>
          <w:tab w:val="num" w:pos="3240"/>
        </w:tabs>
        <w:ind w:left="3240" w:hanging="360"/>
      </w:pPr>
    </w:lvl>
    <w:lvl w:ilvl="5" w:tplc="0413001B" w:tentative="1">
      <w:start w:val="1"/>
      <w:numFmt w:val="lowerRoman"/>
      <w:lvlText w:val="%6."/>
      <w:lvlJc w:val="right"/>
      <w:pPr>
        <w:tabs>
          <w:tab w:val="num" w:pos="3960"/>
        </w:tabs>
        <w:ind w:left="3960" w:hanging="180"/>
      </w:pPr>
    </w:lvl>
    <w:lvl w:ilvl="6" w:tplc="0413000F" w:tentative="1">
      <w:start w:val="1"/>
      <w:numFmt w:val="decimal"/>
      <w:lvlText w:val="%7."/>
      <w:lvlJc w:val="left"/>
      <w:pPr>
        <w:tabs>
          <w:tab w:val="num" w:pos="4680"/>
        </w:tabs>
        <w:ind w:left="4680" w:hanging="360"/>
      </w:pPr>
    </w:lvl>
    <w:lvl w:ilvl="7" w:tplc="04130019" w:tentative="1">
      <w:start w:val="1"/>
      <w:numFmt w:val="lowerLetter"/>
      <w:lvlText w:val="%8."/>
      <w:lvlJc w:val="left"/>
      <w:pPr>
        <w:tabs>
          <w:tab w:val="num" w:pos="5400"/>
        </w:tabs>
        <w:ind w:left="5400" w:hanging="360"/>
      </w:pPr>
    </w:lvl>
    <w:lvl w:ilvl="8" w:tplc="0413001B" w:tentative="1">
      <w:start w:val="1"/>
      <w:numFmt w:val="lowerRoman"/>
      <w:lvlText w:val="%9."/>
      <w:lvlJc w:val="right"/>
      <w:pPr>
        <w:tabs>
          <w:tab w:val="num" w:pos="6120"/>
        </w:tabs>
        <w:ind w:left="6120" w:hanging="180"/>
      </w:pPr>
    </w:lvl>
  </w:abstractNum>
  <w:abstractNum w:abstractNumId="18">
    <w:nsid w:val="3EA20D0C"/>
    <w:multiLevelType w:val="multilevel"/>
    <w:tmpl w:val="5DCA7948"/>
    <w:lvl w:ilvl="0">
      <w:start w:val="2"/>
      <w:numFmt w:val="decimal"/>
      <w:lvlText w:val="%1."/>
      <w:lvlJc w:val="left"/>
      <w:pPr>
        <w:tabs>
          <w:tab w:val="num" w:pos="1065"/>
        </w:tabs>
        <w:ind w:left="1065" w:hanging="705"/>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9">
    <w:nsid w:val="404F5591"/>
    <w:multiLevelType w:val="hybridMultilevel"/>
    <w:tmpl w:val="BFE8C57A"/>
    <w:lvl w:ilvl="0" w:tplc="04130001">
      <w:start w:val="1"/>
      <w:numFmt w:val="bullet"/>
      <w:lvlText w:val=""/>
      <w:lvlJc w:val="left"/>
      <w:pPr>
        <w:ind w:left="1080" w:hanging="360"/>
      </w:pPr>
      <w:rPr>
        <w:rFonts w:ascii="Symbol" w:hAnsi="Symbol" w:hint="default"/>
      </w:rPr>
    </w:lvl>
    <w:lvl w:ilvl="1" w:tplc="04130003" w:tentative="1">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abstractNum w:abstractNumId="20">
    <w:nsid w:val="426F6E49"/>
    <w:multiLevelType w:val="hybridMultilevel"/>
    <w:tmpl w:val="4FD62BDE"/>
    <w:lvl w:ilvl="0" w:tplc="A79EFBF8">
      <w:start w:val="4"/>
      <w:numFmt w:val="bullet"/>
      <w:lvlText w:val="-"/>
      <w:lvlJc w:val="left"/>
      <w:pPr>
        <w:ind w:left="720" w:hanging="360"/>
      </w:pPr>
      <w:rPr>
        <w:rFonts w:ascii="Verdana" w:eastAsia="Times New Roman" w:hAnsi="Verdana" w:cs="Times New Roman" w:hint="default"/>
      </w:rPr>
    </w:lvl>
    <w:lvl w:ilvl="1" w:tplc="67C08C40">
      <w:numFmt w:val="bullet"/>
      <w:lvlText w:val="•"/>
      <w:lvlJc w:val="left"/>
      <w:pPr>
        <w:ind w:left="1440" w:hanging="360"/>
      </w:pPr>
      <w:rPr>
        <w:rFonts w:ascii="Verdana" w:eastAsia="Times New Roman" w:hAnsi="Verdana" w:cs="Times New Roman"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1">
    <w:nsid w:val="42701606"/>
    <w:multiLevelType w:val="hybridMultilevel"/>
    <w:tmpl w:val="4636F5CE"/>
    <w:lvl w:ilvl="0" w:tplc="45AE70C4">
      <w:start w:val="1"/>
      <w:numFmt w:val="decimal"/>
      <w:lvlText w:val="%1."/>
      <w:lvlJc w:val="left"/>
      <w:pPr>
        <w:tabs>
          <w:tab w:val="num" w:pos="363"/>
        </w:tabs>
        <w:ind w:left="363" w:hanging="363"/>
      </w:pPr>
      <w:rPr>
        <w:rFonts w:hint="default"/>
      </w:rPr>
    </w:lvl>
    <w:lvl w:ilvl="1" w:tplc="04130019" w:tentative="1">
      <w:start w:val="1"/>
      <w:numFmt w:val="lowerLetter"/>
      <w:lvlText w:val="%2."/>
      <w:lvlJc w:val="left"/>
      <w:pPr>
        <w:tabs>
          <w:tab w:val="num" w:pos="1083"/>
        </w:tabs>
        <w:ind w:left="1083" w:hanging="360"/>
      </w:pPr>
    </w:lvl>
    <w:lvl w:ilvl="2" w:tplc="0413001B" w:tentative="1">
      <w:start w:val="1"/>
      <w:numFmt w:val="lowerRoman"/>
      <w:lvlText w:val="%3."/>
      <w:lvlJc w:val="right"/>
      <w:pPr>
        <w:tabs>
          <w:tab w:val="num" w:pos="1803"/>
        </w:tabs>
        <w:ind w:left="1803" w:hanging="180"/>
      </w:pPr>
    </w:lvl>
    <w:lvl w:ilvl="3" w:tplc="0413000F" w:tentative="1">
      <w:start w:val="1"/>
      <w:numFmt w:val="decimal"/>
      <w:lvlText w:val="%4."/>
      <w:lvlJc w:val="left"/>
      <w:pPr>
        <w:tabs>
          <w:tab w:val="num" w:pos="2523"/>
        </w:tabs>
        <w:ind w:left="2523" w:hanging="360"/>
      </w:pPr>
    </w:lvl>
    <w:lvl w:ilvl="4" w:tplc="04130019" w:tentative="1">
      <w:start w:val="1"/>
      <w:numFmt w:val="lowerLetter"/>
      <w:lvlText w:val="%5."/>
      <w:lvlJc w:val="left"/>
      <w:pPr>
        <w:tabs>
          <w:tab w:val="num" w:pos="3243"/>
        </w:tabs>
        <w:ind w:left="3243" w:hanging="360"/>
      </w:pPr>
    </w:lvl>
    <w:lvl w:ilvl="5" w:tplc="0413001B" w:tentative="1">
      <w:start w:val="1"/>
      <w:numFmt w:val="lowerRoman"/>
      <w:lvlText w:val="%6."/>
      <w:lvlJc w:val="right"/>
      <w:pPr>
        <w:tabs>
          <w:tab w:val="num" w:pos="3963"/>
        </w:tabs>
        <w:ind w:left="3963" w:hanging="180"/>
      </w:pPr>
    </w:lvl>
    <w:lvl w:ilvl="6" w:tplc="0413000F" w:tentative="1">
      <w:start w:val="1"/>
      <w:numFmt w:val="decimal"/>
      <w:lvlText w:val="%7."/>
      <w:lvlJc w:val="left"/>
      <w:pPr>
        <w:tabs>
          <w:tab w:val="num" w:pos="4683"/>
        </w:tabs>
        <w:ind w:left="4683" w:hanging="360"/>
      </w:pPr>
    </w:lvl>
    <w:lvl w:ilvl="7" w:tplc="04130019" w:tentative="1">
      <w:start w:val="1"/>
      <w:numFmt w:val="lowerLetter"/>
      <w:lvlText w:val="%8."/>
      <w:lvlJc w:val="left"/>
      <w:pPr>
        <w:tabs>
          <w:tab w:val="num" w:pos="5403"/>
        </w:tabs>
        <w:ind w:left="5403" w:hanging="360"/>
      </w:pPr>
    </w:lvl>
    <w:lvl w:ilvl="8" w:tplc="0413001B" w:tentative="1">
      <w:start w:val="1"/>
      <w:numFmt w:val="lowerRoman"/>
      <w:lvlText w:val="%9."/>
      <w:lvlJc w:val="right"/>
      <w:pPr>
        <w:tabs>
          <w:tab w:val="num" w:pos="6123"/>
        </w:tabs>
        <w:ind w:left="6123" w:hanging="180"/>
      </w:pPr>
    </w:lvl>
  </w:abstractNum>
  <w:abstractNum w:abstractNumId="22">
    <w:nsid w:val="446A611E"/>
    <w:multiLevelType w:val="multilevel"/>
    <w:tmpl w:val="0BF28D44"/>
    <w:lvl w:ilvl="0">
      <w:start w:val="1"/>
      <w:numFmt w:val="decimal"/>
      <w:lvlText w:val="%1."/>
      <w:lvlJc w:val="left"/>
      <w:pPr>
        <w:tabs>
          <w:tab w:val="num" w:pos="720"/>
        </w:tabs>
        <w:ind w:left="720" w:hanging="360"/>
      </w:pPr>
      <w:rPr>
        <w:rFonts w:hint="default"/>
      </w:rPr>
    </w:lvl>
    <w:lvl w:ilvl="1">
      <w:start w:val="16"/>
      <w:numFmt w:val="bullet"/>
      <w:lvlText w:val=""/>
      <w:lvlJc w:val="left"/>
      <w:pPr>
        <w:tabs>
          <w:tab w:val="num" w:pos="1785"/>
        </w:tabs>
        <w:ind w:left="1785" w:hanging="705"/>
      </w:pPr>
      <w:rPr>
        <w:rFonts w:ascii="Symbol" w:eastAsia="Times New Roman" w:hAnsi="Symbol" w:cs="Times New Roman"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3">
    <w:nsid w:val="4CED75B2"/>
    <w:multiLevelType w:val="multilevel"/>
    <w:tmpl w:val="C1E635B6"/>
    <w:lvl w:ilvl="0">
      <w:start w:val="6"/>
      <w:numFmt w:val="decimal"/>
      <w:lvlText w:val="%1."/>
      <w:lvlJc w:val="left"/>
      <w:pPr>
        <w:tabs>
          <w:tab w:val="num" w:pos="720"/>
        </w:tabs>
        <w:ind w:left="720" w:hanging="360"/>
      </w:pPr>
      <w:rPr>
        <w:rFonts w:hint="default"/>
      </w:rPr>
    </w:lvl>
    <w:lvl w:ilvl="1">
      <w:start w:val="16"/>
      <w:numFmt w:val="bullet"/>
      <w:lvlText w:val=""/>
      <w:lvlJc w:val="left"/>
      <w:pPr>
        <w:tabs>
          <w:tab w:val="num" w:pos="1785"/>
        </w:tabs>
        <w:ind w:left="1785" w:hanging="705"/>
      </w:pPr>
      <w:rPr>
        <w:rFonts w:ascii="Symbol" w:eastAsia="Times New Roman" w:hAnsi="Symbol" w:cs="Times New Roman"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4">
    <w:nsid w:val="4D1B4FAF"/>
    <w:multiLevelType w:val="hybridMultilevel"/>
    <w:tmpl w:val="4DB6AC9C"/>
    <w:lvl w:ilvl="0" w:tplc="C4965BCE">
      <w:start w:val="6"/>
      <w:numFmt w:val="bullet"/>
      <w:lvlText w:val="-"/>
      <w:lvlJc w:val="left"/>
      <w:pPr>
        <w:ind w:left="360" w:hanging="360"/>
      </w:pPr>
      <w:rPr>
        <w:rFonts w:ascii="Verdana" w:eastAsia="Times New Roman" w:hAnsi="Verdana" w:cs="Times New Roman" w:hint="default"/>
      </w:rPr>
    </w:lvl>
    <w:lvl w:ilvl="1" w:tplc="04130003">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5">
    <w:nsid w:val="51270394"/>
    <w:multiLevelType w:val="hybridMultilevel"/>
    <w:tmpl w:val="04A0BF2A"/>
    <w:lvl w:ilvl="0" w:tplc="C4965BCE">
      <w:start w:val="6"/>
      <w:numFmt w:val="bullet"/>
      <w:lvlText w:val="-"/>
      <w:lvlJc w:val="left"/>
      <w:pPr>
        <w:ind w:left="720" w:hanging="360"/>
      </w:pPr>
      <w:rPr>
        <w:rFonts w:ascii="Verdana" w:eastAsia="Times New Roman" w:hAnsi="Verdana"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6">
    <w:nsid w:val="54173324"/>
    <w:multiLevelType w:val="multilevel"/>
    <w:tmpl w:val="0BF28D44"/>
    <w:lvl w:ilvl="0">
      <w:start w:val="1"/>
      <w:numFmt w:val="decimal"/>
      <w:lvlText w:val="%1."/>
      <w:lvlJc w:val="left"/>
      <w:pPr>
        <w:tabs>
          <w:tab w:val="num" w:pos="720"/>
        </w:tabs>
        <w:ind w:left="720" w:hanging="360"/>
      </w:pPr>
      <w:rPr>
        <w:rFonts w:hint="default"/>
      </w:rPr>
    </w:lvl>
    <w:lvl w:ilvl="1">
      <w:start w:val="16"/>
      <w:numFmt w:val="bullet"/>
      <w:lvlText w:val=""/>
      <w:lvlJc w:val="left"/>
      <w:pPr>
        <w:tabs>
          <w:tab w:val="num" w:pos="1785"/>
        </w:tabs>
        <w:ind w:left="1785" w:hanging="705"/>
      </w:pPr>
      <w:rPr>
        <w:rFonts w:ascii="Symbol" w:eastAsia="Times New Roman" w:hAnsi="Symbol" w:cs="Times New Roman"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7">
    <w:nsid w:val="56ED181B"/>
    <w:multiLevelType w:val="hybridMultilevel"/>
    <w:tmpl w:val="5DCA7948"/>
    <w:lvl w:ilvl="0" w:tplc="FD763EA2">
      <w:start w:val="2"/>
      <w:numFmt w:val="decimal"/>
      <w:lvlText w:val="%1."/>
      <w:lvlJc w:val="left"/>
      <w:pPr>
        <w:tabs>
          <w:tab w:val="num" w:pos="1065"/>
        </w:tabs>
        <w:ind w:left="1065" w:hanging="705"/>
      </w:pPr>
      <w:rPr>
        <w:rFonts w:hint="default"/>
      </w:rPr>
    </w:lvl>
    <w:lvl w:ilvl="1" w:tplc="04130019">
      <w:start w:val="1"/>
      <w:numFmt w:val="lowerLetter"/>
      <w:lvlText w:val="%2."/>
      <w:lvlJc w:val="left"/>
      <w:pPr>
        <w:tabs>
          <w:tab w:val="num" w:pos="1440"/>
        </w:tabs>
        <w:ind w:left="1440" w:hanging="360"/>
      </w:pPr>
    </w:lvl>
    <w:lvl w:ilvl="2" w:tplc="0413001B">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28">
    <w:nsid w:val="5BF631CC"/>
    <w:multiLevelType w:val="hybridMultilevel"/>
    <w:tmpl w:val="61B00D70"/>
    <w:lvl w:ilvl="0" w:tplc="C4965BCE">
      <w:start w:val="6"/>
      <w:numFmt w:val="bullet"/>
      <w:lvlText w:val="-"/>
      <w:lvlJc w:val="left"/>
      <w:pPr>
        <w:ind w:left="720" w:hanging="360"/>
      </w:pPr>
      <w:rPr>
        <w:rFonts w:ascii="Verdana" w:eastAsia="Times New Roman" w:hAnsi="Verdana"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9">
    <w:nsid w:val="61665FB0"/>
    <w:multiLevelType w:val="hybridMultilevel"/>
    <w:tmpl w:val="7174EC22"/>
    <w:lvl w:ilvl="0" w:tplc="0413000F">
      <w:start w:val="1"/>
      <w:numFmt w:val="decimal"/>
      <w:lvlText w:val="%1."/>
      <w:lvlJc w:val="left"/>
      <w:pPr>
        <w:ind w:left="1065" w:hanging="360"/>
      </w:pPr>
    </w:lvl>
    <w:lvl w:ilvl="1" w:tplc="04130019" w:tentative="1">
      <w:start w:val="1"/>
      <w:numFmt w:val="lowerLetter"/>
      <w:lvlText w:val="%2."/>
      <w:lvlJc w:val="left"/>
      <w:pPr>
        <w:ind w:left="1785" w:hanging="360"/>
      </w:pPr>
    </w:lvl>
    <w:lvl w:ilvl="2" w:tplc="0413001B" w:tentative="1">
      <w:start w:val="1"/>
      <w:numFmt w:val="lowerRoman"/>
      <w:lvlText w:val="%3."/>
      <w:lvlJc w:val="right"/>
      <w:pPr>
        <w:ind w:left="2505" w:hanging="180"/>
      </w:pPr>
    </w:lvl>
    <w:lvl w:ilvl="3" w:tplc="0413000F" w:tentative="1">
      <w:start w:val="1"/>
      <w:numFmt w:val="decimal"/>
      <w:lvlText w:val="%4."/>
      <w:lvlJc w:val="left"/>
      <w:pPr>
        <w:ind w:left="3225" w:hanging="360"/>
      </w:pPr>
    </w:lvl>
    <w:lvl w:ilvl="4" w:tplc="04130019" w:tentative="1">
      <w:start w:val="1"/>
      <w:numFmt w:val="lowerLetter"/>
      <w:lvlText w:val="%5."/>
      <w:lvlJc w:val="left"/>
      <w:pPr>
        <w:ind w:left="3945" w:hanging="360"/>
      </w:pPr>
    </w:lvl>
    <w:lvl w:ilvl="5" w:tplc="0413001B" w:tentative="1">
      <w:start w:val="1"/>
      <w:numFmt w:val="lowerRoman"/>
      <w:lvlText w:val="%6."/>
      <w:lvlJc w:val="right"/>
      <w:pPr>
        <w:ind w:left="4665" w:hanging="180"/>
      </w:pPr>
    </w:lvl>
    <w:lvl w:ilvl="6" w:tplc="0413000F" w:tentative="1">
      <w:start w:val="1"/>
      <w:numFmt w:val="decimal"/>
      <w:lvlText w:val="%7."/>
      <w:lvlJc w:val="left"/>
      <w:pPr>
        <w:ind w:left="5385" w:hanging="360"/>
      </w:pPr>
    </w:lvl>
    <w:lvl w:ilvl="7" w:tplc="04130019" w:tentative="1">
      <w:start w:val="1"/>
      <w:numFmt w:val="lowerLetter"/>
      <w:lvlText w:val="%8."/>
      <w:lvlJc w:val="left"/>
      <w:pPr>
        <w:ind w:left="6105" w:hanging="360"/>
      </w:pPr>
    </w:lvl>
    <w:lvl w:ilvl="8" w:tplc="0413001B" w:tentative="1">
      <w:start w:val="1"/>
      <w:numFmt w:val="lowerRoman"/>
      <w:lvlText w:val="%9."/>
      <w:lvlJc w:val="right"/>
      <w:pPr>
        <w:ind w:left="6825" w:hanging="180"/>
      </w:pPr>
    </w:lvl>
  </w:abstractNum>
  <w:abstractNum w:abstractNumId="30">
    <w:nsid w:val="65537E11"/>
    <w:multiLevelType w:val="hybridMultilevel"/>
    <w:tmpl w:val="60343526"/>
    <w:lvl w:ilvl="0" w:tplc="04130001">
      <w:start w:val="1"/>
      <w:numFmt w:val="bullet"/>
      <w:lvlText w:val=""/>
      <w:lvlJc w:val="left"/>
      <w:pPr>
        <w:ind w:left="1080" w:hanging="360"/>
      </w:pPr>
      <w:rPr>
        <w:rFonts w:ascii="Symbol" w:hAnsi="Symbol" w:hint="default"/>
      </w:rPr>
    </w:lvl>
    <w:lvl w:ilvl="1" w:tplc="04130003" w:tentative="1">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abstractNum w:abstractNumId="31">
    <w:nsid w:val="65EF3CBC"/>
    <w:multiLevelType w:val="hybridMultilevel"/>
    <w:tmpl w:val="62F25A2E"/>
    <w:lvl w:ilvl="0" w:tplc="04130017">
      <w:start w:val="1"/>
      <w:numFmt w:val="lowerLetter"/>
      <w:lvlText w:val="%1)"/>
      <w:lvlJc w:val="left"/>
      <w:pPr>
        <w:ind w:left="705" w:hanging="360"/>
      </w:pPr>
      <w:rPr>
        <w:rFonts w:hint="default"/>
      </w:rPr>
    </w:lvl>
    <w:lvl w:ilvl="1" w:tplc="04130019" w:tentative="1">
      <w:start w:val="1"/>
      <w:numFmt w:val="lowerLetter"/>
      <w:lvlText w:val="%2."/>
      <w:lvlJc w:val="left"/>
      <w:pPr>
        <w:ind w:left="1425" w:hanging="360"/>
      </w:pPr>
    </w:lvl>
    <w:lvl w:ilvl="2" w:tplc="0413001B" w:tentative="1">
      <w:start w:val="1"/>
      <w:numFmt w:val="lowerRoman"/>
      <w:lvlText w:val="%3."/>
      <w:lvlJc w:val="right"/>
      <w:pPr>
        <w:ind w:left="2145" w:hanging="180"/>
      </w:pPr>
    </w:lvl>
    <w:lvl w:ilvl="3" w:tplc="0413000F" w:tentative="1">
      <w:start w:val="1"/>
      <w:numFmt w:val="decimal"/>
      <w:lvlText w:val="%4."/>
      <w:lvlJc w:val="left"/>
      <w:pPr>
        <w:ind w:left="2865" w:hanging="360"/>
      </w:pPr>
    </w:lvl>
    <w:lvl w:ilvl="4" w:tplc="04130019" w:tentative="1">
      <w:start w:val="1"/>
      <w:numFmt w:val="lowerLetter"/>
      <w:lvlText w:val="%5."/>
      <w:lvlJc w:val="left"/>
      <w:pPr>
        <w:ind w:left="3585" w:hanging="360"/>
      </w:pPr>
    </w:lvl>
    <w:lvl w:ilvl="5" w:tplc="0413001B" w:tentative="1">
      <w:start w:val="1"/>
      <w:numFmt w:val="lowerRoman"/>
      <w:lvlText w:val="%6."/>
      <w:lvlJc w:val="right"/>
      <w:pPr>
        <w:ind w:left="4305" w:hanging="180"/>
      </w:pPr>
    </w:lvl>
    <w:lvl w:ilvl="6" w:tplc="0413000F" w:tentative="1">
      <w:start w:val="1"/>
      <w:numFmt w:val="decimal"/>
      <w:lvlText w:val="%7."/>
      <w:lvlJc w:val="left"/>
      <w:pPr>
        <w:ind w:left="5025" w:hanging="360"/>
      </w:pPr>
    </w:lvl>
    <w:lvl w:ilvl="7" w:tplc="04130019" w:tentative="1">
      <w:start w:val="1"/>
      <w:numFmt w:val="lowerLetter"/>
      <w:lvlText w:val="%8."/>
      <w:lvlJc w:val="left"/>
      <w:pPr>
        <w:ind w:left="5745" w:hanging="360"/>
      </w:pPr>
    </w:lvl>
    <w:lvl w:ilvl="8" w:tplc="0413001B" w:tentative="1">
      <w:start w:val="1"/>
      <w:numFmt w:val="lowerRoman"/>
      <w:lvlText w:val="%9."/>
      <w:lvlJc w:val="right"/>
      <w:pPr>
        <w:ind w:left="6465" w:hanging="180"/>
      </w:pPr>
    </w:lvl>
  </w:abstractNum>
  <w:abstractNum w:abstractNumId="32">
    <w:nsid w:val="696764CC"/>
    <w:multiLevelType w:val="hybridMultilevel"/>
    <w:tmpl w:val="60AC1C0C"/>
    <w:lvl w:ilvl="0" w:tplc="0413000F">
      <w:start w:val="1"/>
      <w:numFmt w:val="decimal"/>
      <w:lvlText w:val="%1."/>
      <w:lvlJc w:val="left"/>
      <w:pPr>
        <w:ind w:left="1080" w:hanging="360"/>
      </w:pPr>
    </w:lvl>
    <w:lvl w:ilvl="1" w:tplc="04130019" w:tentative="1">
      <w:start w:val="1"/>
      <w:numFmt w:val="lowerLetter"/>
      <w:lvlText w:val="%2."/>
      <w:lvlJc w:val="left"/>
      <w:pPr>
        <w:ind w:left="1800" w:hanging="360"/>
      </w:pPr>
    </w:lvl>
    <w:lvl w:ilvl="2" w:tplc="0413001B" w:tentative="1">
      <w:start w:val="1"/>
      <w:numFmt w:val="lowerRoman"/>
      <w:lvlText w:val="%3."/>
      <w:lvlJc w:val="right"/>
      <w:pPr>
        <w:ind w:left="2520" w:hanging="180"/>
      </w:pPr>
    </w:lvl>
    <w:lvl w:ilvl="3" w:tplc="0413000F" w:tentative="1">
      <w:start w:val="1"/>
      <w:numFmt w:val="decimal"/>
      <w:lvlText w:val="%4."/>
      <w:lvlJc w:val="left"/>
      <w:pPr>
        <w:ind w:left="3240" w:hanging="360"/>
      </w:pPr>
    </w:lvl>
    <w:lvl w:ilvl="4" w:tplc="04130019" w:tentative="1">
      <w:start w:val="1"/>
      <w:numFmt w:val="lowerLetter"/>
      <w:lvlText w:val="%5."/>
      <w:lvlJc w:val="left"/>
      <w:pPr>
        <w:ind w:left="3960" w:hanging="360"/>
      </w:pPr>
    </w:lvl>
    <w:lvl w:ilvl="5" w:tplc="0413001B" w:tentative="1">
      <w:start w:val="1"/>
      <w:numFmt w:val="lowerRoman"/>
      <w:lvlText w:val="%6."/>
      <w:lvlJc w:val="right"/>
      <w:pPr>
        <w:ind w:left="4680" w:hanging="180"/>
      </w:pPr>
    </w:lvl>
    <w:lvl w:ilvl="6" w:tplc="0413000F" w:tentative="1">
      <w:start w:val="1"/>
      <w:numFmt w:val="decimal"/>
      <w:lvlText w:val="%7."/>
      <w:lvlJc w:val="left"/>
      <w:pPr>
        <w:ind w:left="5400" w:hanging="360"/>
      </w:pPr>
    </w:lvl>
    <w:lvl w:ilvl="7" w:tplc="04130019" w:tentative="1">
      <w:start w:val="1"/>
      <w:numFmt w:val="lowerLetter"/>
      <w:lvlText w:val="%8."/>
      <w:lvlJc w:val="left"/>
      <w:pPr>
        <w:ind w:left="6120" w:hanging="360"/>
      </w:pPr>
    </w:lvl>
    <w:lvl w:ilvl="8" w:tplc="0413001B" w:tentative="1">
      <w:start w:val="1"/>
      <w:numFmt w:val="lowerRoman"/>
      <w:lvlText w:val="%9."/>
      <w:lvlJc w:val="right"/>
      <w:pPr>
        <w:ind w:left="6840" w:hanging="180"/>
      </w:pPr>
    </w:lvl>
  </w:abstractNum>
  <w:abstractNum w:abstractNumId="33">
    <w:nsid w:val="6C3D2017"/>
    <w:multiLevelType w:val="hybridMultilevel"/>
    <w:tmpl w:val="724664CC"/>
    <w:lvl w:ilvl="0" w:tplc="00200718">
      <w:start w:val="1"/>
      <w:numFmt w:val="lowerLetter"/>
      <w:lvlText w:val="%1)"/>
      <w:lvlJc w:val="left"/>
      <w:pPr>
        <w:ind w:left="705" w:hanging="360"/>
      </w:pPr>
      <w:rPr>
        <w:rFonts w:hint="default"/>
      </w:rPr>
    </w:lvl>
    <w:lvl w:ilvl="1" w:tplc="04130019" w:tentative="1">
      <w:start w:val="1"/>
      <w:numFmt w:val="lowerLetter"/>
      <w:lvlText w:val="%2."/>
      <w:lvlJc w:val="left"/>
      <w:pPr>
        <w:ind w:left="1425" w:hanging="360"/>
      </w:pPr>
    </w:lvl>
    <w:lvl w:ilvl="2" w:tplc="0413001B" w:tentative="1">
      <w:start w:val="1"/>
      <w:numFmt w:val="lowerRoman"/>
      <w:lvlText w:val="%3."/>
      <w:lvlJc w:val="right"/>
      <w:pPr>
        <w:ind w:left="2145" w:hanging="180"/>
      </w:pPr>
    </w:lvl>
    <w:lvl w:ilvl="3" w:tplc="0413000F" w:tentative="1">
      <w:start w:val="1"/>
      <w:numFmt w:val="decimal"/>
      <w:lvlText w:val="%4."/>
      <w:lvlJc w:val="left"/>
      <w:pPr>
        <w:ind w:left="2865" w:hanging="360"/>
      </w:pPr>
    </w:lvl>
    <w:lvl w:ilvl="4" w:tplc="04130019" w:tentative="1">
      <w:start w:val="1"/>
      <w:numFmt w:val="lowerLetter"/>
      <w:lvlText w:val="%5."/>
      <w:lvlJc w:val="left"/>
      <w:pPr>
        <w:ind w:left="3585" w:hanging="360"/>
      </w:pPr>
    </w:lvl>
    <w:lvl w:ilvl="5" w:tplc="0413001B" w:tentative="1">
      <w:start w:val="1"/>
      <w:numFmt w:val="lowerRoman"/>
      <w:lvlText w:val="%6."/>
      <w:lvlJc w:val="right"/>
      <w:pPr>
        <w:ind w:left="4305" w:hanging="180"/>
      </w:pPr>
    </w:lvl>
    <w:lvl w:ilvl="6" w:tplc="0413000F" w:tentative="1">
      <w:start w:val="1"/>
      <w:numFmt w:val="decimal"/>
      <w:lvlText w:val="%7."/>
      <w:lvlJc w:val="left"/>
      <w:pPr>
        <w:ind w:left="5025" w:hanging="360"/>
      </w:pPr>
    </w:lvl>
    <w:lvl w:ilvl="7" w:tplc="04130019" w:tentative="1">
      <w:start w:val="1"/>
      <w:numFmt w:val="lowerLetter"/>
      <w:lvlText w:val="%8."/>
      <w:lvlJc w:val="left"/>
      <w:pPr>
        <w:ind w:left="5745" w:hanging="360"/>
      </w:pPr>
    </w:lvl>
    <w:lvl w:ilvl="8" w:tplc="0413001B" w:tentative="1">
      <w:start w:val="1"/>
      <w:numFmt w:val="lowerRoman"/>
      <w:lvlText w:val="%9."/>
      <w:lvlJc w:val="right"/>
      <w:pPr>
        <w:ind w:left="6465" w:hanging="180"/>
      </w:pPr>
    </w:lvl>
  </w:abstractNum>
  <w:abstractNum w:abstractNumId="34">
    <w:nsid w:val="6FE0266C"/>
    <w:multiLevelType w:val="multilevel"/>
    <w:tmpl w:val="0BF28D44"/>
    <w:lvl w:ilvl="0">
      <w:start w:val="1"/>
      <w:numFmt w:val="decimal"/>
      <w:lvlText w:val="%1."/>
      <w:lvlJc w:val="left"/>
      <w:pPr>
        <w:tabs>
          <w:tab w:val="num" w:pos="720"/>
        </w:tabs>
        <w:ind w:left="720" w:hanging="360"/>
      </w:pPr>
      <w:rPr>
        <w:rFonts w:hint="default"/>
      </w:rPr>
    </w:lvl>
    <w:lvl w:ilvl="1">
      <w:start w:val="16"/>
      <w:numFmt w:val="bullet"/>
      <w:lvlText w:val=""/>
      <w:lvlJc w:val="left"/>
      <w:pPr>
        <w:tabs>
          <w:tab w:val="num" w:pos="1785"/>
        </w:tabs>
        <w:ind w:left="1785" w:hanging="705"/>
      </w:pPr>
      <w:rPr>
        <w:rFonts w:ascii="Symbol" w:eastAsia="Times New Roman" w:hAnsi="Symbol" w:cs="Times New Roman"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5">
    <w:nsid w:val="70DE49AD"/>
    <w:multiLevelType w:val="hybridMultilevel"/>
    <w:tmpl w:val="AB3CCE56"/>
    <w:lvl w:ilvl="0" w:tplc="0A0A68A2">
      <w:start w:val="1"/>
      <w:numFmt w:val="lowerLetter"/>
      <w:lvlText w:val="(%1)"/>
      <w:lvlJc w:val="left"/>
      <w:pPr>
        <w:ind w:left="1080" w:hanging="72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6">
    <w:nsid w:val="73264FD4"/>
    <w:multiLevelType w:val="multilevel"/>
    <w:tmpl w:val="4636F5CE"/>
    <w:lvl w:ilvl="0">
      <w:start w:val="1"/>
      <w:numFmt w:val="decimal"/>
      <w:lvlText w:val="%1."/>
      <w:lvlJc w:val="left"/>
      <w:pPr>
        <w:tabs>
          <w:tab w:val="num" w:pos="363"/>
        </w:tabs>
        <w:ind w:left="363" w:hanging="363"/>
      </w:pPr>
      <w:rPr>
        <w:rFonts w:hint="default"/>
      </w:rPr>
    </w:lvl>
    <w:lvl w:ilvl="1">
      <w:start w:val="1"/>
      <w:numFmt w:val="lowerLetter"/>
      <w:lvlText w:val="%2."/>
      <w:lvlJc w:val="left"/>
      <w:pPr>
        <w:tabs>
          <w:tab w:val="num" w:pos="1083"/>
        </w:tabs>
        <w:ind w:left="1083" w:hanging="360"/>
      </w:pPr>
    </w:lvl>
    <w:lvl w:ilvl="2">
      <w:start w:val="1"/>
      <w:numFmt w:val="lowerRoman"/>
      <w:lvlText w:val="%3."/>
      <w:lvlJc w:val="right"/>
      <w:pPr>
        <w:tabs>
          <w:tab w:val="num" w:pos="1803"/>
        </w:tabs>
        <w:ind w:left="1803" w:hanging="180"/>
      </w:pPr>
    </w:lvl>
    <w:lvl w:ilvl="3">
      <w:start w:val="1"/>
      <w:numFmt w:val="decimal"/>
      <w:lvlText w:val="%4."/>
      <w:lvlJc w:val="left"/>
      <w:pPr>
        <w:tabs>
          <w:tab w:val="num" w:pos="2523"/>
        </w:tabs>
        <w:ind w:left="2523" w:hanging="360"/>
      </w:pPr>
    </w:lvl>
    <w:lvl w:ilvl="4">
      <w:start w:val="1"/>
      <w:numFmt w:val="lowerLetter"/>
      <w:lvlText w:val="%5."/>
      <w:lvlJc w:val="left"/>
      <w:pPr>
        <w:tabs>
          <w:tab w:val="num" w:pos="3243"/>
        </w:tabs>
        <w:ind w:left="3243" w:hanging="360"/>
      </w:pPr>
    </w:lvl>
    <w:lvl w:ilvl="5">
      <w:start w:val="1"/>
      <w:numFmt w:val="lowerRoman"/>
      <w:lvlText w:val="%6."/>
      <w:lvlJc w:val="right"/>
      <w:pPr>
        <w:tabs>
          <w:tab w:val="num" w:pos="3963"/>
        </w:tabs>
        <w:ind w:left="3963" w:hanging="180"/>
      </w:pPr>
    </w:lvl>
    <w:lvl w:ilvl="6">
      <w:start w:val="1"/>
      <w:numFmt w:val="decimal"/>
      <w:lvlText w:val="%7."/>
      <w:lvlJc w:val="left"/>
      <w:pPr>
        <w:tabs>
          <w:tab w:val="num" w:pos="4683"/>
        </w:tabs>
        <w:ind w:left="4683" w:hanging="360"/>
      </w:pPr>
    </w:lvl>
    <w:lvl w:ilvl="7">
      <w:start w:val="1"/>
      <w:numFmt w:val="lowerLetter"/>
      <w:lvlText w:val="%8."/>
      <w:lvlJc w:val="left"/>
      <w:pPr>
        <w:tabs>
          <w:tab w:val="num" w:pos="5403"/>
        </w:tabs>
        <w:ind w:left="5403" w:hanging="360"/>
      </w:pPr>
    </w:lvl>
    <w:lvl w:ilvl="8">
      <w:start w:val="1"/>
      <w:numFmt w:val="lowerRoman"/>
      <w:lvlText w:val="%9."/>
      <w:lvlJc w:val="right"/>
      <w:pPr>
        <w:tabs>
          <w:tab w:val="num" w:pos="6123"/>
        </w:tabs>
        <w:ind w:left="6123" w:hanging="180"/>
      </w:pPr>
    </w:lvl>
  </w:abstractNum>
  <w:abstractNum w:abstractNumId="37">
    <w:nsid w:val="73E01D9A"/>
    <w:multiLevelType w:val="hybridMultilevel"/>
    <w:tmpl w:val="B07AC2D4"/>
    <w:lvl w:ilvl="0" w:tplc="04130019">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8">
    <w:nsid w:val="79947E99"/>
    <w:multiLevelType w:val="hybridMultilevel"/>
    <w:tmpl w:val="05FE28B0"/>
    <w:lvl w:ilvl="0" w:tplc="0413000F">
      <w:start w:val="1"/>
      <w:numFmt w:val="decimal"/>
      <w:lvlText w:val="%1."/>
      <w:lvlJc w:val="left"/>
      <w:pPr>
        <w:tabs>
          <w:tab w:val="num" w:pos="720"/>
        </w:tabs>
        <w:ind w:left="720" w:hanging="360"/>
      </w:p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39">
    <w:nsid w:val="7B134FDF"/>
    <w:multiLevelType w:val="hybridMultilevel"/>
    <w:tmpl w:val="F9D4D992"/>
    <w:lvl w:ilvl="0" w:tplc="E8EAEA98">
      <w:start w:val="1"/>
      <w:numFmt w:val="decimal"/>
      <w:lvlText w:val="%1."/>
      <w:lvlJc w:val="left"/>
      <w:pPr>
        <w:tabs>
          <w:tab w:val="num" w:pos="360"/>
        </w:tabs>
        <w:ind w:left="360" w:hanging="360"/>
      </w:pPr>
      <w:rPr>
        <w:rFonts w:hint="default"/>
      </w:rPr>
    </w:lvl>
    <w:lvl w:ilvl="1" w:tplc="050881A0">
      <w:start w:val="16"/>
      <w:numFmt w:val="bullet"/>
      <w:lvlText w:val=""/>
      <w:lvlJc w:val="left"/>
      <w:pPr>
        <w:tabs>
          <w:tab w:val="num" w:pos="1425"/>
        </w:tabs>
        <w:ind w:left="1425" w:hanging="705"/>
      </w:pPr>
      <w:rPr>
        <w:rFonts w:ascii="Symbol" w:eastAsia="Times New Roman" w:hAnsi="Symbol" w:cs="Times New Roman" w:hint="default"/>
      </w:rPr>
    </w:lvl>
    <w:lvl w:ilvl="2" w:tplc="0413001B" w:tentative="1">
      <w:start w:val="1"/>
      <w:numFmt w:val="lowerRoman"/>
      <w:lvlText w:val="%3."/>
      <w:lvlJc w:val="right"/>
      <w:pPr>
        <w:tabs>
          <w:tab w:val="num" w:pos="1800"/>
        </w:tabs>
        <w:ind w:left="1800" w:hanging="180"/>
      </w:pPr>
    </w:lvl>
    <w:lvl w:ilvl="3" w:tplc="0413000F" w:tentative="1">
      <w:start w:val="1"/>
      <w:numFmt w:val="decimal"/>
      <w:lvlText w:val="%4."/>
      <w:lvlJc w:val="left"/>
      <w:pPr>
        <w:tabs>
          <w:tab w:val="num" w:pos="2520"/>
        </w:tabs>
        <w:ind w:left="2520" w:hanging="360"/>
      </w:pPr>
    </w:lvl>
    <w:lvl w:ilvl="4" w:tplc="04130019" w:tentative="1">
      <w:start w:val="1"/>
      <w:numFmt w:val="lowerLetter"/>
      <w:lvlText w:val="%5."/>
      <w:lvlJc w:val="left"/>
      <w:pPr>
        <w:tabs>
          <w:tab w:val="num" w:pos="3240"/>
        </w:tabs>
        <w:ind w:left="3240" w:hanging="360"/>
      </w:pPr>
    </w:lvl>
    <w:lvl w:ilvl="5" w:tplc="0413001B" w:tentative="1">
      <w:start w:val="1"/>
      <w:numFmt w:val="lowerRoman"/>
      <w:lvlText w:val="%6."/>
      <w:lvlJc w:val="right"/>
      <w:pPr>
        <w:tabs>
          <w:tab w:val="num" w:pos="3960"/>
        </w:tabs>
        <w:ind w:left="3960" w:hanging="180"/>
      </w:pPr>
    </w:lvl>
    <w:lvl w:ilvl="6" w:tplc="0413000F" w:tentative="1">
      <w:start w:val="1"/>
      <w:numFmt w:val="decimal"/>
      <w:lvlText w:val="%7."/>
      <w:lvlJc w:val="left"/>
      <w:pPr>
        <w:tabs>
          <w:tab w:val="num" w:pos="4680"/>
        </w:tabs>
        <w:ind w:left="4680" w:hanging="360"/>
      </w:pPr>
    </w:lvl>
    <w:lvl w:ilvl="7" w:tplc="04130019" w:tentative="1">
      <w:start w:val="1"/>
      <w:numFmt w:val="lowerLetter"/>
      <w:lvlText w:val="%8."/>
      <w:lvlJc w:val="left"/>
      <w:pPr>
        <w:tabs>
          <w:tab w:val="num" w:pos="5400"/>
        </w:tabs>
        <w:ind w:left="5400" w:hanging="360"/>
      </w:pPr>
    </w:lvl>
    <w:lvl w:ilvl="8" w:tplc="0413001B" w:tentative="1">
      <w:start w:val="1"/>
      <w:numFmt w:val="lowerRoman"/>
      <w:lvlText w:val="%9."/>
      <w:lvlJc w:val="right"/>
      <w:pPr>
        <w:tabs>
          <w:tab w:val="num" w:pos="6120"/>
        </w:tabs>
        <w:ind w:left="6120" w:hanging="180"/>
      </w:pPr>
    </w:lvl>
  </w:abstractNum>
  <w:abstractNum w:abstractNumId="40">
    <w:nsid w:val="7FDF59FC"/>
    <w:multiLevelType w:val="hybridMultilevel"/>
    <w:tmpl w:val="66DEBF98"/>
    <w:lvl w:ilvl="0" w:tplc="83B06A74">
      <w:start w:val="7"/>
      <w:numFmt w:val="bullet"/>
      <w:lvlText w:val="-"/>
      <w:lvlJc w:val="left"/>
      <w:pPr>
        <w:ind w:left="720" w:hanging="360"/>
      </w:pPr>
      <w:rPr>
        <w:rFonts w:ascii="Verdana" w:eastAsia="Times New Roman" w:hAnsi="Verdana"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38"/>
  </w:num>
  <w:num w:numId="2">
    <w:abstractNumId w:val="4"/>
  </w:num>
  <w:num w:numId="3">
    <w:abstractNumId w:val="39"/>
  </w:num>
  <w:num w:numId="4">
    <w:abstractNumId w:val="3"/>
  </w:num>
  <w:num w:numId="5">
    <w:abstractNumId w:val="27"/>
  </w:num>
  <w:num w:numId="6">
    <w:abstractNumId w:val="8"/>
  </w:num>
  <w:num w:numId="7">
    <w:abstractNumId w:val="5"/>
  </w:num>
  <w:num w:numId="8">
    <w:abstractNumId w:val="23"/>
  </w:num>
  <w:num w:numId="9">
    <w:abstractNumId w:val="26"/>
  </w:num>
  <w:num w:numId="10">
    <w:abstractNumId w:val="34"/>
  </w:num>
  <w:num w:numId="11">
    <w:abstractNumId w:val="22"/>
  </w:num>
  <w:num w:numId="12">
    <w:abstractNumId w:val="18"/>
  </w:num>
  <w:num w:numId="13">
    <w:abstractNumId w:val="21"/>
  </w:num>
  <w:num w:numId="14">
    <w:abstractNumId w:val="36"/>
  </w:num>
  <w:num w:numId="15">
    <w:abstractNumId w:val="15"/>
  </w:num>
  <w:num w:numId="16">
    <w:abstractNumId w:val="11"/>
  </w:num>
  <w:num w:numId="17">
    <w:abstractNumId w:val="17"/>
  </w:num>
  <w:num w:numId="18">
    <w:abstractNumId w:val="10"/>
  </w:num>
  <w:num w:numId="19">
    <w:abstractNumId w:val="28"/>
  </w:num>
  <w:num w:numId="20">
    <w:abstractNumId w:val="25"/>
  </w:num>
  <w:num w:numId="21">
    <w:abstractNumId w:val="24"/>
  </w:num>
  <w:num w:numId="22">
    <w:abstractNumId w:val="30"/>
  </w:num>
  <w:num w:numId="23">
    <w:abstractNumId w:val="29"/>
  </w:num>
  <w:num w:numId="24">
    <w:abstractNumId w:val="33"/>
  </w:num>
  <w:num w:numId="25">
    <w:abstractNumId w:val="31"/>
  </w:num>
  <w:num w:numId="26">
    <w:abstractNumId w:val="7"/>
  </w:num>
  <w:num w:numId="27">
    <w:abstractNumId w:val="1"/>
  </w:num>
  <w:num w:numId="28">
    <w:abstractNumId w:val="37"/>
  </w:num>
  <w:num w:numId="29">
    <w:abstractNumId w:val="6"/>
  </w:num>
  <w:num w:numId="30">
    <w:abstractNumId w:val="0"/>
  </w:num>
  <w:num w:numId="31">
    <w:abstractNumId w:val="32"/>
  </w:num>
  <w:num w:numId="32">
    <w:abstractNumId w:val="2"/>
  </w:num>
  <w:num w:numId="33">
    <w:abstractNumId w:val="20"/>
  </w:num>
  <w:num w:numId="34">
    <w:abstractNumId w:val="40"/>
  </w:num>
  <w:num w:numId="35">
    <w:abstractNumId w:val="19"/>
  </w:num>
  <w:num w:numId="36">
    <w:abstractNumId w:val="12"/>
  </w:num>
  <w:num w:numId="37">
    <w:abstractNumId w:val="14"/>
  </w:num>
  <w:num w:numId="38">
    <w:abstractNumId w:val="13"/>
  </w:num>
  <w:num w:numId="39">
    <w:abstractNumId w:val="35"/>
  </w:num>
  <w:num w:numId="40">
    <w:abstractNumId w:val="9"/>
  </w:num>
  <w:num w:numId="41">
    <w:abstractNumId w:val="16"/>
  </w:num>
  <w:num w:numId="4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Arjen Taselaar">
    <w15:presenceInfo w15:providerId="None" w15:userId="Arjen Taselaa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removePersonalInformation/>
  <w:removeDateAndTim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66794"/>
    <w:rsid w:val="000165D4"/>
    <w:rsid w:val="00016859"/>
    <w:rsid w:val="000201CC"/>
    <w:rsid w:val="00020B72"/>
    <w:rsid w:val="0002380A"/>
    <w:rsid w:val="00030DD4"/>
    <w:rsid w:val="00031018"/>
    <w:rsid w:val="0003349A"/>
    <w:rsid w:val="00041C72"/>
    <w:rsid w:val="00051374"/>
    <w:rsid w:val="000600A2"/>
    <w:rsid w:val="00062B6A"/>
    <w:rsid w:val="00065DA2"/>
    <w:rsid w:val="000672B1"/>
    <w:rsid w:val="000723FF"/>
    <w:rsid w:val="00081B84"/>
    <w:rsid w:val="000833F1"/>
    <w:rsid w:val="00084B6A"/>
    <w:rsid w:val="00091945"/>
    <w:rsid w:val="00093C57"/>
    <w:rsid w:val="000957D3"/>
    <w:rsid w:val="000C0B79"/>
    <w:rsid w:val="000C3FEC"/>
    <w:rsid w:val="000C4313"/>
    <w:rsid w:val="000C7871"/>
    <w:rsid w:val="000D2E05"/>
    <w:rsid w:val="000E3283"/>
    <w:rsid w:val="000E334A"/>
    <w:rsid w:val="000F11AB"/>
    <w:rsid w:val="000F2E15"/>
    <w:rsid w:val="000F3201"/>
    <w:rsid w:val="000F585B"/>
    <w:rsid w:val="000F6E39"/>
    <w:rsid w:val="001005C5"/>
    <w:rsid w:val="00106F45"/>
    <w:rsid w:val="00123225"/>
    <w:rsid w:val="00123B59"/>
    <w:rsid w:val="00124FE5"/>
    <w:rsid w:val="00126F0F"/>
    <w:rsid w:val="00132004"/>
    <w:rsid w:val="00155E4C"/>
    <w:rsid w:val="00160E25"/>
    <w:rsid w:val="00160EFA"/>
    <w:rsid w:val="00163829"/>
    <w:rsid w:val="00164092"/>
    <w:rsid w:val="00170804"/>
    <w:rsid w:val="0017188C"/>
    <w:rsid w:val="001725BA"/>
    <w:rsid w:val="001751B9"/>
    <w:rsid w:val="001772A7"/>
    <w:rsid w:val="0018078A"/>
    <w:rsid w:val="001906ED"/>
    <w:rsid w:val="00192C7B"/>
    <w:rsid w:val="0019649D"/>
    <w:rsid w:val="001A11DD"/>
    <w:rsid w:val="001A4B33"/>
    <w:rsid w:val="001A4CC7"/>
    <w:rsid w:val="001A4DA0"/>
    <w:rsid w:val="001B0B92"/>
    <w:rsid w:val="001B2080"/>
    <w:rsid w:val="001B5BEE"/>
    <w:rsid w:val="001C2EB3"/>
    <w:rsid w:val="001C5E80"/>
    <w:rsid w:val="001D1460"/>
    <w:rsid w:val="001E0466"/>
    <w:rsid w:val="001E0566"/>
    <w:rsid w:val="001F2DBE"/>
    <w:rsid w:val="001F332A"/>
    <w:rsid w:val="001F3727"/>
    <w:rsid w:val="00205207"/>
    <w:rsid w:val="002147C4"/>
    <w:rsid w:val="00217D1C"/>
    <w:rsid w:val="002301ED"/>
    <w:rsid w:val="002334D5"/>
    <w:rsid w:val="00234855"/>
    <w:rsid w:val="0024025B"/>
    <w:rsid w:val="0024217A"/>
    <w:rsid w:val="002456A0"/>
    <w:rsid w:val="00246693"/>
    <w:rsid w:val="00246D5A"/>
    <w:rsid w:val="00254516"/>
    <w:rsid w:val="00264DA5"/>
    <w:rsid w:val="00270B94"/>
    <w:rsid w:val="0027511B"/>
    <w:rsid w:val="00277B6F"/>
    <w:rsid w:val="0028028A"/>
    <w:rsid w:val="00280296"/>
    <w:rsid w:val="002A209C"/>
    <w:rsid w:val="002A3E01"/>
    <w:rsid w:val="002A4A0A"/>
    <w:rsid w:val="002B454F"/>
    <w:rsid w:val="002C1709"/>
    <w:rsid w:val="002C20A2"/>
    <w:rsid w:val="002D64E5"/>
    <w:rsid w:val="002E5B0A"/>
    <w:rsid w:val="002E7626"/>
    <w:rsid w:val="002F6AEE"/>
    <w:rsid w:val="00302323"/>
    <w:rsid w:val="00303047"/>
    <w:rsid w:val="00304420"/>
    <w:rsid w:val="0030717F"/>
    <w:rsid w:val="003173AF"/>
    <w:rsid w:val="00323993"/>
    <w:rsid w:val="00327581"/>
    <w:rsid w:val="003316D7"/>
    <w:rsid w:val="003571B0"/>
    <w:rsid w:val="003774BE"/>
    <w:rsid w:val="0038741E"/>
    <w:rsid w:val="00392649"/>
    <w:rsid w:val="003929DF"/>
    <w:rsid w:val="003960EB"/>
    <w:rsid w:val="00396AD6"/>
    <w:rsid w:val="00396E7A"/>
    <w:rsid w:val="00397A46"/>
    <w:rsid w:val="003B6D56"/>
    <w:rsid w:val="003B7B2A"/>
    <w:rsid w:val="003C17E0"/>
    <w:rsid w:val="003C7926"/>
    <w:rsid w:val="003D4EF8"/>
    <w:rsid w:val="003D5264"/>
    <w:rsid w:val="003E285B"/>
    <w:rsid w:val="003E789C"/>
    <w:rsid w:val="003F6B52"/>
    <w:rsid w:val="004019A4"/>
    <w:rsid w:val="00403DDD"/>
    <w:rsid w:val="004045D6"/>
    <w:rsid w:val="0041019E"/>
    <w:rsid w:val="00414E5E"/>
    <w:rsid w:val="00416C56"/>
    <w:rsid w:val="00423B15"/>
    <w:rsid w:val="0042413F"/>
    <w:rsid w:val="00426BC0"/>
    <w:rsid w:val="00432095"/>
    <w:rsid w:val="00433B3A"/>
    <w:rsid w:val="00444CD7"/>
    <w:rsid w:val="0045600C"/>
    <w:rsid w:val="00473D2C"/>
    <w:rsid w:val="00473E43"/>
    <w:rsid w:val="00474AD1"/>
    <w:rsid w:val="00475D13"/>
    <w:rsid w:val="00475FBC"/>
    <w:rsid w:val="004833DB"/>
    <w:rsid w:val="0049185B"/>
    <w:rsid w:val="00492794"/>
    <w:rsid w:val="004952CA"/>
    <w:rsid w:val="00496C35"/>
    <w:rsid w:val="004B0835"/>
    <w:rsid w:val="004C7AD5"/>
    <w:rsid w:val="004E1416"/>
    <w:rsid w:val="004E3B52"/>
    <w:rsid w:val="004E573C"/>
    <w:rsid w:val="004F6154"/>
    <w:rsid w:val="00506F8A"/>
    <w:rsid w:val="005075E0"/>
    <w:rsid w:val="00511920"/>
    <w:rsid w:val="005158F2"/>
    <w:rsid w:val="00547CB3"/>
    <w:rsid w:val="00554F42"/>
    <w:rsid w:val="00555519"/>
    <w:rsid w:val="00560163"/>
    <w:rsid w:val="00570460"/>
    <w:rsid w:val="00582F16"/>
    <w:rsid w:val="00594721"/>
    <w:rsid w:val="005A08CD"/>
    <w:rsid w:val="005A2512"/>
    <w:rsid w:val="005A735B"/>
    <w:rsid w:val="005B0A16"/>
    <w:rsid w:val="005B46FB"/>
    <w:rsid w:val="005C17E9"/>
    <w:rsid w:val="005C1ADA"/>
    <w:rsid w:val="005C4048"/>
    <w:rsid w:val="005C6AEF"/>
    <w:rsid w:val="005C6BCF"/>
    <w:rsid w:val="005D77DD"/>
    <w:rsid w:val="005E3335"/>
    <w:rsid w:val="005E3983"/>
    <w:rsid w:val="005E3EA7"/>
    <w:rsid w:val="005E4D03"/>
    <w:rsid w:val="005F6446"/>
    <w:rsid w:val="005F6B21"/>
    <w:rsid w:val="006017D7"/>
    <w:rsid w:val="0060223C"/>
    <w:rsid w:val="006076B2"/>
    <w:rsid w:val="00611D99"/>
    <w:rsid w:val="00614EBB"/>
    <w:rsid w:val="00624392"/>
    <w:rsid w:val="00625F71"/>
    <w:rsid w:val="006276D3"/>
    <w:rsid w:val="0063194E"/>
    <w:rsid w:val="006327D8"/>
    <w:rsid w:val="00633C34"/>
    <w:rsid w:val="00651B0F"/>
    <w:rsid w:val="00656698"/>
    <w:rsid w:val="00657E45"/>
    <w:rsid w:val="00664522"/>
    <w:rsid w:val="006703EF"/>
    <w:rsid w:val="0067099D"/>
    <w:rsid w:val="00683430"/>
    <w:rsid w:val="00697903"/>
    <w:rsid w:val="006A072A"/>
    <w:rsid w:val="006A1DEE"/>
    <w:rsid w:val="006A2ACC"/>
    <w:rsid w:val="006A58AD"/>
    <w:rsid w:val="006B32A6"/>
    <w:rsid w:val="006B6870"/>
    <w:rsid w:val="006C04DB"/>
    <w:rsid w:val="006C334B"/>
    <w:rsid w:val="006C4768"/>
    <w:rsid w:val="006C642F"/>
    <w:rsid w:val="006C7750"/>
    <w:rsid w:val="006D14FC"/>
    <w:rsid w:val="006D623E"/>
    <w:rsid w:val="006E3E7C"/>
    <w:rsid w:val="006F03B2"/>
    <w:rsid w:val="006F0DF0"/>
    <w:rsid w:val="006F18AF"/>
    <w:rsid w:val="00700686"/>
    <w:rsid w:val="00703708"/>
    <w:rsid w:val="0070745C"/>
    <w:rsid w:val="00713D8C"/>
    <w:rsid w:val="007168F3"/>
    <w:rsid w:val="00723BF8"/>
    <w:rsid w:val="0072422A"/>
    <w:rsid w:val="007265DB"/>
    <w:rsid w:val="00732C40"/>
    <w:rsid w:val="00734D36"/>
    <w:rsid w:val="00734DE4"/>
    <w:rsid w:val="007407D4"/>
    <w:rsid w:val="00746D5B"/>
    <w:rsid w:val="00750D01"/>
    <w:rsid w:val="00751119"/>
    <w:rsid w:val="0076369C"/>
    <w:rsid w:val="00766BBB"/>
    <w:rsid w:val="00766E66"/>
    <w:rsid w:val="00772941"/>
    <w:rsid w:val="007743E2"/>
    <w:rsid w:val="007869C5"/>
    <w:rsid w:val="00792013"/>
    <w:rsid w:val="00792F73"/>
    <w:rsid w:val="0079476F"/>
    <w:rsid w:val="007A0542"/>
    <w:rsid w:val="007A06D1"/>
    <w:rsid w:val="007A0FDB"/>
    <w:rsid w:val="007A2183"/>
    <w:rsid w:val="007A6110"/>
    <w:rsid w:val="007C3733"/>
    <w:rsid w:val="007C400F"/>
    <w:rsid w:val="007C61DC"/>
    <w:rsid w:val="007D7EE9"/>
    <w:rsid w:val="007E6D4F"/>
    <w:rsid w:val="0080685B"/>
    <w:rsid w:val="0081363F"/>
    <w:rsid w:val="0081452B"/>
    <w:rsid w:val="00847FC7"/>
    <w:rsid w:val="00850617"/>
    <w:rsid w:val="00851C44"/>
    <w:rsid w:val="00855256"/>
    <w:rsid w:val="00856B8A"/>
    <w:rsid w:val="00863C67"/>
    <w:rsid w:val="00864B63"/>
    <w:rsid w:val="0089487D"/>
    <w:rsid w:val="008968B0"/>
    <w:rsid w:val="008A37E1"/>
    <w:rsid w:val="008A3B1B"/>
    <w:rsid w:val="008A5B16"/>
    <w:rsid w:val="008A61A9"/>
    <w:rsid w:val="008B3276"/>
    <w:rsid w:val="008B79D2"/>
    <w:rsid w:val="008C6965"/>
    <w:rsid w:val="008D66DC"/>
    <w:rsid w:val="008E47B4"/>
    <w:rsid w:val="008E7BBB"/>
    <w:rsid w:val="008F1C37"/>
    <w:rsid w:val="008F4143"/>
    <w:rsid w:val="008F4805"/>
    <w:rsid w:val="008F6F3C"/>
    <w:rsid w:val="00900FA6"/>
    <w:rsid w:val="00905F56"/>
    <w:rsid w:val="00913D91"/>
    <w:rsid w:val="009232B9"/>
    <w:rsid w:val="009261A6"/>
    <w:rsid w:val="009304B9"/>
    <w:rsid w:val="009329BD"/>
    <w:rsid w:val="00934973"/>
    <w:rsid w:val="00935CE2"/>
    <w:rsid w:val="00937546"/>
    <w:rsid w:val="00941B94"/>
    <w:rsid w:val="00941F65"/>
    <w:rsid w:val="00944D2E"/>
    <w:rsid w:val="00946D11"/>
    <w:rsid w:val="00947822"/>
    <w:rsid w:val="009524E1"/>
    <w:rsid w:val="0095391C"/>
    <w:rsid w:val="00956142"/>
    <w:rsid w:val="009640CC"/>
    <w:rsid w:val="009743AD"/>
    <w:rsid w:val="00974A55"/>
    <w:rsid w:val="0097789B"/>
    <w:rsid w:val="009848B1"/>
    <w:rsid w:val="009854E1"/>
    <w:rsid w:val="00985E1C"/>
    <w:rsid w:val="00995B4A"/>
    <w:rsid w:val="009A7217"/>
    <w:rsid w:val="009D3139"/>
    <w:rsid w:val="009D327E"/>
    <w:rsid w:val="009D736F"/>
    <w:rsid w:val="009E23EE"/>
    <w:rsid w:val="009E29CE"/>
    <w:rsid w:val="009F3A11"/>
    <w:rsid w:val="009F40C5"/>
    <w:rsid w:val="009F5D68"/>
    <w:rsid w:val="00A23C60"/>
    <w:rsid w:val="00A254C9"/>
    <w:rsid w:val="00A3104F"/>
    <w:rsid w:val="00A319F3"/>
    <w:rsid w:val="00A32A88"/>
    <w:rsid w:val="00A37275"/>
    <w:rsid w:val="00A52C0B"/>
    <w:rsid w:val="00A63E1F"/>
    <w:rsid w:val="00A677A2"/>
    <w:rsid w:val="00A67A9B"/>
    <w:rsid w:val="00A8314A"/>
    <w:rsid w:val="00A86318"/>
    <w:rsid w:val="00A92A0E"/>
    <w:rsid w:val="00A94E9C"/>
    <w:rsid w:val="00A95DC9"/>
    <w:rsid w:val="00AB03A3"/>
    <w:rsid w:val="00AB293B"/>
    <w:rsid w:val="00AB5E14"/>
    <w:rsid w:val="00AC125C"/>
    <w:rsid w:val="00AC7855"/>
    <w:rsid w:val="00AC7D37"/>
    <w:rsid w:val="00AD0CD1"/>
    <w:rsid w:val="00AD2B21"/>
    <w:rsid w:val="00AD5068"/>
    <w:rsid w:val="00AD51F3"/>
    <w:rsid w:val="00AD5C22"/>
    <w:rsid w:val="00AF0324"/>
    <w:rsid w:val="00AF3EF9"/>
    <w:rsid w:val="00B03522"/>
    <w:rsid w:val="00B2045C"/>
    <w:rsid w:val="00B221D4"/>
    <w:rsid w:val="00B22402"/>
    <w:rsid w:val="00B22B78"/>
    <w:rsid w:val="00B25055"/>
    <w:rsid w:val="00B30F8C"/>
    <w:rsid w:val="00B32483"/>
    <w:rsid w:val="00B36D7D"/>
    <w:rsid w:val="00B4306F"/>
    <w:rsid w:val="00B45757"/>
    <w:rsid w:val="00B515FC"/>
    <w:rsid w:val="00B55A45"/>
    <w:rsid w:val="00B6179E"/>
    <w:rsid w:val="00B61964"/>
    <w:rsid w:val="00B668B6"/>
    <w:rsid w:val="00B71D4F"/>
    <w:rsid w:val="00B74C8D"/>
    <w:rsid w:val="00B8684D"/>
    <w:rsid w:val="00B904CC"/>
    <w:rsid w:val="00B95A2B"/>
    <w:rsid w:val="00BA5A6A"/>
    <w:rsid w:val="00BB385B"/>
    <w:rsid w:val="00BB4215"/>
    <w:rsid w:val="00BB7670"/>
    <w:rsid w:val="00BC1880"/>
    <w:rsid w:val="00BD0DB4"/>
    <w:rsid w:val="00BE0750"/>
    <w:rsid w:val="00BE5172"/>
    <w:rsid w:val="00BE76E5"/>
    <w:rsid w:val="00BE7B00"/>
    <w:rsid w:val="00BF098B"/>
    <w:rsid w:val="00C050EB"/>
    <w:rsid w:val="00C06CAC"/>
    <w:rsid w:val="00C140E5"/>
    <w:rsid w:val="00C20279"/>
    <w:rsid w:val="00C224A0"/>
    <w:rsid w:val="00C25832"/>
    <w:rsid w:val="00C267B6"/>
    <w:rsid w:val="00C4226D"/>
    <w:rsid w:val="00C42940"/>
    <w:rsid w:val="00C47AA8"/>
    <w:rsid w:val="00C503C3"/>
    <w:rsid w:val="00C55245"/>
    <w:rsid w:val="00C55D00"/>
    <w:rsid w:val="00C57DA0"/>
    <w:rsid w:val="00C624FC"/>
    <w:rsid w:val="00C72243"/>
    <w:rsid w:val="00C7644B"/>
    <w:rsid w:val="00C76459"/>
    <w:rsid w:val="00C845F8"/>
    <w:rsid w:val="00C95FB3"/>
    <w:rsid w:val="00CA27F0"/>
    <w:rsid w:val="00CA3374"/>
    <w:rsid w:val="00CA3D33"/>
    <w:rsid w:val="00CA3D3E"/>
    <w:rsid w:val="00CA5BA8"/>
    <w:rsid w:val="00CB77FE"/>
    <w:rsid w:val="00CD2978"/>
    <w:rsid w:val="00CD2C74"/>
    <w:rsid w:val="00CF06D3"/>
    <w:rsid w:val="00CF6EB0"/>
    <w:rsid w:val="00CF72AE"/>
    <w:rsid w:val="00CF77B7"/>
    <w:rsid w:val="00D066BB"/>
    <w:rsid w:val="00D10C0B"/>
    <w:rsid w:val="00D1148A"/>
    <w:rsid w:val="00D11FAA"/>
    <w:rsid w:val="00D3100B"/>
    <w:rsid w:val="00D51868"/>
    <w:rsid w:val="00D524BB"/>
    <w:rsid w:val="00D52ECC"/>
    <w:rsid w:val="00D57562"/>
    <w:rsid w:val="00D57DEE"/>
    <w:rsid w:val="00D65504"/>
    <w:rsid w:val="00D71EE1"/>
    <w:rsid w:val="00D80ED6"/>
    <w:rsid w:val="00D833BB"/>
    <w:rsid w:val="00D869BC"/>
    <w:rsid w:val="00D90602"/>
    <w:rsid w:val="00D92239"/>
    <w:rsid w:val="00DA2173"/>
    <w:rsid w:val="00DA4CA3"/>
    <w:rsid w:val="00DB314D"/>
    <w:rsid w:val="00DB38A3"/>
    <w:rsid w:val="00DB4F88"/>
    <w:rsid w:val="00DB675B"/>
    <w:rsid w:val="00DB67D8"/>
    <w:rsid w:val="00DC2778"/>
    <w:rsid w:val="00DC4273"/>
    <w:rsid w:val="00DC4593"/>
    <w:rsid w:val="00DD2E99"/>
    <w:rsid w:val="00DE4E86"/>
    <w:rsid w:val="00DE574F"/>
    <w:rsid w:val="00DF1F87"/>
    <w:rsid w:val="00E1198C"/>
    <w:rsid w:val="00E20600"/>
    <w:rsid w:val="00E23F44"/>
    <w:rsid w:val="00E256A0"/>
    <w:rsid w:val="00E540CB"/>
    <w:rsid w:val="00E61DF5"/>
    <w:rsid w:val="00E66794"/>
    <w:rsid w:val="00E71946"/>
    <w:rsid w:val="00E74AF8"/>
    <w:rsid w:val="00E76AB8"/>
    <w:rsid w:val="00E775FE"/>
    <w:rsid w:val="00E82A15"/>
    <w:rsid w:val="00E83152"/>
    <w:rsid w:val="00E92180"/>
    <w:rsid w:val="00E92A3E"/>
    <w:rsid w:val="00E948FC"/>
    <w:rsid w:val="00EA7B60"/>
    <w:rsid w:val="00EB220E"/>
    <w:rsid w:val="00ED1BA9"/>
    <w:rsid w:val="00ED2697"/>
    <w:rsid w:val="00ED4E1C"/>
    <w:rsid w:val="00ED6AA1"/>
    <w:rsid w:val="00EE17AE"/>
    <w:rsid w:val="00EE4823"/>
    <w:rsid w:val="00EF01CD"/>
    <w:rsid w:val="00EF7DC9"/>
    <w:rsid w:val="00F076E2"/>
    <w:rsid w:val="00F10BB9"/>
    <w:rsid w:val="00F16F9D"/>
    <w:rsid w:val="00F33FD1"/>
    <w:rsid w:val="00F3554C"/>
    <w:rsid w:val="00F403DC"/>
    <w:rsid w:val="00F45045"/>
    <w:rsid w:val="00F46024"/>
    <w:rsid w:val="00F55223"/>
    <w:rsid w:val="00F60436"/>
    <w:rsid w:val="00F71744"/>
    <w:rsid w:val="00F76339"/>
    <w:rsid w:val="00F77AB1"/>
    <w:rsid w:val="00F80FBE"/>
    <w:rsid w:val="00F8173E"/>
    <w:rsid w:val="00F85F6E"/>
    <w:rsid w:val="00FA0524"/>
    <w:rsid w:val="00FA1FF7"/>
    <w:rsid w:val="00FA6E21"/>
    <w:rsid w:val="00FD3B92"/>
    <w:rsid w:val="00FE621A"/>
    <w:rsid w:val="00FF5521"/>
    <w:rsid w:val="00FF75DD"/>
    <w:rsid w:val="00FF773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nl-NL"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footnote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CA5BA8"/>
    <w:rPr>
      <w:rFonts w:ascii="Verdana" w:hAnsi="Verdana"/>
      <w:sz w:val="18"/>
      <w:szCs w:val="24"/>
    </w:rPr>
  </w:style>
  <w:style w:type="paragraph" w:styleId="Kop1">
    <w:name w:val="heading 1"/>
    <w:basedOn w:val="Standaard"/>
    <w:next w:val="Standaard"/>
    <w:qFormat/>
    <w:rsid w:val="00E66794"/>
    <w:pPr>
      <w:keepNext/>
      <w:spacing w:before="240" w:after="60"/>
      <w:outlineLvl w:val="0"/>
    </w:pPr>
    <w:rPr>
      <w:rFonts w:ascii="Arial" w:eastAsia="MS Mincho" w:hAnsi="Arial" w:cs="Arial"/>
      <w:b/>
      <w:bCs/>
      <w:kern w:val="32"/>
      <w:sz w:val="32"/>
      <w:szCs w:val="3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473D2C"/>
    <w:pPr>
      <w:ind w:left="720"/>
      <w:contextualSpacing/>
    </w:pPr>
  </w:style>
  <w:style w:type="paragraph" w:styleId="Ballontekst">
    <w:name w:val="Balloon Text"/>
    <w:basedOn w:val="Standaard"/>
    <w:link w:val="BallontekstChar"/>
    <w:rsid w:val="00C42940"/>
    <w:rPr>
      <w:rFonts w:ascii="Tahoma" w:hAnsi="Tahoma" w:cs="Tahoma"/>
      <w:sz w:val="16"/>
      <w:szCs w:val="16"/>
    </w:rPr>
  </w:style>
  <w:style w:type="character" w:customStyle="1" w:styleId="BallontekstChar">
    <w:name w:val="Ballontekst Char"/>
    <w:basedOn w:val="Standaardalinea-lettertype"/>
    <w:link w:val="Ballontekst"/>
    <w:rsid w:val="00C42940"/>
    <w:rPr>
      <w:rFonts w:ascii="Tahoma" w:hAnsi="Tahoma" w:cs="Tahoma"/>
      <w:sz w:val="16"/>
      <w:szCs w:val="16"/>
    </w:rPr>
  </w:style>
  <w:style w:type="character" w:styleId="Verwijzingopmerking">
    <w:name w:val="annotation reference"/>
    <w:basedOn w:val="Standaardalinea-lettertype"/>
    <w:rsid w:val="002A209C"/>
    <w:rPr>
      <w:sz w:val="16"/>
      <w:szCs w:val="16"/>
    </w:rPr>
  </w:style>
  <w:style w:type="paragraph" w:styleId="Tekstopmerking">
    <w:name w:val="annotation text"/>
    <w:basedOn w:val="Standaard"/>
    <w:link w:val="TekstopmerkingChar"/>
    <w:rsid w:val="002A209C"/>
    <w:rPr>
      <w:sz w:val="20"/>
      <w:szCs w:val="20"/>
    </w:rPr>
  </w:style>
  <w:style w:type="character" w:customStyle="1" w:styleId="TekstopmerkingChar">
    <w:name w:val="Tekst opmerking Char"/>
    <w:basedOn w:val="Standaardalinea-lettertype"/>
    <w:link w:val="Tekstopmerking"/>
    <w:rsid w:val="002A209C"/>
    <w:rPr>
      <w:rFonts w:ascii="Verdana" w:hAnsi="Verdana"/>
    </w:rPr>
  </w:style>
  <w:style w:type="paragraph" w:styleId="Onderwerpvanopmerking">
    <w:name w:val="annotation subject"/>
    <w:basedOn w:val="Tekstopmerking"/>
    <w:next w:val="Tekstopmerking"/>
    <w:link w:val="OnderwerpvanopmerkingChar"/>
    <w:rsid w:val="002A209C"/>
    <w:rPr>
      <w:b/>
      <w:bCs/>
    </w:rPr>
  </w:style>
  <w:style w:type="character" w:customStyle="1" w:styleId="OnderwerpvanopmerkingChar">
    <w:name w:val="Onderwerp van opmerking Char"/>
    <w:basedOn w:val="TekstopmerkingChar"/>
    <w:link w:val="Onderwerpvanopmerking"/>
    <w:rsid w:val="002A209C"/>
    <w:rPr>
      <w:rFonts w:ascii="Verdana" w:hAnsi="Verdana"/>
      <w:b/>
      <w:bCs/>
    </w:rPr>
  </w:style>
  <w:style w:type="paragraph" w:styleId="Voetnoottekst">
    <w:name w:val="footnote text"/>
    <w:basedOn w:val="Standaard"/>
    <w:link w:val="VoetnoottekstChar"/>
    <w:rsid w:val="0003349A"/>
    <w:rPr>
      <w:sz w:val="20"/>
      <w:szCs w:val="20"/>
    </w:rPr>
  </w:style>
  <w:style w:type="character" w:customStyle="1" w:styleId="VoetnoottekstChar">
    <w:name w:val="Voetnoottekst Char"/>
    <w:basedOn w:val="Standaardalinea-lettertype"/>
    <w:link w:val="Voetnoottekst"/>
    <w:rsid w:val="0003349A"/>
    <w:rPr>
      <w:rFonts w:ascii="Verdana" w:hAnsi="Verdana"/>
    </w:rPr>
  </w:style>
  <w:style w:type="character" w:styleId="Voetnootmarkering">
    <w:name w:val="footnote reference"/>
    <w:basedOn w:val="Standaardalinea-lettertype"/>
    <w:uiPriority w:val="99"/>
    <w:rsid w:val="0003349A"/>
    <w:rPr>
      <w:vertAlign w:val="superscript"/>
    </w:rPr>
  </w:style>
  <w:style w:type="paragraph" w:styleId="Geenafstand">
    <w:name w:val="No Spacing"/>
    <w:uiPriority w:val="1"/>
    <w:qFormat/>
    <w:rsid w:val="000F6E39"/>
    <w:rPr>
      <w:rFonts w:asciiTheme="minorHAnsi" w:eastAsiaTheme="minorHAnsi" w:hAnsiTheme="minorHAnsi" w:cstheme="minorBidi"/>
      <w:sz w:val="22"/>
      <w:szCs w:val="22"/>
      <w:lang w:eastAsia="en-US"/>
    </w:rPr>
  </w:style>
  <w:style w:type="paragraph" w:styleId="Koptekst">
    <w:name w:val="header"/>
    <w:basedOn w:val="Standaard"/>
    <w:link w:val="KoptekstChar"/>
    <w:unhideWhenUsed/>
    <w:rsid w:val="00FF5521"/>
    <w:pPr>
      <w:tabs>
        <w:tab w:val="center" w:pos="4536"/>
        <w:tab w:val="right" w:pos="9072"/>
      </w:tabs>
    </w:pPr>
  </w:style>
  <w:style w:type="character" w:customStyle="1" w:styleId="KoptekstChar">
    <w:name w:val="Koptekst Char"/>
    <w:basedOn w:val="Standaardalinea-lettertype"/>
    <w:link w:val="Koptekst"/>
    <w:rsid w:val="00FF5521"/>
    <w:rPr>
      <w:rFonts w:ascii="Verdana" w:hAnsi="Verdana"/>
      <w:sz w:val="18"/>
      <w:szCs w:val="24"/>
    </w:rPr>
  </w:style>
  <w:style w:type="paragraph" w:styleId="Voettekst">
    <w:name w:val="footer"/>
    <w:basedOn w:val="Standaard"/>
    <w:link w:val="VoettekstChar"/>
    <w:uiPriority w:val="99"/>
    <w:unhideWhenUsed/>
    <w:rsid w:val="00FF5521"/>
    <w:pPr>
      <w:tabs>
        <w:tab w:val="center" w:pos="4536"/>
        <w:tab w:val="right" w:pos="9072"/>
      </w:tabs>
    </w:pPr>
  </w:style>
  <w:style w:type="character" w:customStyle="1" w:styleId="VoettekstChar">
    <w:name w:val="Voettekst Char"/>
    <w:basedOn w:val="Standaardalinea-lettertype"/>
    <w:link w:val="Voettekst"/>
    <w:uiPriority w:val="99"/>
    <w:rsid w:val="00FF5521"/>
    <w:rPr>
      <w:rFonts w:ascii="Verdana" w:hAnsi="Verdana"/>
      <w:sz w:val="18"/>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footnote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CA5BA8"/>
    <w:rPr>
      <w:rFonts w:ascii="Verdana" w:hAnsi="Verdana"/>
      <w:sz w:val="18"/>
      <w:szCs w:val="24"/>
    </w:rPr>
  </w:style>
  <w:style w:type="paragraph" w:styleId="Kop1">
    <w:name w:val="heading 1"/>
    <w:basedOn w:val="Standaard"/>
    <w:next w:val="Standaard"/>
    <w:qFormat/>
    <w:rsid w:val="00E66794"/>
    <w:pPr>
      <w:keepNext/>
      <w:spacing w:before="240" w:after="60"/>
      <w:outlineLvl w:val="0"/>
    </w:pPr>
    <w:rPr>
      <w:rFonts w:ascii="Arial" w:eastAsia="MS Mincho" w:hAnsi="Arial" w:cs="Arial"/>
      <w:b/>
      <w:bCs/>
      <w:kern w:val="32"/>
      <w:sz w:val="32"/>
      <w:szCs w:val="3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473D2C"/>
    <w:pPr>
      <w:ind w:left="720"/>
      <w:contextualSpacing/>
    </w:pPr>
  </w:style>
  <w:style w:type="paragraph" w:styleId="Ballontekst">
    <w:name w:val="Balloon Text"/>
    <w:basedOn w:val="Standaard"/>
    <w:link w:val="BallontekstChar"/>
    <w:rsid w:val="00C42940"/>
    <w:rPr>
      <w:rFonts w:ascii="Tahoma" w:hAnsi="Tahoma" w:cs="Tahoma"/>
      <w:sz w:val="16"/>
      <w:szCs w:val="16"/>
    </w:rPr>
  </w:style>
  <w:style w:type="character" w:customStyle="1" w:styleId="BallontekstChar">
    <w:name w:val="Ballontekst Char"/>
    <w:basedOn w:val="Standaardalinea-lettertype"/>
    <w:link w:val="Ballontekst"/>
    <w:rsid w:val="00C42940"/>
    <w:rPr>
      <w:rFonts w:ascii="Tahoma" w:hAnsi="Tahoma" w:cs="Tahoma"/>
      <w:sz w:val="16"/>
      <w:szCs w:val="16"/>
    </w:rPr>
  </w:style>
  <w:style w:type="character" w:styleId="Verwijzingopmerking">
    <w:name w:val="annotation reference"/>
    <w:basedOn w:val="Standaardalinea-lettertype"/>
    <w:rsid w:val="002A209C"/>
    <w:rPr>
      <w:sz w:val="16"/>
      <w:szCs w:val="16"/>
    </w:rPr>
  </w:style>
  <w:style w:type="paragraph" w:styleId="Tekstopmerking">
    <w:name w:val="annotation text"/>
    <w:basedOn w:val="Standaard"/>
    <w:link w:val="TekstopmerkingChar"/>
    <w:rsid w:val="002A209C"/>
    <w:rPr>
      <w:sz w:val="20"/>
      <w:szCs w:val="20"/>
    </w:rPr>
  </w:style>
  <w:style w:type="character" w:customStyle="1" w:styleId="TekstopmerkingChar">
    <w:name w:val="Tekst opmerking Char"/>
    <w:basedOn w:val="Standaardalinea-lettertype"/>
    <w:link w:val="Tekstopmerking"/>
    <w:rsid w:val="002A209C"/>
    <w:rPr>
      <w:rFonts w:ascii="Verdana" w:hAnsi="Verdana"/>
    </w:rPr>
  </w:style>
  <w:style w:type="paragraph" w:styleId="Onderwerpvanopmerking">
    <w:name w:val="annotation subject"/>
    <w:basedOn w:val="Tekstopmerking"/>
    <w:next w:val="Tekstopmerking"/>
    <w:link w:val="OnderwerpvanopmerkingChar"/>
    <w:rsid w:val="002A209C"/>
    <w:rPr>
      <w:b/>
      <w:bCs/>
    </w:rPr>
  </w:style>
  <w:style w:type="character" w:customStyle="1" w:styleId="OnderwerpvanopmerkingChar">
    <w:name w:val="Onderwerp van opmerking Char"/>
    <w:basedOn w:val="TekstopmerkingChar"/>
    <w:link w:val="Onderwerpvanopmerking"/>
    <w:rsid w:val="002A209C"/>
    <w:rPr>
      <w:rFonts w:ascii="Verdana" w:hAnsi="Verdana"/>
      <w:b/>
      <w:bCs/>
    </w:rPr>
  </w:style>
  <w:style w:type="paragraph" w:styleId="Voetnoottekst">
    <w:name w:val="footnote text"/>
    <w:basedOn w:val="Standaard"/>
    <w:link w:val="VoetnoottekstChar"/>
    <w:rsid w:val="0003349A"/>
    <w:rPr>
      <w:sz w:val="20"/>
      <w:szCs w:val="20"/>
    </w:rPr>
  </w:style>
  <w:style w:type="character" w:customStyle="1" w:styleId="VoetnoottekstChar">
    <w:name w:val="Voetnoottekst Char"/>
    <w:basedOn w:val="Standaardalinea-lettertype"/>
    <w:link w:val="Voetnoottekst"/>
    <w:rsid w:val="0003349A"/>
    <w:rPr>
      <w:rFonts w:ascii="Verdana" w:hAnsi="Verdana"/>
    </w:rPr>
  </w:style>
  <w:style w:type="character" w:styleId="Voetnootmarkering">
    <w:name w:val="footnote reference"/>
    <w:basedOn w:val="Standaardalinea-lettertype"/>
    <w:uiPriority w:val="99"/>
    <w:rsid w:val="0003349A"/>
    <w:rPr>
      <w:vertAlign w:val="superscript"/>
    </w:rPr>
  </w:style>
  <w:style w:type="paragraph" w:styleId="Geenafstand">
    <w:name w:val="No Spacing"/>
    <w:uiPriority w:val="1"/>
    <w:qFormat/>
    <w:rsid w:val="000F6E39"/>
    <w:rPr>
      <w:rFonts w:asciiTheme="minorHAnsi" w:eastAsiaTheme="minorHAnsi" w:hAnsiTheme="minorHAnsi" w:cstheme="minorBidi"/>
      <w:sz w:val="22"/>
      <w:szCs w:val="22"/>
      <w:lang w:eastAsia="en-US"/>
    </w:rPr>
  </w:style>
  <w:style w:type="paragraph" w:styleId="Koptekst">
    <w:name w:val="header"/>
    <w:basedOn w:val="Standaard"/>
    <w:link w:val="KoptekstChar"/>
    <w:unhideWhenUsed/>
    <w:rsid w:val="00FF5521"/>
    <w:pPr>
      <w:tabs>
        <w:tab w:val="center" w:pos="4536"/>
        <w:tab w:val="right" w:pos="9072"/>
      </w:tabs>
    </w:pPr>
  </w:style>
  <w:style w:type="character" w:customStyle="1" w:styleId="KoptekstChar">
    <w:name w:val="Koptekst Char"/>
    <w:basedOn w:val="Standaardalinea-lettertype"/>
    <w:link w:val="Koptekst"/>
    <w:rsid w:val="00FF5521"/>
    <w:rPr>
      <w:rFonts w:ascii="Verdana" w:hAnsi="Verdana"/>
      <w:sz w:val="18"/>
      <w:szCs w:val="24"/>
    </w:rPr>
  </w:style>
  <w:style w:type="paragraph" w:styleId="Voettekst">
    <w:name w:val="footer"/>
    <w:basedOn w:val="Standaard"/>
    <w:link w:val="VoettekstChar"/>
    <w:uiPriority w:val="99"/>
    <w:unhideWhenUsed/>
    <w:rsid w:val="00FF5521"/>
    <w:pPr>
      <w:tabs>
        <w:tab w:val="center" w:pos="4536"/>
        <w:tab w:val="right" w:pos="9072"/>
      </w:tabs>
    </w:pPr>
  </w:style>
  <w:style w:type="character" w:customStyle="1" w:styleId="VoettekstChar">
    <w:name w:val="Voettekst Char"/>
    <w:basedOn w:val="Standaardalinea-lettertype"/>
    <w:link w:val="Voettekst"/>
    <w:uiPriority w:val="99"/>
    <w:rsid w:val="00FF5521"/>
    <w:rPr>
      <w:rFonts w:ascii="Verdana" w:hAnsi="Verdana"/>
      <w:sz w:val="18"/>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182124">
      <w:bodyDiv w:val="1"/>
      <w:marLeft w:val="0"/>
      <w:marRight w:val="0"/>
      <w:marTop w:val="0"/>
      <w:marBottom w:val="0"/>
      <w:divBdr>
        <w:top w:val="none" w:sz="0" w:space="0" w:color="auto"/>
        <w:left w:val="none" w:sz="0" w:space="0" w:color="auto"/>
        <w:bottom w:val="none" w:sz="0" w:space="0" w:color="auto"/>
        <w:right w:val="none" w:sz="0" w:space="0" w:color="auto"/>
      </w:divBdr>
    </w:div>
    <w:div w:id="169566012">
      <w:bodyDiv w:val="1"/>
      <w:marLeft w:val="0"/>
      <w:marRight w:val="0"/>
      <w:marTop w:val="0"/>
      <w:marBottom w:val="0"/>
      <w:divBdr>
        <w:top w:val="none" w:sz="0" w:space="0" w:color="auto"/>
        <w:left w:val="none" w:sz="0" w:space="0" w:color="auto"/>
        <w:bottom w:val="none" w:sz="0" w:space="0" w:color="auto"/>
        <w:right w:val="none" w:sz="0" w:space="0" w:color="auto"/>
      </w:divBdr>
    </w:div>
    <w:div w:id="353270414">
      <w:bodyDiv w:val="1"/>
      <w:marLeft w:val="0"/>
      <w:marRight w:val="0"/>
      <w:marTop w:val="0"/>
      <w:marBottom w:val="0"/>
      <w:divBdr>
        <w:top w:val="none" w:sz="0" w:space="0" w:color="auto"/>
        <w:left w:val="none" w:sz="0" w:space="0" w:color="auto"/>
        <w:bottom w:val="none" w:sz="0" w:space="0" w:color="auto"/>
        <w:right w:val="none" w:sz="0" w:space="0" w:color="auto"/>
      </w:divBdr>
    </w:div>
    <w:div w:id="405733485">
      <w:bodyDiv w:val="1"/>
      <w:marLeft w:val="0"/>
      <w:marRight w:val="0"/>
      <w:marTop w:val="0"/>
      <w:marBottom w:val="0"/>
      <w:divBdr>
        <w:top w:val="none" w:sz="0" w:space="0" w:color="auto"/>
        <w:left w:val="none" w:sz="0" w:space="0" w:color="auto"/>
        <w:bottom w:val="none" w:sz="0" w:space="0" w:color="auto"/>
        <w:right w:val="none" w:sz="0" w:space="0" w:color="auto"/>
      </w:divBdr>
    </w:div>
    <w:div w:id="565342683">
      <w:bodyDiv w:val="1"/>
      <w:marLeft w:val="0"/>
      <w:marRight w:val="0"/>
      <w:marTop w:val="0"/>
      <w:marBottom w:val="0"/>
      <w:divBdr>
        <w:top w:val="none" w:sz="0" w:space="0" w:color="auto"/>
        <w:left w:val="none" w:sz="0" w:space="0" w:color="auto"/>
        <w:bottom w:val="none" w:sz="0" w:space="0" w:color="auto"/>
        <w:right w:val="none" w:sz="0" w:space="0" w:color="auto"/>
      </w:divBdr>
    </w:div>
    <w:div w:id="671182431">
      <w:bodyDiv w:val="1"/>
      <w:marLeft w:val="0"/>
      <w:marRight w:val="0"/>
      <w:marTop w:val="0"/>
      <w:marBottom w:val="0"/>
      <w:divBdr>
        <w:top w:val="none" w:sz="0" w:space="0" w:color="auto"/>
        <w:left w:val="none" w:sz="0" w:space="0" w:color="auto"/>
        <w:bottom w:val="none" w:sz="0" w:space="0" w:color="auto"/>
        <w:right w:val="none" w:sz="0" w:space="0" w:color="auto"/>
      </w:divBdr>
    </w:div>
    <w:div w:id="734013869">
      <w:bodyDiv w:val="1"/>
      <w:marLeft w:val="0"/>
      <w:marRight w:val="0"/>
      <w:marTop w:val="0"/>
      <w:marBottom w:val="0"/>
      <w:divBdr>
        <w:top w:val="none" w:sz="0" w:space="0" w:color="auto"/>
        <w:left w:val="none" w:sz="0" w:space="0" w:color="auto"/>
        <w:bottom w:val="none" w:sz="0" w:space="0" w:color="auto"/>
        <w:right w:val="none" w:sz="0" w:space="0" w:color="auto"/>
      </w:divBdr>
    </w:div>
    <w:div w:id="1188450775">
      <w:bodyDiv w:val="1"/>
      <w:marLeft w:val="0"/>
      <w:marRight w:val="0"/>
      <w:marTop w:val="0"/>
      <w:marBottom w:val="0"/>
      <w:divBdr>
        <w:top w:val="none" w:sz="0" w:space="0" w:color="auto"/>
        <w:left w:val="none" w:sz="0" w:space="0" w:color="auto"/>
        <w:bottom w:val="none" w:sz="0" w:space="0" w:color="auto"/>
        <w:right w:val="none" w:sz="0" w:space="0" w:color="auto"/>
      </w:divBdr>
    </w:div>
    <w:div w:id="1331831886">
      <w:bodyDiv w:val="1"/>
      <w:marLeft w:val="0"/>
      <w:marRight w:val="0"/>
      <w:marTop w:val="0"/>
      <w:marBottom w:val="0"/>
      <w:divBdr>
        <w:top w:val="none" w:sz="0" w:space="0" w:color="auto"/>
        <w:left w:val="none" w:sz="0" w:space="0" w:color="auto"/>
        <w:bottom w:val="none" w:sz="0" w:space="0" w:color="auto"/>
        <w:right w:val="none" w:sz="0" w:space="0" w:color="auto"/>
      </w:divBdr>
    </w:div>
    <w:div w:id="1334454464">
      <w:bodyDiv w:val="1"/>
      <w:marLeft w:val="0"/>
      <w:marRight w:val="0"/>
      <w:marTop w:val="0"/>
      <w:marBottom w:val="0"/>
      <w:divBdr>
        <w:top w:val="none" w:sz="0" w:space="0" w:color="auto"/>
        <w:left w:val="none" w:sz="0" w:space="0" w:color="auto"/>
        <w:bottom w:val="none" w:sz="0" w:space="0" w:color="auto"/>
        <w:right w:val="none" w:sz="0" w:space="0" w:color="auto"/>
      </w:divBdr>
    </w:div>
    <w:div w:id="1504777036">
      <w:bodyDiv w:val="1"/>
      <w:marLeft w:val="0"/>
      <w:marRight w:val="0"/>
      <w:marTop w:val="0"/>
      <w:marBottom w:val="0"/>
      <w:divBdr>
        <w:top w:val="none" w:sz="0" w:space="0" w:color="auto"/>
        <w:left w:val="none" w:sz="0" w:space="0" w:color="auto"/>
        <w:bottom w:val="none" w:sz="0" w:space="0" w:color="auto"/>
        <w:right w:val="none" w:sz="0" w:space="0" w:color="auto"/>
      </w:divBdr>
    </w:div>
    <w:div w:id="1505781773">
      <w:bodyDiv w:val="1"/>
      <w:marLeft w:val="0"/>
      <w:marRight w:val="0"/>
      <w:marTop w:val="0"/>
      <w:marBottom w:val="0"/>
      <w:divBdr>
        <w:top w:val="none" w:sz="0" w:space="0" w:color="auto"/>
        <w:left w:val="none" w:sz="0" w:space="0" w:color="auto"/>
        <w:bottom w:val="none" w:sz="0" w:space="0" w:color="auto"/>
        <w:right w:val="none" w:sz="0" w:space="0" w:color="auto"/>
      </w:divBdr>
    </w:div>
    <w:div w:id="1535188137">
      <w:bodyDiv w:val="1"/>
      <w:marLeft w:val="0"/>
      <w:marRight w:val="0"/>
      <w:marTop w:val="0"/>
      <w:marBottom w:val="0"/>
      <w:divBdr>
        <w:top w:val="none" w:sz="0" w:space="0" w:color="auto"/>
        <w:left w:val="none" w:sz="0" w:space="0" w:color="auto"/>
        <w:bottom w:val="none" w:sz="0" w:space="0" w:color="auto"/>
        <w:right w:val="none" w:sz="0" w:space="0" w:color="auto"/>
      </w:divBdr>
    </w:div>
    <w:div w:id="1589197275">
      <w:bodyDiv w:val="1"/>
      <w:marLeft w:val="0"/>
      <w:marRight w:val="0"/>
      <w:marTop w:val="0"/>
      <w:marBottom w:val="0"/>
      <w:divBdr>
        <w:top w:val="none" w:sz="0" w:space="0" w:color="auto"/>
        <w:left w:val="none" w:sz="0" w:space="0" w:color="auto"/>
        <w:bottom w:val="none" w:sz="0" w:space="0" w:color="auto"/>
        <w:right w:val="none" w:sz="0" w:space="0" w:color="auto"/>
      </w:divBdr>
    </w:div>
    <w:div w:id="1595550906">
      <w:bodyDiv w:val="1"/>
      <w:marLeft w:val="0"/>
      <w:marRight w:val="0"/>
      <w:marTop w:val="0"/>
      <w:marBottom w:val="0"/>
      <w:divBdr>
        <w:top w:val="none" w:sz="0" w:space="0" w:color="auto"/>
        <w:left w:val="none" w:sz="0" w:space="0" w:color="auto"/>
        <w:bottom w:val="none" w:sz="0" w:space="0" w:color="auto"/>
        <w:right w:val="none" w:sz="0" w:space="0" w:color="auto"/>
      </w:divBdr>
    </w:div>
    <w:div w:id="1679843598">
      <w:bodyDiv w:val="1"/>
      <w:marLeft w:val="0"/>
      <w:marRight w:val="0"/>
      <w:marTop w:val="0"/>
      <w:marBottom w:val="0"/>
      <w:divBdr>
        <w:top w:val="none" w:sz="0" w:space="0" w:color="auto"/>
        <w:left w:val="none" w:sz="0" w:space="0" w:color="auto"/>
        <w:bottom w:val="none" w:sz="0" w:space="0" w:color="auto"/>
        <w:right w:val="none" w:sz="0" w:space="0" w:color="auto"/>
      </w:divBdr>
    </w:div>
    <w:div w:id="1716852573">
      <w:bodyDiv w:val="1"/>
      <w:marLeft w:val="0"/>
      <w:marRight w:val="0"/>
      <w:marTop w:val="0"/>
      <w:marBottom w:val="0"/>
      <w:divBdr>
        <w:top w:val="none" w:sz="0" w:space="0" w:color="auto"/>
        <w:left w:val="none" w:sz="0" w:space="0" w:color="auto"/>
        <w:bottom w:val="none" w:sz="0" w:space="0" w:color="auto"/>
        <w:right w:val="none" w:sz="0" w:space="0" w:color="auto"/>
      </w:divBdr>
    </w:div>
    <w:div w:id="1736277397">
      <w:bodyDiv w:val="1"/>
      <w:marLeft w:val="0"/>
      <w:marRight w:val="0"/>
      <w:marTop w:val="0"/>
      <w:marBottom w:val="0"/>
      <w:divBdr>
        <w:top w:val="none" w:sz="0" w:space="0" w:color="auto"/>
        <w:left w:val="none" w:sz="0" w:space="0" w:color="auto"/>
        <w:bottom w:val="none" w:sz="0" w:space="0" w:color="auto"/>
        <w:right w:val="none" w:sz="0" w:space="0" w:color="auto"/>
      </w:divBdr>
    </w:div>
    <w:div w:id="1883325661">
      <w:bodyDiv w:val="1"/>
      <w:marLeft w:val="0"/>
      <w:marRight w:val="0"/>
      <w:marTop w:val="0"/>
      <w:marBottom w:val="0"/>
      <w:divBdr>
        <w:top w:val="none" w:sz="0" w:space="0" w:color="auto"/>
        <w:left w:val="none" w:sz="0" w:space="0" w:color="auto"/>
        <w:bottom w:val="none" w:sz="0" w:space="0" w:color="auto"/>
        <w:right w:val="none" w:sz="0" w:space="0" w:color="auto"/>
      </w:divBdr>
    </w:div>
    <w:div w:id="1981109263">
      <w:bodyDiv w:val="1"/>
      <w:marLeft w:val="0"/>
      <w:marRight w:val="0"/>
      <w:marTop w:val="0"/>
      <w:marBottom w:val="0"/>
      <w:divBdr>
        <w:top w:val="none" w:sz="0" w:space="0" w:color="auto"/>
        <w:left w:val="none" w:sz="0" w:space="0" w:color="auto"/>
        <w:bottom w:val="none" w:sz="0" w:space="0" w:color="auto"/>
        <w:right w:val="none" w:sz="0" w:space="0" w:color="auto"/>
      </w:divBdr>
    </w:div>
    <w:div w:id="20522678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styles" Target="styles.xml" Id="rId3" /><Relationship Type="http://schemas.openxmlformats.org/officeDocument/2006/relationships/footnotes" Target="footnotes.xml" Id="rId7" /><Relationship Type="http://schemas.microsoft.com/office/2011/relationships/people" Target="people.xml" Id="rId12" /><Relationship Type="http://schemas.openxmlformats.org/officeDocument/2006/relationships/numbering" Target="numbering.xml" Id="rId2" /><Relationship Type="http://schemas.openxmlformats.org/officeDocument/2006/relationships/webSettings" Target="webSettings.xml" Id="rId6" /><Relationship Type="http://schemas.openxmlformats.org/officeDocument/2006/relationships/theme" Target="theme/theme1.xml" Id="rId11" /><Relationship Type="http://schemas.openxmlformats.org/officeDocument/2006/relationships/settings" Target="settings.xml" Id="rId5" /><Relationship Type="http://schemas.openxmlformats.org/officeDocument/2006/relationships/fontTable" Target="fontTable.xml" Id="rId10" /><Relationship Type="http://schemas.microsoft.com/office/2007/relationships/stylesWithEffects" Target="stylesWithEffects.xml" Id="rId4" /><Relationship Type="http://schemas.openxmlformats.org/officeDocument/2006/relationships/footer" Target="footer1.xml" Id="rId9"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10</ap:Pages>
  <ap:Words>5412</ap:Words>
  <ap:Characters>29766</ap:Characters>
  <ap:DocSecurity>4</ap:DocSecurity>
  <ap:Lines>248</ap:Lines>
  <ap:Paragraphs>70</ap:Paragraphs>
  <ap:ScaleCrop>false</ap:ScaleCrop>
  <ap:HeadingPairs>
    <vt:vector baseType="variant" size="2">
      <vt:variant>
        <vt:lpstr>Titel</vt:lpstr>
      </vt:variant>
      <vt:variant>
        <vt:i4>1</vt:i4>
      </vt:variant>
    </vt:vector>
  </ap:HeadingPairs>
  <ap:TitlesOfParts>
    <vt:vector baseType="lpstr" size="1">
      <vt:lpstr>Geannoteerde agenda van de bijeenkomst van het</vt:lpstr>
    </vt:vector>
  </ap:TitlesOfParts>
  <ap:LinksUpToDate>false</ap:LinksUpToDate>
  <ap:CharactersWithSpaces>35108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2015-08-27T14:48:00.0000000Z</lastPrinted>
  <dcterms:created xsi:type="dcterms:W3CDTF">2015-08-27T15:52:00.0000000Z</dcterms:created>
  <dcterms:modified xsi:type="dcterms:W3CDTF">2015-08-27T15:52:00.0000000Z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0x01010078A37313721FFB4AA64FCED0E20F7938</vt:lpwstr>
  </property>
</Properties>
</file>