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787" w:rsidP="00103E10" w:rsidRDefault="00BA7787">
      <w:pPr>
        <w:rPr>
          <w:rFonts w:ascii="Verdana" w:hAnsi="Verdana"/>
          <w:color w:val="1F497D"/>
          <w:sz w:val="18"/>
          <w:szCs w:val="18"/>
        </w:rPr>
      </w:pPr>
    </w:p>
    <w:p w:rsidR="00352804" w:rsidP="00103E10" w:rsidRDefault="00352804">
      <w:pPr>
        <w:rPr>
          <w:rFonts w:ascii="Verdana" w:hAnsi="Verdana"/>
          <w:sz w:val="40"/>
          <w:szCs w:val="40"/>
        </w:rPr>
      </w:pPr>
    </w:p>
    <w:p w:rsidRPr="002551C0" w:rsidR="00BA7787" w:rsidP="00103E10" w:rsidRDefault="00352804">
      <w:pPr>
        <w:rPr>
          <w:rFonts w:ascii="Verdana" w:hAnsi="Verdana"/>
          <w:color w:val="1F497D"/>
          <w:sz w:val="40"/>
          <w:szCs w:val="40"/>
        </w:rPr>
      </w:pPr>
      <w:r>
        <w:rPr>
          <w:rFonts w:ascii="Verdana" w:hAnsi="Verdana"/>
          <w:sz w:val="40"/>
          <w:szCs w:val="40"/>
        </w:rPr>
        <w:t>V</w:t>
      </w:r>
      <w:r w:rsidRPr="002551C0" w:rsidR="002551C0">
        <w:rPr>
          <w:rFonts w:ascii="Verdana" w:hAnsi="Verdana"/>
          <w:sz w:val="40"/>
          <w:szCs w:val="40"/>
        </w:rPr>
        <w:t>isienotitie</w:t>
      </w:r>
    </w:p>
    <w:p w:rsidR="00743538" w:rsidP="0037600F" w:rsidRDefault="0037600F">
      <w:pPr>
        <w:rPr>
          <w:rFonts w:ascii="Verdana" w:hAnsi="Verdana"/>
          <w:bCs/>
          <w:i/>
          <w:sz w:val="18"/>
          <w:szCs w:val="18"/>
        </w:rPr>
      </w:pPr>
      <w:r w:rsidRPr="00743538">
        <w:rPr>
          <w:rFonts w:ascii="Verdana" w:hAnsi="Verdana"/>
          <w:i/>
          <w:sz w:val="18"/>
          <w:szCs w:val="18"/>
        </w:rPr>
        <w:t>ten behoeve van het r</w:t>
      </w:r>
      <w:r w:rsidRPr="00743538" w:rsidR="009023DF">
        <w:rPr>
          <w:rFonts w:ascii="Verdana" w:hAnsi="Verdana"/>
          <w:i/>
          <w:sz w:val="18"/>
          <w:szCs w:val="18"/>
        </w:rPr>
        <w:t xml:space="preserve">ondetafelgesprek </w:t>
      </w:r>
      <w:r w:rsidR="00352804">
        <w:rPr>
          <w:rFonts w:ascii="Verdana" w:hAnsi="Verdana"/>
          <w:i/>
          <w:sz w:val="18"/>
          <w:szCs w:val="18"/>
        </w:rPr>
        <w:t xml:space="preserve">Tweede Kamer </w:t>
      </w:r>
      <w:r w:rsidRPr="00743538" w:rsidR="009023DF">
        <w:rPr>
          <w:rFonts w:ascii="Verdana" w:hAnsi="Verdana"/>
          <w:i/>
          <w:sz w:val="18"/>
          <w:szCs w:val="18"/>
        </w:rPr>
        <w:t>over de nieuwe financieringssystematiek van de kinderopvang</w:t>
      </w:r>
      <w:r w:rsidRPr="00743538">
        <w:rPr>
          <w:rFonts w:ascii="Verdana" w:hAnsi="Verdana"/>
          <w:i/>
          <w:sz w:val="18"/>
          <w:szCs w:val="18"/>
        </w:rPr>
        <w:t xml:space="preserve"> </w:t>
      </w:r>
      <w:r w:rsidRPr="00743538" w:rsidR="009023DF">
        <w:rPr>
          <w:rFonts w:ascii="Verdana" w:hAnsi="Verdana"/>
          <w:i/>
          <w:sz w:val="18"/>
          <w:szCs w:val="18"/>
        </w:rPr>
        <w:t xml:space="preserve">op </w:t>
      </w:r>
      <w:r w:rsidRPr="00743538">
        <w:rPr>
          <w:rFonts w:ascii="Verdana" w:hAnsi="Verdana"/>
          <w:bCs/>
          <w:i/>
          <w:sz w:val="18"/>
          <w:szCs w:val="18"/>
        </w:rPr>
        <w:t>2 september 2015.</w:t>
      </w:r>
    </w:p>
    <w:p w:rsidR="00352804" w:rsidP="0037600F" w:rsidRDefault="00352804">
      <w:pPr>
        <w:rPr>
          <w:rFonts w:ascii="Verdana" w:hAnsi="Verdana"/>
          <w:bCs/>
          <w:i/>
          <w:sz w:val="18"/>
          <w:szCs w:val="18"/>
        </w:rPr>
      </w:pPr>
    </w:p>
    <w:p w:rsidR="00352804" w:rsidP="0037600F" w:rsidRDefault="00352804">
      <w:pPr>
        <w:rPr>
          <w:rFonts w:ascii="Verdana" w:hAnsi="Verdana"/>
          <w:bCs/>
          <w:i/>
          <w:sz w:val="18"/>
          <w:szCs w:val="18"/>
        </w:rPr>
      </w:pPr>
    </w:p>
    <w:p w:rsidR="00352804" w:rsidP="0037600F" w:rsidRDefault="00352804">
      <w:pPr>
        <w:rPr>
          <w:rFonts w:ascii="Verdana" w:hAnsi="Verdana"/>
          <w:bCs/>
          <w:sz w:val="18"/>
          <w:szCs w:val="18"/>
        </w:rPr>
      </w:pPr>
    </w:p>
    <w:p w:rsidR="00743538" w:rsidP="00743538" w:rsidRDefault="00743538">
      <w:pPr>
        <w:rPr>
          <w:rFonts w:ascii="Verdana" w:hAnsi="Verdana"/>
          <w:bCs/>
          <w:sz w:val="18"/>
          <w:szCs w:val="18"/>
        </w:rPr>
      </w:pPr>
      <w:r>
        <w:rPr>
          <w:rFonts w:ascii="Verdana" w:hAnsi="Verdana"/>
          <w:bCs/>
          <w:sz w:val="18"/>
          <w:szCs w:val="18"/>
        </w:rPr>
        <w:t>In de nieuwe systematiek worden kinderopvanginstellingen rechtstreeks bekostigd, waarbij de eigen bijdrage van ouders wordt berekend op basis van hun reeds vastgestelde inkomen.</w:t>
      </w:r>
      <w:r w:rsidRPr="00E50364" w:rsidR="00E50364">
        <w:rPr>
          <w:rFonts w:ascii="Verdana" w:hAnsi="Verdana"/>
          <w:bCs/>
          <w:sz w:val="18"/>
          <w:szCs w:val="18"/>
        </w:rPr>
        <w:t xml:space="preserve"> </w:t>
      </w:r>
      <w:r w:rsidR="00E50364">
        <w:rPr>
          <w:rFonts w:ascii="Verdana" w:hAnsi="Verdana"/>
          <w:bCs/>
          <w:sz w:val="18"/>
          <w:szCs w:val="18"/>
        </w:rPr>
        <w:t>Met de</w:t>
      </w:r>
      <w:r w:rsidR="00094FFC">
        <w:rPr>
          <w:rFonts w:ascii="Verdana" w:hAnsi="Verdana"/>
          <w:bCs/>
          <w:sz w:val="18"/>
          <w:szCs w:val="18"/>
        </w:rPr>
        <w:t>ze</w:t>
      </w:r>
      <w:r w:rsidR="00E50364">
        <w:rPr>
          <w:rFonts w:ascii="Verdana" w:hAnsi="Verdana"/>
          <w:bCs/>
          <w:sz w:val="18"/>
          <w:szCs w:val="18"/>
        </w:rPr>
        <w:t xml:space="preserve"> directe financiering van kinderopvanginstellingen beoogt het kabinet naast eenvoud en zekerheid voor ouders, ook de complexiteit van het stelsel te beperken en het stelsel minder gevoelig te maken voor fouten en fraude.</w:t>
      </w:r>
    </w:p>
    <w:p w:rsidRPr="0086151A" w:rsidR="006073DB" w:rsidP="006073DB" w:rsidRDefault="006073DB">
      <w:pPr>
        <w:rPr>
          <w:rFonts w:ascii="Verdana" w:hAnsi="Verdana"/>
          <w:bCs/>
          <w:i/>
          <w:sz w:val="18"/>
          <w:szCs w:val="18"/>
        </w:rPr>
      </w:pPr>
    </w:p>
    <w:p w:rsidR="00BB77B0" w:rsidP="0037600F" w:rsidRDefault="00BB77B0">
      <w:pPr>
        <w:rPr>
          <w:rFonts w:ascii="Verdana" w:hAnsi="Verdana"/>
          <w:bCs/>
          <w:sz w:val="18"/>
          <w:szCs w:val="18"/>
        </w:rPr>
      </w:pPr>
      <w:r>
        <w:rPr>
          <w:rFonts w:ascii="Verdana" w:hAnsi="Verdana"/>
          <w:bCs/>
          <w:sz w:val="18"/>
          <w:szCs w:val="18"/>
        </w:rPr>
        <w:t>De visie va</w:t>
      </w:r>
      <w:r w:rsidR="003038A3">
        <w:rPr>
          <w:rFonts w:ascii="Verdana" w:hAnsi="Verdana"/>
          <w:bCs/>
          <w:sz w:val="18"/>
          <w:szCs w:val="18"/>
        </w:rPr>
        <w:t xml:space="preserve">n DUO is </w:t>
      </w:r>
      <w:r w:rsidR="000F3553">
        <w:rPr>
          <w:rFonts w:ascii="Verdana" w:hAnsi="Verdana"/>
          <w:bCs/>
          <w:sz w:val="18"/>
          <w:szCs w:val="18"/>
        </w:rPr>
        <w:t xml:space="preserve">dat </w:t>
      </w:r>
      <w:r w:rsidR="00E9221D">
        <w:rPr>
          <w:rFonts w:ascii="Verdana" w:hAnsi="Verdana"/>
          <w:bCs/>
          <w:sz w:val="18"/>
          <w:szCs w:val="18"/>
        </w:rPr>
        <w:t>d</w:t>
      </w:r>
      <w:r w:rsidR="000E0519">
        <w:rPr>
          <w:rFonts w:ascii="Verdana" w:hAnsi="Verdana"/>
          <w:bCs/>
          <w:sz w:val="18"/>
          <w:szCs w:val="18"/>
        </w:rPr>
        <w:t>e beoogde dienstverleni</w:t>
      </w:r>
      <w:r w:rsidR="00352804">
        <w:rPr>
          <w:rFonts w:ascii="Verdana" w:hAnsi="Verdana"/>
          <w:bCs/>
          <w:sz w:val="18"/>
          <w:szCs w:val="18"/>
        </w:rPr>
        <w:t xml:space="preserve">ng in samenhang en samenwerking met (vertegenwoordigers van) ouders en instellingen </w:t>
      </w:r>
      <w:r w:rsidR="000F3553">
        <w:rPr>
          <w:rFonts w:ascii="Verdana" w:hAnsi="Verdana"/>
          <w:bCs/>
          <w:sz w:val="18"/>
          <w:szCs w:val="18"/>
        </w:rPr>
        <w:t>wordt opgezet en neergezet</w:t>
      </w:r>
      <w:r w:rsidR="003A0FD0">
        <w:rPr>
          <w:rFonts w:ascii="Verdana" w:hAnsi="Verdana"/>
          <w:bCs/>
          <w:sz w:val="18"/>
          <w:szCs w:val="18"/>
        </w:rPr>
        <w:t xml:space="preserve"> op basis van de volgende elementen:</w:t>
      </w:r>
    </w:p>
    <w:p w:rsidR="00BB77B0" w:rsidP="0037600F" w:rsidRDefault="00BB77B0">
      <w:pPr>
        <w:rPr>
          <w:rFonts w:ascii="Verdana" w:hAnsi="Verdana"/>
          <w:bCs/>
          <w:sz w:val="18"/>
          <w:szCs w:val="18"/>
        </w:rPr>
      </w:pPr>
    </w:p>
    <w:p w:rsidRPr="0030782C" w:rsidR="0030782C" w:rsidP="0037600F" w:rsidRDefault="000D566C">
      <w:pPr>
        <w:rPr>
          <w:rFonts w:ascii="Verdana" w:hAnsi="Verdana"/>
          <w:bCs/>
          <w:i/>
          <w:sz w:val="18"/>
          <w:szCs w:val="18"/>
        </w:rPr>
      </w:pPr>
      <w:r>
        <w:rPr>
          <w:rFonts w:ascii="Verdana" w:hAnsi="Verdana"/>
          <w:bCs/>
          <w:i/>
          <w:sz w:val="18"/>
          <w:szCs w:val="18"/>
        </w:rPr>
        <w:t>Directe financiering p</w:t>
      </w:r>
      <w:r w:rsidRPr="0030782C" w:rsidR="0030782C">
        <w:rPr>
          <w:rFonts w:ascii="Verdana" w:hAnsi="Verdana"/>
          <w:bCs/>
          <w:i/>
          <w:sz w:val="18"/>
          <w:szCs w:val="18"/>
        </w:rPr>
        <w:t>ast bij DUO</w:t>
      </w:r>
    </w:p>
    <w:p w:rsidR="0030782C" w:rsidP="007A0D32" w:rsidRDefault="00FC1915">
      <w:pPr>
        <w:pStyle w:val="Eindnoottekst"/>
        <w:rPr>
          <w:rFonts w:ascii="Verdana" w:hAnsi="Verdana"/>
          <w:bCs/>
          <w:sz w:val="18"/>
          <w:szCs w:val="18"/>
        </w:rPr>
      </w:pPr>
      <w:r>
        <w:rPr>
          <w:rFonts w:ascii="Verdana" w:hAnsi="Verdana"/>
          <w:bCs/>
          <w:sz w:val="18"/>
          <w:szCs w:val="18"/>
        </w:rPr>
        <w:t>Het aan het kabinetsvoornemen ten grondslag liggende procesmodel vertoont</w:t>
      </w:r>
      <w:r w:rsidR="00F92CEF">
        <w:rPr>
          <w:rFonts w:ascii="Verdana" w:hAnsi="Verdana"/>
          <w:bCs/>
          <w:sz w:val="18"/>
          <w:szCs w:val="18"/>
        </w:rPr>
        <w:t xml:space="preserve">, zonder aan de verschillen </w:t>
      </w:r>
      <w:r w:rsidR="000F3553">
        <w:rPr>
          <w:rFonts w:ascii="Verdana" w:hAnsi="Verdana"/>
          <w:bCs/>
          <w:sz w:val="18"/>
          <w:szCs w:val="18"/>
        </w:rPr>
        <w:t xml:space="preserve">tussen de sectoren </w:t>
      </w:r>
      <w:r w:rsidR="00F92CEF">
        <w:rPr>
          <w:rFonts w:ascii="Verdana" w:hAnsi="Verdana"/>
          <w:bCs/>
          <w:sz w:val="18"/>
          <w:szCs w:val="18"/>
        </w:rPr>
        <w:t>voorbij te willen gaan,</w:t>
      </w:r>
      <w:r>
        <w:rPr>
          <w:rFonts w:ascii="Verdana" w:hAnsi="Verdana"/>
          <w:bCs/>
          <w:sz w:val="18"/>
          <w:szCs w:val="18"/>
        </w:rPr>
        <w:t xml:space="preserve"> een aantal overeenkomsten met de wijze waarop de financiering van het onderwijs door DUO wordt uitgevoerd</w:t>
      </w:r>
      <w:r w:rsidR="00532817">
        <w:rPr>
          <w:rStyle w:val="Eindnootmarkering"/>
          <w:rFonts w:ascii="Verdana" w:hAnsi="Verdana"/>
          <w:bCs/>
          <w:sz w:val="18"/>
          <w:szCs w:val="18"/>
        </w:rPr>
        <w:endnoteReference w:id="1"/>
      </w:r>
      <w:r>
        <w:rPr>
          <w:rFonts w:ascii="Verdana" w:hAnsi="Verdana"/>
          <w:bCs/>
          <w:sz w:val="18"/>
          <w:szCs w:val="18"/>
        </w:rPr>
        <w:t>.</w:t>
      </w:r>
      <w:r w:rsidR="00B076FB">
        <w:rPr>
          <w:rFonts w:ascii="Verdana" w:hAnsi="Verdana"/>
          <w:bCs/>
          <w:sz w:val="18"/>
          <w:szCs w:val="18"/>
        </w:rPr>
        <w:t xml:space="preserve"> </w:t>
      </w:r>
      <w:r w:rsidR="009C1C3D">
        <w:rPr>
          <w:rFonts w:ascii="Verdana" w:hAnsi="Verdana"/>
          <w:bCs/>
          <w:sz w:val="18"/>
          <w:szCs w:val="18"/>
        </w:rPr>
        <w:t>De bekostiging van de onderwijsinstellingen wordt bepaald op basis van de gegevens die door de instellingen worden verstrekt.</w:t>
      </w:r>
      <w:r w:rsidR="003A0FD0">
        <w:rPr>
          <w:rFonts w:ascii="Verdana" w:hAnsi="Verdana"/>
          <w:bCs/>
          <w:sz w:val="18"/>
          <w:szCs w:val="18"/>
        </w:rPr>
        <w:t xml:space="preserve"> Eigen bijdragen van burgers voor deelname aan het onderwijs worden door DUO geïnd. Een studielening of studiefinanciering is afhankelijk van de inkomens van ouders, de woonsituatie en de samenstelling van het gezin.</w:t>
      </w:r>
      <w:r w:rsidR="009C1C3D">
        <w:rPr>
          <w:rFonts w:ascii="Verdana" w:hAnsi="Verdana"/>
          <w:bCs/>
          <w:sz w:val="18"/>
          <w:szCs w:val="18"/>
        </w:rPr>
        <w:t xml:space="preserve"> </w:t>
      </w:r>
      <w:r w:rsidRPr="007A0D32" w:rsidR="00CC73DC">
        <w:rPr>
          <w:rFonts w:ascii="Verdana" w:hAnsi="Verdana"/>
          <w:sz w:val="18"/>
          <w:szCs w:val="18"/>
        </w:rPr>
        <w:t>In 2014 werd van de aanvragen lerarenbeurs circa 90% zonder menselijke tussenkomst afgehandeld.</w:t>
      </w:r>
      <w:r w:rsidR="007A0D32">
        <w:rPr>
          <w:rFonts w:ascii="Verdana" w:hAnsi="Verdana"/>
          <w:sz w:val="18"/>
          <w:szCs w:val="18"/>
        </w:rPr>
        <w:t xml:space="preserve"> </w:t>
      </w:r>
      <w:r w:rsidR="00B076FB">
        <w:rPr>
          <w:rFonts w:ascii="Verdana" w:hAnsi="Verdana"/>
          <w:bCs/>
          <w:sz w:val="18"/>
          <w:szCs w:val="18"/>
        </w:rPr>
        <w:t xml:space="preserve">Door deze </w:t>
      </w:r>
      <w:r w:rsidR="00F92CEF">
        <w:rPr>
          <w:rFonts w:ascii="Verdana" w:hAnsi="Verdana"/>
          <w:bCs/>
          <w:sz w:val="18"/>
          <w:szCs w:val="18"/>
        </w:rPr>
        <w:t xml:space="preserve">ervaring in de genoemde uitvoeringsprocessen, </w:t>
      </w:r>
      <w:r w:rsidR="00B076FB">
        <w:rPr>
          <w:rFonts w:ascii="Verdana" w:hAnsi="Verdana"/>
          <w:bCs/>
          <w:sz w:val="18"/>
          <w:szCs w:val="18"/>
        </w:rPr>
        <w:t>beschikt DUO in principe over alle instrumenten</w:t>
      </w:r>
      <w:r w:rsidR="008602B5">
        <w:rPr>
          <w:rFonts w:ascii="Verdana" w:hAnsi="Verdana"/>
          <w:bCs/>
          <w:sz w:val="18"/>
          <w:szCs w:val="18"/>
        </w:rPr>
        <w:t xml:space="preserve"> en deskundigheid om de financiering van de kinderopvang te ondersteunen.</w:t>
      </w:r>
      <w:r w:rsidR="003A0FD0">
        <w:rPr>
          <w:rFonts w:ascii="Verdana" w:hAnsi="Verdana"/>
          <w:bCs/>
          <w:sz w:val="18"/>
          <w:szCs w:val="18"/>
        </w:rPr>
        <w:t xml:space="preserve"> Het uitvoeren van de nieuwe processen kinderopvang</w:t>
      </w:r>
      <w:r w:rsidR="00B3716B">
        <w:rPr>
          <w:rFonts w:ascii="Verdana" w:hAnsi="Verdana"/>
          <w:bCs/>
          <w:sz w:val="18"/>
          <w:szCs w:val="18"/>
        </w:rPr>
        <w:t xml:space="preserve"> past bij DUO.</w:t>
      </w:r>
    </w:p>
    <w:p w:rsidR="0030782C" w:rsidP="0037600F" w:rsidRDefault="0030782C">
      <w:pPr>
        <w:rPr>
          <w:rFonts w:ascii="Verdana" w:hAnsi="Verdana"/>
          <w:bCs/>
          <w:sz w:val="18"/>
          <w:szCs w:val="18"/>
        </w:rPr>
      </w:pPr>
    </w:p>
    <w:p w:rsidRPr="008F57FF" w:rsidR="001150D8" w:rsidP="001150D8" w:rsidRDefault="001150D8">
      <w:pPr>
        <w:rPr>
          <w:rFonts w:ascii="Verdana" w:hAnsi="Verdana"/>
          <w:bCs/>
          <w:i/>
          <w:sz w:val="18"/>
          <w:szCs w:val="18"/>
        </w:rPr>
      </w:pPr>
      <w:r>
        <w:rPr>
          <w:rFonts w:ascii="Verdana" w:hAnsi="Verdana"/>
          <w:bCs/>
          <w:i/>
          <w:sz w:val="18"/>
          <w:szCs w:val="18"/>
        </w:rPr>
        <w:t>De tijd van nu</w:t>
      </w:r>
    </w:p>
    <w:p w:rsidR="003A0FD0" w:rsidP="001150D8" w:rsidRDefault="001150D8">
      <w:pPr>
        <w:rPr>
          <w:rFonts w:ascii="Verdana" w:hAnsi="Verdana"/>
          <w:bCs/>
          <w:sz w:val="18"/>
          <w:szCs w:val="18"/>
        </w:rPr>
      </w:pPr>
      <w:r>
        <w:rPr>
          <w:rFonts w:ascii="Verdana" w:hAnsi="Verdana"/>
          <w:bCs/>
          <w:sz w:val="18"/>
          <w:szCs w:val="18"/>
        </w:rPr>
        <w:t xml:space="preserve">In het “papieren-tijdperk” was het voldoende de klassieke instrumenten goed te beheersen. Tijdig </w:t>
      </w:r>
      <w:r w:rsidR="009C1C3D">
        <w:rPr>
          <w:rFonts w:ascii="Verdana" w:hAnsi="Verdana"/>
          <w:bCs/>
          <w:sz w:val="18"/>
          <w:szCs w:val="18"/>
        </w:rPr>
        <w:t xml:space="preserve">op aanvragen </w:t>
      </w:r>
      <w:r w:rsidR="00E13DB8">
        <w:rPr>
          <w:rFonts w:ascii="Verdana" w:hAnsi="Verdana"/>
          <w:bCs/>
          <w:sz w:val="18"/>
          <w:szCs w:val="18"/>
        </w:rPr>
        <w:t xml:space="preserve">beschikken </w:t>
      </w:r>
      <w:r>
        <w:rPr>
          <w:rFonts w:ascii="Verdana" w:hAnsi="Verdana"/>
          <w:bCs/>
          <w:sz w:val="18"/>
          <w:szCs w:val="18"/>
        </w:rPr>
        <w:t>op basis van ingevulde papieren formulieren volgens de standaard, identieke vaste volgorde, zoals beschreven in de administratieve organisatie. Die werkwijze is niet meer van deze tijd</w:t>
      </w:r>
      <w:r w:rsidR="00E13DB8">
        <w:rPr>
          <w:rFonts w:ascii="Verdana" w:hAnsi="Verdana"/>
          <w:bCs/>
          <w:sz w:val="18"/>
          <w:szCs w:val="18"/>
        </w:rPr>
        <w:t xml:space="preserve"> en wordt niet meer geaccepteerd</w:t>
      </w:r>
      <w:r w:rsidRPr="00374D89">
        <w:rPr>
          <w:rFonts w:ascii="Verdana" w:hAnsi="Verdana"/>
          <w:bCs/>
          <w:sz w:val="18"/>
          <w:szCs w:val="18"/>
        </w:rPr>
        <w:t xml:space="preserve">. </w:t>
      </w:r>
    </w:p>
    <w:p w:rsidR="004F06EB" w:rsidP="001150D8" w:rsidRDefault="006E4190">
      <w:pPr>
        <w:rPr>
          <w:rFonts w:ascii="Verdana" w:hAnsi="Verdana"/>
          <w:bCs/>
          <w:sz w:val="18"/>
          <w:szCs w:val="18"/>
        </w:rPr>
      </w:pPr>
      <w:r>
        <w:rPr>
          <w:rFonts w:ascii="Verdana" w:hAnsi="Verdana"/>
          <w:bCs/>
          <w:sz w:val="18"/>
          <w:szCs w:val="18"/>
        </w:rPr>
        <w:t xml:space="preserve">De tijd van nu stelt andere eisen. </w:t>
      </w:r>
      <w:r w:rsidRPr="00374D89" w:rsidR="001150D8">
        <w:rPr>
          <w:rFonts w:ascii="Verdana" w:hAnsi="Verdana"/>
          <w:bCs/>
          <w:sz w:val="18"/>
          <w:szCs w:val="18"/>
        </w:rPr>
        <w:t xml:space="preserve">Nu zal </w:t>
      </w:r>
      <w:r w:rsidR="00984A5B">
        <w:rPr>
          <w:rFonts w:ascii="Verdana" w:hAnsi="Verdana"/>
          <w:bCs/>
          <w:sz w:val="18"/>
          <w:szCs w:val="18"/>
        </w:rPr>
        <w:t>het uitvoeringsproces</w:t>
      </w:r>
      <w:r w:rsidRPr="00374D89" w:rsidR="001150D8">
        <w:rPr>
          <w:rFonts w:ascii="Verdana" w:hAnsi="Verdana"/>
          <w:bCs/>
          <w:sz w:val="18"/>
          <w:szCs w:val="18"/>
        </w:rPr>
        <w:t xml:space="preserve"> transparant, </w:t>
      </w:r>
      <w:r w:rsidR="003A0FD0">
        <w:rPr>
          <w:rFonts w:ascii="Verdana" w:hAnsi="Verdana"/>
          <w:bCs/>
          <w:sz w:val="18"/>
          <w:szCs w:val="18"/>
        </w:rPr>
        <w:t>klantvriendelijk,</w:t>
      </w:r>
      <w:r w:rsidRPr="00374D89" w:rsidR="001150D8">
        <w:rPr>
          <w:rFonts w:ascii="Verdana" w:hAnsi="Verdana"/>
          <w:bCs/>
          <w:sz w:val="18"/>
          <w:szCs w:val="18"/>
        </w:rPr>
        <w:t xml:space="preserve"> wendbaar, robuust, via participatie en op maat ingericht binnen een keten moeten worden uitgevoerd</w:t>
      </w:r>
      <w:r w:rsidRPr="00374D89" w:rsidR="00F7151A">
        <w:rPr>
          <w:rFonts w:ascii="Verdana" w:hAnsi="Verdana"/>
          <w:bCs/>
          <w:sz w:val="18"/>
          <w:szCs w:val="18"/>
        </w:rPr>
        <w:t>, met minimale administratieve lasten</w:t>
      </w:r>
      <w:r w:rsidRPr="00374D89" w:rsidR="001150D8">
        <w:rPr>
          <w:rFonts w:ascii="Verdana" w:hAnsi="Verdana"/>
          <w:bCs/>
          <w:sz w:val="18"/>
          <w:szCs w:val="18"/>
        </w:rPr>
        <w:t>.</w:t>
      </w:r>
      <w:r w:rsidRPr="00374D89" w:rsidR="00374D89">
        <w:rPr>
          <w:rFonts w:ascii="Verdana" w:hAnsi="Verdana"/>
          <w:bCs/>
          <w:sz w:val="18"/>
          <w:szCs w:val="18"/>
        </w:rPr>
        <w:t xml:space="preserve"> Voor deze modernisering </w:t>
      </w:r>
      <w:r w:rsidRPr="003D2A26" w:rsidR="00374D89">
        <w:rPr>
          <w:rFonts w:ascii="Verdana" w:hAnsi="Verdana"/>
          <w:bCs/>
          <w:sz w:val="18"/>
          <w:szCs w:val="18"/>
        </w:rPr>
        <w:t xml:space="preserve">heeft </w:t>
      </w:r>
      <w:r w:rsidRPr="003D2A26" w:rsidR="003D2A26">
        <w:rPr>
          <w:rFonts w:ascii="Verdana" w:hAnsi="Verdana"/>
          <w:bCs/>
          <w:sz w:val="18"/>
          <w:szCs w:val="18"/>
        </w:rPr>
        <w:t>DUO het</w:t>
      </w:r>
      <w:r w:rsidRPr="009C1C3D" w:rsidR="003D2A26">
        <w:rPr>
          <w:rFonts w:ascii="Verdana" w:hAnsi="Verdana"/>
          <w:bCs/>
          <w:sz w:val="18"/>
          <w:szCs w:val="18"/>
        </w:rPr>
        <w:t xml:space="preserve"> </w:t>
      </w:r>
      <w:r w:rsidRPr="003D2A26" w:rsidR="003D2A26">
        <w:rPr>
          <w:rFonts w:ascii="Verdana" w:hAnsi="Verdana"/>
          <w:bCs/>
          <w:sz w:val="18"/>
          <w:szCs w:val="18"/>
        </w:rPr>
        <w:t>di</w:t>
      </w:r>
      <w:r w:rsidR="003D2A26">
        <w:rPr>
          <w:rFonts w:ascii="Verdana" w:hAnsi="Verdana"/>
          <w:bCs/>
          <w:sz w:val="18"/>
          <w:szCs w:val="18"/>
        </w:rPr>
        <w:t xml:space="preserve">enstverleningsconcept </w:t>
      </w:r>
      <w:r w:rsidR="00EE64C2">
        <w:rPr>
          <w:rFonts w:ascii="Verdana" w:hAnsi="Verdana"/>
          <w:bCs/>
          <w:sz w:val="18"/>
          <w:szCs w:val="18"/>
        </w:rPr>
        <w:t xml:space="preserve">ingrijpend </w:t>
      </w:r>
      <w:r w:rsidR="003D2A26">
        <w:rPr>
          <w:rFonts w:ascii="Verdana" w:hAnsi="Verdana"/>
          <w:bCs/>
          <w:sz w:val="18"/>
          <w:szCs w:val="18"/>
        </w:rPr>
        <w:t xml:space="preserve">vernieuwd, en </w:t>
      </w:r>
      <w:r w:rsidR="004F06EB">
        <w:rPr>
          <w:rFonts w:ascii="Verdana" w:hAnsi="Verdana"/>
          <w:bCs/>
          <w:sz w:val="18"/>
          <w:szCs w:val="18"/>
        </w:rPr>
        <w:t>bevindt DUO zich in het traject</w:t>
      </w:r>
      <w:r w:rsidR="003D2A26">
        <w:rPr>
          <w:rFonts w:ascii="Verdana" w:hAnsi="Verdana"/>
          <w:bCs/>
          <w:sz w:val="18"/>
          <w:szCs w:val="18"/>
        </w:rPr>
        <w:t xml:space="preserve"> de achterliggende processen daarop aan</w:t>
      </w:r>
      <w:r w:rsidR="004F06EB">
        <w:rPr>
          <w:rFonts w:ascii="Verdana" w:hAnsi="Verdana"/>
          <w:bCs/>
          <w:sz w:val="18"/>
          <w:szCs w:val="18"/>
        </w:rPr>
        <w:t xml:space="preserve"> te </w:t>
      </w:r>
      <w:r w:rsidR="003D2A26">
        <w:rPr>
          <w:rFonts w:ascii="Verdana" w:hAnsi="Verdana"/>
          <w:bCs/>
          <w:sz w:val="18"/>
          <w:szCs w:val="18"/>
        </w:rPr>
        <w:t>sl</w:t>
      </w:r>
      <w:r w:rsidR="004F06EB">
        <w:rPr>
          <w:rFonts w:ascii="Verdana" w:hAnsi="Verdana"/>
          <w:bCs/>
          <w:sz w:val="18"/>
          <w:szCs w:val="18"/>
        </w:rPr>
        <w:t>ui</w:t>
      </w:r>
      <w:r w:rsidR="003D2A26">
        <w:rPr>
          <w:rFonts w:ascii="Verdana" w:hAnsi="Verdana"/>
          <w:bCs/>
          <w:sz w:val="18"/>
          <w:szCs w:val="18"/>
        </w:rPr>
        <w:t xml:space="preserve">ten. </w:t>
      </w:r>
    </w:p>
    <w:p w:rsidR="00565B74" w:rsidP="001150D8" w:rsidRDefault="00002496">
      <w:pPr>
        <w:rPr>
          <w:rFonts w:ascii="Verdana" w:hAnsi="Verdana"/>
          <w:bCs/>
          <w:sz w:val="18"/>
          <w:szCs w:val="18"/>
        </w:rPr>
      </w:pPr>
      <w:r>
        <w:rPr>
          <w:rFonts w:ascii="Verdana" w:hAnsi="Verdana"/>
          <w:bCs/>
          <w:sz w:val="18"/>
          <w:szCs w:val="18"/>
        </w:rPr>
        <w:t>Het dienstverleningsconcept gaat uit van het</w:t>
      </w:r>
      <w:r w:rsidR="008D2C17">
        <w:rPr>
          <w:rFonts w:ascii="Verdana" w:hAnsi="Verdana"/>
          <w:bCs/>
          <w:sz w:val="18"/>
          <w:szCs w:val="18"/>
        </w:rPr>
        <w:t xml:space="preserve"> principe dat </w:t>
      </w:r>
      <w:r w:rsidR="00984A5B">
        <w:rPr>
          <w:rFonts w:ascii="Verdana" w:hAnsi="Verdana"/>
          <w:bCs/>
          <w:sz w:val="18"/>
          <w:szCs w:val="18"/>
        </w:rPr>
        <w:t>zoveel mogelijk</w:t>
      </w:r>
      <w:r w:rsidR="008D2C17">
        <w:rPr>
          <w:rFonts w:ascii="Verdana" w:hAnsi="Verdana"/>
          <w:bCs/>
          <w:sz w:val="18"/>
          <w:szCs w:val="18"/>
        </w:rPr>
        <w:t xml:space="preserve"> wordt geregeld via een machine-machine koppeling</w:t>
      </w:r>
      <w:r>
        <w:rPr>
          <w:rFonts w:ascii="Verdana" w:hAnsi="Verdana"/>
          <w:bCs/>
          <w:sz w:val="18"/>
          <w:szCs w:val="18"/>
        </w:rPr>
        <w:t xml:space="preserve"> </w:t>
      </w:r>
      <w:r w:rsidR="000D566C">
        <w:rPr>
          <w:rFonts w:ascii="Verdana" w:hAnsi="Verdana"/>
          <w:bCs/>
          <w:sz w:val="18"/>
          <w:szCs w:val="18"/>
        </w:rPr>
        <w:t xml:space="preserve">of </w:t>
      </w:r>
      <w:r w:rsidR="008D2C17">
        <w:rPr>
          <w:rFonts w:ascii="Verdana" w:hAnsi="Verdana"/>
          <w:bCs/>
          <w:sz w:val="18"/>
          <w:szCs w:val="18"/>
        </w:rPr>
        <w:t xml:space="preserve">selfservice </w:t>
      </w:r>
      <w:r w:rsidR="003A0FD0">
        <w:rPr>
          <w:rFonts w:ascii="Verdana" w:hAnsi="Verdana"/>
          <w:bCs/>
          <w:sz w:val="18"/>
          <w:szCs w:val="18"/>
        </w:rPr>
        <w:t>van</w:t>
      </w:r>
      <w:r>
        <w:rPr>
          <w:rFonts w:ascii="Verdana" w:hAnsi="Verdana"/>
          <w:bCs/>
          <w:sz w:val="18"/>
          <w:szCs w:val="18"/>
        </w:rPr>
        <w:t xml:space="preserve"> </w:t>
      </w:r>
      <w:r w:rsidR="00E60057">
        <w:rPr>
          <w:rFonts w:ascii="Verdana" w:hAnsi="Verdana"/>
          <w:bCs/>
          <w:sz w:val="18"/>
          <w:szCs w:val="18"/>
        </w:rPr>
        <w:t>ouders</w:t>
      </w:r>
      <w:r w:rsidRPr="000D566C" w:rsidR="000D566C">
        <w:rPr>
          <w:rFonts w:ascii="Verdana" w:hAnsi="Verdana"/>
          <w:bCs/>
          <w:sz w:val="18"/>
          <w:szCs w:val="18"/>
        </w:rPr>
        <w:t xml:space="preserve"> </w:t>
      </w:r>
      <w:r w:rsidR="000D566C">
        <w:rPr>
          <w:rFonts w:ascii="Verdana" w:hAnsi="Verdana"/>
          <w:bCs/>
          <w:sz w:val="18"/>
          <w:szCs w:val="18"/>
        </w:rPr>
        <w:t>en instellingen</w:t>
      </w:r>
      <w:r w:rsidR="009C1C3D">
        <w:rPr>
          <w:rFonts w:ascii="Verdana" w:hAnsi="Verdana"/>
          <w:bCs/>
          <w:sz w:val="18"/>
          <w:szCs w:val="18"/>
        </w:rPr>
        <w:t xml:space="preserve">, </w:t>
      </w:r>
      <w:r w:rsidR="00B811C3">
        <w:rPr>
          <w:rFonts w:ascii="Verdana" w:hAnsi="Verdana"/>
          <w:bCs/>
          <w:sz w:val="18"/>
          <w:szCs w:val="18"/>
        </w:rPr>
        <w:t>eventueel</w:t>
      </w:r>
      <w:r w:rsidR="007C1BE0">
        <w:rPr>
          <w:rFonts w:ascii="Verdana" w:hAnsi="Verdana"/>
          <w:bCs/>
          <w:sz w:val="18"/>
          <w:szCs w:val="18"/>
        </w:rPr>
        <w:t xml:space="preserve"> met behulp van ondersteuning. Indien dit niet toereikend is of in geval van complexe situaties, </w:t>
      </w:r>
      <w:r w:rsidR="00F07824">
        <w:rPr>
          <w:rFonts w:ascii="Verdana" w:hAnsi="Verdana"/>
          <w:bCs/>
          <w:sz w:val="18"/>
          <w:szCs w:val="18"/>
        </w:rPr>
        <w:t>handelt DUO</w:t>
      </w:r>
      <w:r w:rsidR="001E5EC9">
        <w:rPr>
          <w:rFonts w:ascii="Verdana" w:hAnsi="Verdana"/>
          <w:bCs/>
          <w:sz w:val="18"/>
          <w:szCs w:val="18"/>
        </w:rPr>
        <w:t xml:space="preserve"> vanuit de overtuiging</w:t>
      </w:r>
      <w:r w:rsidR="00EE64C2">
        <w:rPr>
          <w:rFonts w:ascii="Verdana" w:hAnsi="Verdana"/>
          <w:bCs/>
          <w:sz w:val="18"/>
          <w:szCs w:val="18"/>
        </w:rPr>
        <w:t xml:space="preserve"> “samen komen we er wel uit”, om met persoonlijk advies het in één keer </w:t>
      </w:r>
      <w:bookmarkStart w:name="_GoBack" w:id="0"/>
      <w:bookmarkEnd w:id="0"/>
      <w:r w:rsidR="00B811C3">
        <w:rPr>
          <w:rFonts w:ascii="Verdana" w:hAnsi="Verdana"/>
          <w:bCs/>
          <w:sz w:val="18"/>
          <w:szCs w:val="18"/>
        </w:rPr>
        <w:t>op te lossen</w:t>
      </w:r>
      <w:r w:rsidR="00BC6640">
        <w:rPr>
          <w:rStyle w:val="Eindnootmarkering"/>
          <w:rFonts w:ascii="Verdana" w:hAnsi="Verdana"/>
          <w:bCs/>
          <w:sz w:val="18"/>
          <w:szCs w:val="18"/>
        </w:rPr>
        <w:endnoteReference w:id="2"/>
      </w:r>
      <w:r w:rsidR="00B811C3">
        <w:rPr>
          <w:rFonts w:ascii="Verdana" w:hAnsi="Verdana"/>
          <w:bCs/>
          <w:sz w:val="18"/>
          <w:szCs w:val="18"/>
        </w:rPr>
        <w:t>.</w:t>
      </w:r>
      <w:r w:rsidRPr="00565B74" w:rsidR="00565B74">
        <w:rPr>
          <w:rFonts w:ascii="Verdana" w:hAnsi="Verdana"/>
          <w:bCs/>
          <w:sz w:val="18"/>
          <w:szCs w:val="18"/>
        </w:rPr>
        <w:t xml:space="preserve"> </w:t>
      </w:r>
    </w:p>
    <w:p w:rsidR="00565B74" w:rsidP="001150D8" w:rsidRDefault="00565B74">
      <w:pPr>
        <w:rPr>
          <w:rFonts w:ascii="Verdana" w:hAnsi="Verdana"/>
          <w:bCs/>
          <w:sz w:val="18"/>
          <w:szCs w:val="18"/>
        </w:rPr>
      </w:pPr>
    </w:p>
    <w:p w:rsidR="001150D8" w:rsidP="00461809" w:rsidRDefault="0033465F">
      <w:pPr>
        <w:rPr>
          <w:rFonts w:ascii="Verdana" w:hAnsi="Verdana"/>
          <w:bCs/>
          <w:sz w:val="18"/>
          <w:szCs w:val="18"/>
        </w:rPr>
      </w:pPr>
      <w:r>
        <w:rPr>
          <w:rFonts w:ascii="Verdana" w:hAnsi="Verdana"/>
          <w:bCs/>
          <w:sz w:val="18"/>
          <w:szCs w:val="18"/>
        </w:rPr>
        <w:t>D</w:t>
      </w:r>
      <w:r w:rsidR="00565B74">
        <w:rPr>
          <w:rFonts w:ascii="Verdana" w:hAnsi="Verdana"/>
          <w:bCs/>
          <w:sz w:val="18"/>
          <w:szCs w:val="18"/>
        </w:rPr>
        <w:t xml:space="preserve">e uitvoering van de nieuwe financieringssystematiek Kinderopvang gaat DUO volgens </w:t>
      </w:r>
      <w:r>
        <w:rPr>
          <w:rFonts w:ascii="Verdana" w:hAnsi="Verdana"/>
          <w:bCs/>
          <w:sz w:val="18"/>
          <w:szCs w:val="18"/>
        </w:rPr>
        <w:t>dit</w:t>
      </w:r>
      <w:r w:rsidR="00565B74">
        <w:rPr>
          <w:rFonts w:ascii="Verdana" w:hAnsi="Verdana"/>
          <w:bCs/>
          <w:sz w:val="18"/>
          <w:szCs w:val="18"/>
        </w:rPr>
        <w:t xml:space="preserve"> dienstverleningsconcept en deze moderne uitvoeringsprocessen toepassen. D</w:t>
      </w:r>
      <w:r w:rsidR="001150D8">
        <w:rPr>
          <w:rFonts w:ascii="Verdana" w:hAnsi="Verdana"/>
          <w:bCs/>
          <w:sz w:val="18"/>
          <w:szCs w:val="18"/>
        </w:rPr>
        <w:t>at staat DUO voor ogen met de voorgestelde systematiek die “</w:t>
      </w:r>
      <w:r w:rsidR="00984A5B">
        <w:rPr>
          <w:rFonts w:ascii="Verdana" w:hAnsi="Verdana"/>
          <w:bCs/>
          <w:sz w:val="18"/>
          <w:szCs w:val="18"/>
        </w:rPr>
        <w:t>digitale</w:t>
      </w:r>
      <w:r w:rsidR="001150D8">
        <w:rPr>
          <w:rFonts w:ascii="Verdana" w:hAnsi="Verdana"/>
          <w:bCs/>
          <w:sz w:val="18"/>
          <w:szCs w:val="18"/>
        </w:rPr>
        <w:t xml:space="preserve"> portemonnee” is genoemd</w:t>
      </w:r>
      <w:r w:rsidR="00951872">
        <w:rPr>
          <w:rFonts w:ascii="Verdana" w:hAnsi="Verdana"/>
          <w:bCs/>
          <w:sz w:val="18"/>
          <w:szCs w:val="18"/>
        </w:rPr>
        <w:t>: e</w:t>
      </w:r>
      <w:r w:rsidR="001150D8">
        <w:rPr>
          <w:rFonts w:ascii="Verdana" w:hAnsi="Verdana"/>
          <w:bCs/>
          <w:sz w:val="18"/>
          <w:szCs w:val="18"/>
        </w:rPr>
        <w:t xml:space="preserve">en digitale samenwerking </w:t>
      </w:r>
      <w:r w:rsidR="006B3DA2">
        <w:rPr>
          <w:rFonts w:ascii="Verdana" w:hAnsi="Verdana"/>
          <w:bCs/>
          <w:sz w:val="18"/>
          <w:szCs w:val="18"/>
        </w:rPr>
        <w:t xml:space="preserve">voor </w:t>
      </w:r>
      <w:r w:rsidR="00C7263D">
        <w:rPr>
          <w:rFonts w:ascii="Verdana" w:hAnsi="Verdana"/>
          <w:bCs/>
          <w:sz w:val="18"/>
          <w:szCs w:val="18"/>
        </w:rPr>
        <w:t xml:space="preserve">de </w:t>
      </w:r>
      <w:r w:rsidR="00980C56">
        <w:rPr>
          <w:rFonts w:ascii="Verdana" w:hAnsi="Verdana"/>
          <w:bCs/>
          <w:sz w:val="18"/>
          <w:szCs w:val="18"/>
        </w:rPr>
        <w:t>betrokken</w:t>
      </w:r>
      <w:r w:rsidR="006B3DA2">
        <w:rPr>
          <w:rFonts w:ascii="Verdana" w:hAnsi="Verdana"/>
          <w:bCs/>
          <w:sz w:val="18"/>
          <w:szCs w:val="18"/>
        </w:rPr>
        <w:t xml:space="preserve"> ketenpartijen</w:t>
      </w:r>
      <w:r w:rsidR="00C7263D">
        <w:rPr>
          <w:rFonts w:ascii="Verdana" w:hAnsi="Verdana"/>
          <w:bCs/>
          <w:sz w:val="18"/>
          <w:szCs w:val="18"/>
        </w:rPr>
        <w:t xml:space="preserve"> ouder, kinderopvanginstelling en overheid</w:t>
      </w:r>
      <w:r w:rsidR="001150D8">
        <w:rPr>
          <w:rFonts w:ascii="Verdana" w:hAnsi="Verdana"/>
          <w:bCs/>
          <w:sz w:val="18"/>
          <w:szCs w:val="18"/>
        </w:rPr>
        <w:t xml:space="preserve">. Op basis van </w:t>
      </w:r>
      <w:r w:rsidR="00EF40F4">
        <w:rPr>
          <w:rFonts w:ascii="Verdana" w:hAnsi="Verdana"/>
          <w:bCs/>
          <w:sz w:val="18"/>
          <w:szCs w:val="18"/>
        </w:rPr>
        <w:t>het</w:t>
      </w:r>
      <w:r w:rsidR="001150D8">
        <w:rPr>
          <w:rFonts w:ascii="Verdana" w:hAnsi="Verdana"/>
          <w:bCs/>
          <w:sz w:val="18"/>
          <w:szCs w:val="18"/>
        </w:rPr>
        <w:t xml:space="preserve"> contract</w:t>
      </w:r>
      <w:r w:rsidR="00612E28">
        <w:rPr>
          <w:rFonts w:ascii="Verdana" w:hAnsi="Verdana"/>
          <w:bCs/>
          <w:sz w:val="18"/>
          <w:szCs w:val="18"/>
        </w:rPr>
        <w:t xml:space="preserve"> </w:t>
      </w:r>
      <w:r w:rsidRPr="00612E28" w:rsidR="00612E28">
        <w:rPr>
          <w:rFonts w:ascii="Verdana" w:hAnsi="Verdana"/>
          <w:bCs/>
          <w:sz w:val="18"/>
          <w:szCs w:val="18"/>
        </w:rPr>
        <w:t xml:space="preserve">tussen ouder en </w:t>
      </w:r>
      <w:r w:rsidR="00A71101">
        <w:rPr>
          <w:rFonts w:ascii="Verdana" w:hAnsi="Verdana"/>
          <w:bCs/>
          <w:sz w:val="18"/>
          <w:szCs w:val="18"/>
        </w:rPr>
        <w:t>kinderopvanginstelling</w:t>
      </w:r>
      <w:r w:rsidR="00951872">
        <w:rPr>
          <w:rFonts w:ascii="Verdana" w:hAnsi="Verdana"/>
          <w:bCs/>
          <w:sz w:val="18"/>
          <w:szCs w:val="18"/>
        </w:rPr>
        <w:t xml:space="preserve"> </w:t>
      </w:r>
      <w:r w:rsidR="00C7263D">
        <w:rPr>
          <w:rFonts w:ascii="Verdana" w:hAnsi="Verdana"/>
          <w:bCs/>
          <w:sz w:val="18"/>
          <w:szCs w:val="18"/>
        </w:rPr>
        <w:t>(</w:t>
      </w:r>
      <w:r w:rsidRPr="00612E28" w:rsidR="00612E28">
        <w:rPr>
          <w:rFonts w:ascii="Verdana" w:hAnsi="Verdana"/>
          <w:bCs/>
          <w:sz w:val="18"/>
          <w:szCs w:val="18"/>
        </w:rPr>
        <w:t xml:space="preserve">waarbij de </w:t>
      </w:r>
      <w:r w:rsidR="00951872">
        <w:rPr>
          <w:rFonts w:ascii="Verdana" w:hAnsi="Verdana"/>
          <w:bCs/>
          <w:sz w:val="18"/>
          <w:szCs w:val="18"/>
        </w:rPr>
        <w:t>ouder</w:t>
      </w:r>
      <w:r w:rsidRPr="00612E28" w:rsidR="00612E28">
        <w:rPr>
          <w:rFonts w:ascii="Verdana" w:hAnsi="Verdana"/>
          <w:bCs/>
          <w:sz w:val="18"/>
          <w:szCs w:val="18"/>
        </w:rPr>
        <w:t xml:space="preserve"> </w:t>
      </w:r>
      <w:r w:rsidR="00A71101">
        <w:rPr>
          <w:rFonts w:ascii="Verdana" w:hAnsi="Verdana"/>
          <w:bCs/>
          <w:sz w:val="18"/>
          <w:szCs w:val="18"/>
        </w:rPr>
        <w:t xml:space="preserve">deze </w:t>
      </w:r>
      <w:r w:rsidRPr="00612E28" w:rsidR="00612E28">
        <w:rPr>
          <w:rFonts w:ascii="Verdana" w:hAnsi="Verdana"/>
          <w:bCs/>
          <w:sz w:val="18"/>
          <w:szCs w:val="18"/>
        </w:rPr>
        <w:t>zelf uitkiest</w:t>
      </w:r>
      <w:r w:rsidR="00565B74">
        <w:rPr>
          <w:rFonts w:ascii="Verdana" w:hAnsi="Verdana"/>
          <w:bCs/>
          <w:sz w:val="18"/>
          <w:szCs w:val="18"/>
        </w:rPr>
        <w:t>)</w:t>
      </w:r>
      <w:r w:rsidRPr="00612E28" w:rsidR="00612E28">
        <w:rPr>
          <w:rFonts w:ascii="Verdana" w:hAnsi="Verdana"/>
          <w:bCs/>
          <w:sz w:val="18"/>
          <w:szCs w:val="18"/>
        </w:rPr>
        <w:t>,</w:t>
      </w:r>
      <w:r w:rsidR="00612E28">
        <w:rPr>
          <w:rFonts w:ascii="Verdana" w:hAnsi="Verdana"/>
          <w:bCs/>
          <w:sz w:val="18"/>
          <w:szCs w:val="18"/>
        </w:rPr>
        <w:t xml:space="preserve"> wordt een</w:t>
      </w:r>
      <w:r w:rsidR="001150D8">
        <w:rPr>
          <w:rFonts w:ascii="Verdana" w:hAnsi="Verdana"/>
          <w:bCs/>
          <w:sz w:val="18"/>
          <w:szCs w:val="18"/>
        </w:rPr>
        <w:t xml:space="preserve"> </w:t>
      </w:r>
      <w:r w:rsidR="00984A5B">
        <w:rPr>
          <w:rFonts w:ascii="Verdana" w:hAnsi="Verdana"/>
          <w:bCs/>
          <w:sz w:val="18"/>
          <w:szCs w:val="18"/>
        </w:rPr>
        <w:t>digitale</w:t>
      </w:r>
      <w:r w:rsidR="001150D8">
        <w:rPr>
          <w:rFonts w:ascii="Verdana" w:hAnsi="Verdana"/>
          <w:bCs/>
          <w:sz w:val="18"/>
          <w:szCs w:val="18"/>
        </w:rPr>
        <w:t xml:space="preserve"> ruimte </w:t>
      </w:r>
      <w:r w:rsidR="00612E28">
        <w:rPr>
          <w:rFonts w:ascii="Verdana" w:hAnsi="Verdana"/>
          <w:bCs/>
          <w:sz w:val="18"/>
          <w:szCs w:val="18"/>
        </w:rPr>
        <w:t xml:space="preserve">ingericht </w:t>
      </w:r>
      <w:r w:rsidR="00951872">
        <w:rPr>
          <w:rFonts w:ascii="Verdana" w:hAnsi="Verdana"/>
          <w:bCs/>
          <w:sz w:val="18"/>
          <w:szCs w:val="18"/>
        </w:rPr>
        <w:t xml:space="preserve">en </w:t>
      </w:r>
      <w:r w:rsidR="00612E28">
        <w:rPr>
          <w:rFonts w:ascii="Verdana" w:hAnsi="Verdana"/>
          <w:bCs/>
          <w:sz w:val="18"/>
          <w:szCs w:val="18"/>
        </w:rPr>
        <w:t xml:space="preserve">geopend </w:t>
      </w:r>
      <w:r w:rsidR="00865AD2">
        <w:rPr>
          <w:rFonts w:ascii="Verdana" w:hAnsi="Verdana"/>
          <w:bCs/>
          <w:sz w:val="18"/>
          <w:szCs w:val="18"/>
        </w:rPr>
        <w:t>voor de</w:t>
      </w:r>
      <w:r w:rsidR="001150D8">
        <w:rPr>
          <w:rFonts w:ascii="Verdana" w:hAnsi="Verdana"/>
          <w:bCs/>
          <w:sz w:val="18"/>
          <w:szCs w:val="18"/>
        </w:rPr>
        <w:t xml:space="preserve"> </w:t>
      </w:r>
      <w:r w:rsidR="00A71101">
        <w:rPr>
          <w:rFonts w:ascii="Verdana" w:hAnsi="Verdana"/>
          <w:bCs/>
          <w:sz w:val="18"/>
          <w:szCs w:val="18"/>
        </w:rPr>
        <w:t>instelling</w:t>
      </w:r>
      <w:r w:rsidR="00865AD2">
        <w:rPr>
          <w:rFonts w:ascii="Verdana" w:hAnsi="Verdana"/>
          <w:bCs/>
          <w:sz w:val="18"/>
          <w:szCs w:val="18"/>
        </w:rPr>
        <w:t xml:space="preserve"> en </w:t>
      </w:r>
      <w:r w:rsidR="00C7263D">
        <w:rPr>
          <w:rFonts w:ascii="Verdana" w:hAnsi="Verdana"/>
          <w:bCs/>
          <w:sz w:val="18"/>
          <w:szCs w:val="18"/>
        </w:rPr>
        <w:t>de</w:t>
      </w:r>
      <w:r w:rsidR="001150D8">
        <w:rPr>
          <w:rFonts w:ascii="Verdana" w:hAnsi="Verdana"/>
          <w:bCs/>
          <w:sz w:val="18"/>
          <w:szCs w:val="18"/>
        </w:rPr>
        <w:t xml:space="preserve"> ouder</w:t>
      </w:r>
      <w:r w:rsidR="00865AD2">
        <w:rPr>
          <w:rFonts w:ascii="Verdana" w:hAnsi="Verdana"/>
          <w:bCs/>
          <w:sz w:val="18"/>
          <w:szCs w:val="18"/>
        </w:rPr>
        <w:t>s</w:t>
      </w:r>
      <w:r w:rsidR="00F07824">
        <w:rPr>
          <w:rFonts w:ascii="Verdana" w:hAnsi="Verdana"/>
          <w:bCs/>
          <w:sz w:val="18"/>
          <w:szCs w:val="18"/>
        </w:rPr>
        <w:t xml:space="preserve">, waarbij de ouder verantwoordelijk </w:t>
      </w:r>
      <w:r w:rsidR="00434109">
        <w:rPr>
          <w:rFonts w:ascii="Verdana" w:hAnsi="Verdana"/>
          <w:bCs/>
          <w:sz w:val="18"/>
          <w:szCs w:val="18"/>
        </w:rPr>
        <w:t>is</w:t>
      </w:r>
      <w:r w:rsidR="00F07824">
        <w:rPr>
          <w:rFonts w:ascii="Verdana" w:hAnsi="Verdana"/>
          <w:bCs/>
          <w:sz w:val="18"/>
          <w:szCs w:val="18"/>
        </w:rPr>
        <w:t xml:space="preserve"> voor de betaling </w:t>
      </w:r>
      <w:r w:rsidR="000F3553">
        <w:rPr>
          <w:rFonts w:ascii="Verdana" w:hAnsi="Verdana"/>
          <w:bCs/>
          <w:sz w:val="18"/>
          <w:szCs w:val="18"/>
        </w:rPr>
        <w:t xml:space="preserve">van </w:t>
      </w:r>
      <w:r w:rsidR="00F07824">
        <w:rPr>
          <w:rFonts w:ascii="Verdana" w:hAnsi="Verdana"/>
          <w:bCs/>
          <w:sz w:val="18"/>
          <w:szCs w:val="18"/>
        </w:rPr>
        <w:t xml:space="preserve">de </w:t>
      </w:r>
      <w:r w:rsidR="00E63619">
        <w:rPr>
          <w:rFonts w:ascii="Verdana" w:hAnsi="Verdana"/>
          <w:bCs/>
          <w:sz w:val="18"/>
          <w:szCs w:val="18"/>
        </w:rPr>
        <w:t>eigen bijdrage</w:t>
      </w:r>
      <w:r w:rsidR="00E63619">
        <w:rPr>
          <w:rFonts w:ascii="Verdana" w:hAnsi="Verdana"/>
          <w:bCs/>
          <w:sz w:val="18"/>
          <w:szCs w:val="18"/>
        </w:rPr>
        <w:t xml:space="preserve"> </w:t>
      </w:r>
      <w:r w:rsidR="00DE0D52">
        <w:rPr>
          <w:rFonts w:ascii="Verdana" w:hAnsi="Verdana"/>
          <w:bCs/>
          <w:sz w:val="18"/>
          <w:szCs w:val="18"/>
        </w:rPr>
        <w:t>via de digitale portemonnee</w:t>
      </w:r>
      <w:r w:rsidR="001150D8">
        <w:rPr>
          <w:rFonts w:ascii="Verdana" w:hAnsi="Verdana"/>
          <w:bCs/>
          <w:sz w:val="18"/>
          <w:szCs w:val="18"/>
        </w:rPr>
        <w:t xml:space="preserve">. </w:t>
      </w:r>
      <w:r w:rsidR="00E63B01">
        <w:rPr>
          <w:rFonts w:ascii="Verdana" w:hAnsi="Verdana"/>
          <w:bCs/>
          <w:sz w:val="18"/>
          <w:szCs w:val="18"/>
        </w:rPr>
        <w:t xml:space="preserve">Zo </w:t>
      </w:r>
      <w:r w:rsidR="00865AD2">
        <w:rPr>
          <w:rFonts w:ascii="Verdana" w:hAnsi="Verdana"/>
          <w:bCs/>
          <w:sz w:val="18"/>
          <w:szCs w:val="18"/>
        </w:rPr>
        <w:t>krijgen</w:t>
      </w:r>
      <w:r w:rsidR="00A71101">
        <w:rPr>
          <w:rFonts w:ascii="Verdana" w:hAnsi="Verdana"/>
          <w:bCs/>
          <w:sz w:val="18"/>
          <w:szCs w:val="18"/>
        </w:rPr>
        <w:t xml:space="preserve"> ouders de instrumenten in handen om ‘in control’ te </w:t>
      </w:r>
      <w:r w:rsidR="00865AD2">
        <w:rPr>
          <w:rFonts w:ascii="Verdana" w:hAnsi="Verdana"/>
          <w:bCs/>
          <w:sz w:val="18"/>
          <w:szCs w:val="18"/>
        </w:rPr>
        <w:t>zijn</w:t>
      </w:r>
      <w:r w:rsidR="00A71101">
        <w:rPr>
          <w:rFonts w:ascii="Verdana" w:hAnsi="Verdana"/>
          <w:bCs/>
          <w:sz w:val="18"/>
          <w:szCs w:val="18"/>
        </w:rPr>
        <w:t>.</w:t>
      </w:r>
      <w:r w:rsidR="00865AD2">
        <w:rPr>
          <w:rFonts w:ascii="Verdana" w:hAnsi="Verdana"/>
          <w:bCs/>
          <w:sz w:val="18"/>
          <w:szCs w:val="18"/>
        </w:rPr>
        <w:t xml:space="preserve"> </w:t>
      </w:r>
      <w:r w:rsidR="001E7728">
        <w:rPr>
          <w:rFonts w:ascii="Verdana" w:hAnsi="Verdana"/>
          <w:bCs/>
          <w:sz w:val="18"/>
          <w:szCs w:val="18"/>
        </w:rPr>
        <w:t xml:space="preserve">Met betrekking tot de informatievoorziening </w:t>
      </w:r>
      <w:r w:rsidR="00865AD2">
        <w:rPr>
          <w:rFonts w:ascii="Verdana" w:hAnsi="Verdana"/>
          <w:bCs/>
          <w:sz w:val="18"/>
          <w:szCs w:val="18"/>
        </w:rPr>
        <w:t xml:space="preserve">zal </w:t>
      </w:r>
      <w:r w:rsidR="00434109">
        <w:rPr>
          <w:rFonts w:ascii="Verdana" w:hAnsi="Verdana"/>
          <w:bCs/>
          <w:sz w:val="18"/>
          <w:szCs w:val="18"/>
        </w:rPr>
        <w:t xml:space="preserve">in de uitvoering </w:t>
      </w:r>
      <w:r w:rsidR="00865AD2">
        <w:rPr>
          <w:rFonts w:ascii="Verdana" w:hAnsi="Verdana"/>
          <w:bCs/>
          <w:sz w:val="18"/>
          <w:szCs w:val="18"/>
        </w:rPr>
        <w:t>met de diversiteit van ouders en instelling</w:t>
      </w:r>
      <w:r w:rsidR="001E09F6">
        <w:rPr>
          <w:rFonts w:ascii="Verdana" w:hAnsi="Verdana"/>
          <w:bCs/>
          <w:sz w:val="18"/>
          <w:szCs w:val="18"/>
        </w:rPr>
        <w:t>en</w:t>
      </w:r>
      <w:r w:rsidR="00865AD2">
        <w:rPr>
          <w:rFonts w:ascii="Verdana" w:hAnsi="Verdana"/>
          <w:bCs/>
          <w:sz w:val="18"/>
          <w:szCs w:val="18"/>
        </w:rPr>
        <w:t xml:space="preserve"> </w:t>
      </w:r>
      <w:r w:rsidR="001E7728">
        <w:rPr>
          <w:rFonts w:ascii="Verdana" w:hAnsi="Verdana"/>
          <w:bCs/>
          <w:sz w:val="18"/>
          <w:szCs w:val="18"/>
        </w:rPr>
        <w:t>rekening worden gehouden.</w:t>
      </w:r>
    </w:p>
    <w:p w:rsidR="001150D8" w:rsidP="001150D8" w:rsidRDefault="001150D8">
      <w:pPr>
        <w:rPr>
          <w:rFonts w:ascii="Verdana" w:hAnsi="Verdana"/>
          <w:bCs/>
          <w:sz w:val="18"/>
          <w:szCs w:val="18"/>
        </w:rPr>
      </w:pPr>
    </w:p>
    <w:p w:rsidRPr="000E0519" w:rsidR="000E0519" w:rsidP="0037600F" w:rsidRDefault="00865AD2">
      <w:pPr>
        <w:rPr>
          <w:rFonts w:ascii="Verdana" w:hAnsi="Verdana"/>
          <w:bCs/>
          <w:i/>
          <w:sz w:val="18"/>
          <w:szCs w:val="18"/>
        </w:rPr>
      </w:pPr>
      <w:r>
        <w:rPr>
          <w:rFonts w:ascii="Verdana" w:hAnsi="Verdana"/>
          <w:bCs/>
          <w:i/>
          <w:sz w:val="18"/>
          <w:szCs w:val="18"/>
        </w:rPr>
        <w:t xml:space="preserve">Aanpak </w:t>
      </w:r>
    </w:p>
    <w:p w:rsidR="00FC4734" w:rsidP="0037600F" w:rsidRDefault="000E0519">
      <w:pPr>
        <w:rPr>
          <w:rFonts w:ascii="Verdana" w:hAnsi="Verdana"/>
          <w:bCs/>
          <w:sz w:val="18"/>
          <w:szCs w:val="18"/>
        </w:rPr>
      </w:pPr>
      <w:r>
        <w:rPr>
          <w:rFonts w:ascii="Verdana" w:hAnsi="Verdana"/>
          <w:bCs/>
          <w:sz w:val="18"/>
          <w:szCs w:val="18"/>
        </w:rPr>
        <w:t xml:space="preserve">Om dit </w:t>
      </w:r>
      <w:r w:rsidR="001E09F6">
        <w:rPr>
          <w:rFonts w:ascii="Verdana" w:hAnsi="Verdana"/>
          <w:bCs/>
          <w:sz w:val="18"/>
          <w:szCs w:val="18"/>
        </w:rPr>
        <w:t xml:space="preserve">goed </w:t>
      </w:r>
      <w:r>
        <w:rPr>
          <w:rFonts w:ascii="Verdana" w:hAnsi="Verdana"/>
          <w:bCs/>
          <w:sz w:val="18"/>
          <w:szCs w:val="18"/>
        </w:rPr>
        <w:t xml:space="preserve">neer te </w:t>
      </w:r>
      <w:r w:rsidR="001E09F6">
        <w:rPr>
          <w:rFonts w:ascii="Verdana" w:hAnsi="Verdana"/>
          <w:bCs/>
          <w:sz w:val="18"/>
          <w:szCs w:val="18"/>
        </w:rPr>
        <w:t xml:space="preserve">kunnen </w:t>
      </w:r>
      <w:r>
        <w:rPr>
          <w:rFonts w:ascii="Verdana" w:hAnsi="Verdana"/>
          <w:bCs/>
          <w:sz w:val="18"/>
          <w:szCs w:val="18"/>
        </w:rPr>
        <w:t xml:space="preserve">zetten wordt </w:t>
      </w:r>
      <w:r w:rsidR="001E09F6">
        <w:rPr>
          <w:rFonts w:ascii="Verdana" w:hAnsi="Verdana"/>
          <w:bCs/>
          <w:sz w:val="18"/>
          <w:szCs w:val="18"/>
        </w:rPr>
        <w:t xml:space="preserve">de komende jaren </w:t>
      </w:r>
      <w:r>
        <w:rPr>
          <w:rFonts w:ascii="Verdana" w:hAnsi="Verdana"/>
          <w:bCs/>
          <w:sz w:val="18"/>
          <w:szCs w:val="18"/>
        </w:rPr>
        <w:t xml:space="preserve">een heel proces doorlopen. </w:t>
      </w:r>
      <w:r w:rsidR="00865AD2">
        <w:rPr>
          <w:rFonts w:ascii="Verdana" w:hAnsi="Verdana"/>
          <w:bCs/>
          <w:sz w:val="18"/>
          <w:szCs w:val="18"/>
        </w:rPr>
        <w:t xml:space="preserve">De voorwaarde om deze uitvoering te kunnen realiseren is </w:t>
      </w:r>
      <w:r w:rsidR="00302FC2">
        <w:rPr>
          <w:rFonts w:ascii="Verdana" w:hAnsi="Verdana"/>
          <w:bCs/>
          <w:sz w:val="18"/>
          <w:szCs w:val="18"/>
        </w:rPr>
        <w:t>eenduidige</w:t>
      </w:r>
      <w:r w:rsidR="00865AD2">
        <w:rPr>
          <w:rFonts w:ascii="Verdana" w:hAnsi="Verdana"/>
          <w:bCs/>
          <w:sz w:val="18"/>
          <w:szCs w:val="18"/>
        </w:rPr>
        <w:t xml:space="preserve"> wet- en regelgeving. </w:t>
      </w:r>
      <w:r>
        <w:rPr>
          <w:rFonts w:ascii="Verdana" w:hAnsi="Verdana"/>
          <w:bCs/>
          <w:sz w:val="18"/>
          <w:szCs w:val="18"/>
        </w:rPr>
        <w:t xml:space="preserve">DUO is </w:t>
      </w:r>
      <w:r w:rsidR="001E09F6">
        <w:rPr>
          <w:rFonts w:ascii="Verdana" w:hAnsi="Verdana"/>
          <w:bCs/>
          <w:sz w:val="18"/>
          <w:szCs w:val="18"/>
        </w:rPr>
        <w:t xml:space="preserve">de afgelopen periode </w:t>
      </w:r>
      <w:r>
        <w:rPr>
          <w:rFonts w:ascii="Verdana" w:hAnsi="Verdana"/>
          <w:bCs/>
          <w:sz w:val="18"/>
          <w:szCs w:val="18"/>
        </w:rPr>
        <w:t xml:space="preserve">al in de gelegenheid </w:t>
      </w:r>
      <w:r w:rsidR="001E09F6">
        <w:rPr>
          <w:rFonts w:ascii="Verdana" w:hAnsi="Verdana"/>
          <w:bCs/>
          <w:sz w:val="18"/>
          <w:szCs w:val="18"/>
        </w:rPr>
        <w:t xml:space="preserve">gesteld </w:t>
      </w:r>
      <w:r w:rsidR="00770B8D">
        <w:rPr>
          <w:rFonts w:ascii="Verdana" w:hAnsi="Verdana"/>
          <w:bCs/>
          <w:sz w:val="18"/>
          <w:szCs w:val="18"/>
        </w:rPr>
        <w:t xml:space="preserve">om </w:t>
      </w:r>
      <w:r>
        <w:rPr>
          <w:rFonts w:ascii="Verdana" w:hAnsi="Verdana"/>
          <w:bCs/>
          <w:sz w:val="18"/>
          <w:szCs w:val="18"/>
        </w:rPr>
        <w:t xml:space="preserve">met het beleidsdepartement mee te denken </w:t>
      </w:r>
      <w:r>
        <w:rPr>
          <w:rFonts w:ascii="Verdana" w:hAnsi="Verdana"/>
          <w:bCs/>
          <w:sz w:val="18"/>
          <w:szCs w:val="18"/>
        </w:rPr>
        <w:lastRenderedPageBreak/>
        <w:t xml:space="preserve">over de </w:t>
      </w:r>
      <w:r w:rsidR="00865AD2">
        <w:rPr>
          <w:rFonts w:ascii="Verdana" w:hAnsi="Verdana"/>
          <w:bCs/>
          <w:sz w:val="18"/>
          <w:szCs w:val="18"/>
        </w:rPr>
        <w:t xml:space="preserve">vormgeving van de </w:t>
      </w:r>
      <w:r>
        <w:rPr>
          <w:rFonts w:ascii="Verdana" w:hAnsi="Verdana"/>
          <w:bCs/>
          <w:sz w:val="18"/>
          <w:szCs w:val="18"/>
        </w:rPr>
        <w:t>nieu</w:t>
      </w:r>
      <w:r w:rsidR="001E09F6">
        <w:rPr>
          <w:rFonts w:ascii="Verdana" w:hAnsi="Verdana"/>
          <w:bCs/>
          <w:sz w:val="18"/>
          <w:szCs w:val="18"/>
        </w:rPr>
        <w:t>we financieringssystematiek. D</w:t>
      </w:r>
      <w:r>
        <w:rPr>
          <w:rFonts w:ascii="Verdana" w:hAnsi="Verdana"/>
          <w:bCs/>
          <w:sz w:val="18"/>
          <w:szCs w:val="18"/>
        </w:rPr>
        <w:t xml:space="preserve">e komende periode </w:t>
      </w:r>
      <w:r w:rsidR="0061395C">
        <w:rPr>
          <w:rFonts w:ascii="Verdana" w:hAnsi="Verdana"/>
          <w:bCs/>
          <w:sz w:val="18"/>
          <w:szCs w:val="18"/>
        </w:rPr>
        <w:t xml:space="preserve">wordt de </w:t>
      </w:r>
      <w:r w:rsidR="00F92CEF">
        <w:rPr>
          <w:rFonts w:ascii="Verdana" w:hAnsi="Verdana"/>
          <w:bCs/>
          <w:sz w:val="18"/>
          <w:szCs w:val="18"/>
        </w:rPr>
        <w:t>systematiek nader uitgewerkt</w:t>
      </w:r>
      <w:r w:rsidR="0061395C">
        <w:rPr>
          <w:rFonts w:ascii="Verdana" w:hAnsi="Verdana"/>
          <w:bCs/>
          <w:sz w:val="18"/>
          <w:szCs w:val="18"/>
        </w:rPr>
        <w:t xml:space="preserve"> via een </w:t>
      </w:r>
      <w:r w:rsidR="005B5304">
        <w:rPr>
          <w:rFonts w:ascii="Verdana" w:hAnsi="Verdana"/>
          <w:bCs/>
          <w:sz w:val="18"/>
          <w:szCs w:val="18"/>
        </w:rPr>
        <w:t>simulatieomgeving</w:t>
      </w:r>
      <w:r w:rsidR="0061395C">
        <w:rPr>
          <w:rFonts w:ascii="Verdana" w:hAnsi="Verdana"/>
          <w:bCs/>
          <w:sz w:val="18"/>
          <w:szCs w:val="18"/>
        </w:rPr>
        <w:t xml:space="preserve"> </w:t>
      </w:r>
      <w:r w:rsidR="00CB3182">
        <w:rPr>
          <w:rFonts w:ascii="Verdana" w:hAnsi="Verdana"/>
          <w:bCs/>
          <w:sz w:val="18"/>
          <w:szCs w:val="18"/>
        </w:rPr>
        <w:t>en worden de noodzakelijke procesaanpassingen bij de instellingen, ouders en overheid beproefd.</w:t>
      </w:r>
    </w:p>
    <w:p w:rsidR="000E0519" w:rsidP="0037600F" w:rsidRDefault="005B5304">
      <w:pPr>
        <w:rPr>
          <w:rFonts w:ascii="Verdana" w:hAnsi="Verdana"/>
          <w:bCs/>
          <w:sz w:val="18"/>
          <w:szCs w:val="18"/>
        </w:rPr>
      </w:pPr>
      <w:r>
        <w:rPr>
          <w:rFonts w:ascii="Verdana" w:hAnsi="Verdana"/>
          <w:bCs/>
          <w:sz w:val="18"/>
          <w:szCs w:val="18"/>
        </w:rPr>
        <w:t xml:space="preserve">Binnen deze omgeving </w:t>
      </w:r>
      <w:r w:rsidR="00770B8D">
        <w:rPr>
          <w:rFonts w:ascii="Verdana" w:hAnsi="Verdana"/>
          <w:bCs/>
          <w:sz w:val="18"/>
          <w:szCs w:val="18"/>
        </w:rPr>
        <w:t xml:space="preserve">onderzoeken en evalueren </w:t>
      </w:r>
      <w:r w:rsidR="00434109">
        <w:rPr>
          <w:rFonts w:ascii="Verdana" w:hAnsi="Verdana"/>
          <w:bCs/>
          <w:sz w:val="18"/>
          <w:szCs w:val="18"/>
        </w:rPr>
        <w:t>k</w:t>
      </w:r>
      <w:r w:rsidR="00770B8D">
        <w:rPr>
          <w:rFonts w:ascii="Verdana" w:hAnsi="Verdana"/>
          <w:bCs/>
          <w:sz w:val="18"/>
          <w:szCs w:val="18"/>
        </w:rPr>
        <w:t>inderopvanginstellingen, ouders</w:t>
      </w:r>
      <w:r w:rsidR="00434109">
        <w:rPr>
          <w:rFonts w:ascii="Verdana" w:hAnsi="Verdana"/>
          <w:bCs/>
          <w:sz w:val="18"/>
          <w:szCs w:val="18"/>
        </w:rPr>
        <w:t>,</w:t>
      </w:r>
      <w:r w:rsidR="00770B8D">
        <w:rPr>
          <w:rFonts w:ascii="Verdana" w:hAnsi="Verdana"/>
          <w:bCs/>
          <w:sz w:val="18"/>
          <w:szCs w:val="18"/>
        </w:rPr>
        <w:t xml:space="preserve"> informatieleveranciers </w:t>
      </w:r>
      <w:r w:rsidR="00434109">
        <w:rPr>
          <w:rFonts w:ascii="Verdana" w:hAnsi="Verdana"/>
          <w:bCs/>
          <w:sz w:val="18"/>
          <w:szCs w:val="18"/>
        </w:rPr>
        <w:t xml:space="preserve">en DUO </w:t>
      </w:r>
      <w:r w:rsidR="00770B8D">
        <w:rPr>
          <w:rFonts w:ascii="Verdana" w:hAnsi="Verdana"/>
          <w:bCs/>
          <w:sz w:val="18"/>
          <w:szCs w:val="18"/>
        </w:rPr>
        <w:t>verschillende varianten tijdens simulatie-sessies</w:t>
      </w:r>
      <w:r w:rsidR="00017800">
        <w:rPr>
          <w:rFonts w:ascii="Verdana" w:hAnsi="Verdana"/>
          <w:bCs/>
          <w:sz w:val="18"/>
          <w:szCs w:val="18"/>
        </w:rPr>
        <w:t>, waarbij de impact van uitvoeringskeuzes in het proces zichtbaar worden gemaakt</w:t>
      </w:r>
      <w:r w:rsidR="00770B8D">
        <w:rPr>
          <w:rFonts w:ascii="Verdana" w:hAnsi="Verdana"/>
          <w:bCs/>
          <w:sz w:val="18"/>
          <w:szCs w:val="18"/>
        </w:rPr>
        <w:t>.</w:t>
      </w:r>
      <w:r w:rsidR="00726F82">
        <w:rPr>
          <w:rFonts w:ascii="Verdana" w:hAnsi="Verdana"/>
          <w:bCs/>
          <w:sz w:val="18"/>
          <w:szCs w:val="18"/>
        </w:rPr>
        <w:t xml:space="preserve"> Om zo gezamenlijk te beproeven wat </w:t>
      </w:r>
      <w:r w:rsidR="00B4480F">
        <w:rPr>
          <w:rFonts w:ascii="Verdana" w:hAnsi="Verdana"/>
          <w:bCs/>
          <w:sz w:val="18"/>
          <w:szCs w:val="18"/>
        </w:rPr>
        <w:t>het beste</w:t>
      </w:r>
      <w:r w:rsidR="00726F82">
        <w:rPr>
          <w:rFonts w:ascii="Verdana" w:hAnsi="Verdana"/>
          <w:bCs/>
          <w:sz w:val="18"/>
          <w:szCs w:val="18"/>
        </w:rPr>
        <w:t xml:space="preserve"> werkt</w:t>
      </w:r>
      <w:r w:rsidR="000B05E2">
        <w:rPr>
          <w:rFonts w:ascii="Verdana" w:hAnsi="Verdana"/>
          <w:bCs/>
          <w:sz w:val="18"/>
          <w:szCs w:val="18"/>
        </w:rPr>
        <w:t xml:space="preserve">, </w:t>
      </w:r>
      <w:r w:rsidR="001871A2">
        <w:rPr>
          <w:rFonts w:ascii="Verdana" w:hAnsi="Verdana"/>
          <w:bCs/>
          <w:sz w:val="18"/>
          <w:szCs w:val="18"/>
        </w:rPr>
        <w:t>om</w:t>
      </w:r>
      <w:r w:rsidR="001E7728">
        <w:rPr>
          <w:rFonts w:ascii="Verdana" w:hAnsi="Verdana"/>
          <w:bCs/>
          <w:sz w:val="18"/>
          <w:szCs w:val="18"/>
        </w:rPr>
        <w:t xml:space="preserve"> op basis daarvan tot een robuuste uitvoeringsvariant te kunnen komen</w:t>
      </w:r>
      <w:r w:rsidR="00434109">
        <w:rPr>
          <w:rFonts w:ascii="Verdana" w:hAnsi="Verdana"/>
          <w:bCs/>
          <w:sz w:val="18"/>
          <w:szCs w:val="18"/>
        </w:rPr>
        <w:t xml:space="preserve">, leidend tot </w:t>
      </w:r>
      <w:r w:rsidR="00B4480F">
        <w:rPr>
          <w:rFonts w:ascii="Verdana" w:hAnsi="Verdana"/>
          <w:bCs/>
          <w:sz w:val="18"/>
          <w:szCs w:val="18"/>
        </w:rPr>
        <w:t>een eenduidig uitvoeringsproces</w:t>
      </w:r>
      <w:r w:rsidR="00794855">
        <w:rPr>
          <w:rFonts w:ascii="Verdana" w:hAnsi="Verdana"/>
          <w:bCs/>
          <w:sz w:val="18"/>
          <w:szCs w:val="18"/>
        </w:rPr>
        <w:t xml:space="preserve">. </w:t>
      </w:r>
    </w:p>
    <w:p w:rsidR="000E37B3" w:rsidP="000E37B3" w:rsidRDefault="000E37B3">
      <w:pPr>
        <w:rPr>
          <w:rFonts w:ascii="Verdana" w:hAnsi="Verdana"/>
          <w:bCs/>
          <w:sz w:val="18"/>
          <w:szCs w:val="18"/>
        </w:rPr>
      </w:pPr>
    </w:p>
    <w:p w:rsidR="005051EB" w:rsidP="00E13DB8" w:rsidRDefault="005051EB">
      <w:pPr>
        <w:rPr>
          <w:rFonts w:ascii="Verdana" w:hAnsi="Verdana"/>
          <w:bCs/>
          <w:sz w:val="18"/>
          <w:szCs w:val="18"/>
          <w:shd w:val="clear" w:color="auto" w:fill="F2F2F2" w:themeFill="background1" w:themeFillShade="F2"/>
        </w:rPr>
      </w:pPr>
      <w:r>
        <w:rPr>
          <w:rFonts w:ascii="Verdana" w:hAnsi="Verdana"/>
          <w:bCs/>
          <w:sz w:val="18"/>
          <w:szCs w:val="18"/>
        </w:rPr>
        <w:t xml:space="preserve">Illustratief </w:t>
      </w:r>
      <w:r w:rsidR="00CD4EE1">
        <w:rPr>
          <w:rFonts w:ascii="Verdana" w:hAnsi="Verdana"/>
          <w:bCs/>
          <w:sz w:val="18"/>
          <w:szCs w:val="18"/>
        </w:rPr>
        <w:t>voor de</w:t>
      </w:r>
      <w:r w:rsidR="009049D2">
        <w:rPr>
          <w:rFonts w:ascii="Verdana" w:hAnsi="Verdana"/>
          <w:bCs/>
          <w:sz w:val="18"/>
          <w:szCs w:val="18"/>
        </w:rPr>
        <w:t xml:space="preserve"> gezamenlijke </w:t>
      </w:r>
      <w:r w:rsidR="00CD4EE1">
        <w:rPr>
          <w:rFonts w:ascii="Verdana" w:hAnsi="Verdana"/>
          <w:bCs/>
          <w:sz w:val="18"/>
          <w:szCs w:val="18"/>
        </w:rPr>
        <w:t xml:space="preserve">aanpak </w:t>
      </w:r>
      <w:r>
        <w:rPr>
          <w:rFonts w:ascii="Verdana" w:hAnsi="Verdana"/>
          <w:bCs/>
          <w:sz w:val="18"/>
          <w:szCs w:val="18"/>
        </w:rPr>
        <w:t xml:space="preserve">is het door DUO geïmplementeerde </w:t>
      </w:r>
      <w:r w:rsidR="000B05E2">
        <w:rPr>
          <w:rFonts w:ascii="Verdana" w:hAnsi="Verdana"/>
          <w:bCs/>
          <w:sz w:val="18"/>
          <w:szCs w:val="18"/>
        </w:rPr>
        <w:t xml:space="preserve">succesvolle </w:t>
      </w:r>
      <w:r>
        <w:rPr>
          <w:rFonts w:ascii="Verdana" w:hAnsi="Verdana"/>
          <w:bCs/>
          <w:sz w:val="18"/>
          <w:szCs w:val="18"/>
        </w:rPr>
        <w:t>project waarin voor het Hoger Onderwijs en de studenten veel voordelen in de registratie- en inschrijfprocessen zijn behaald</w:t>
      </w:r>
      <w:r w:rsidR="00E13DB8">
        <w:rPr>
          <w:rFonts w:ascii="Verdana" w:hAnsi="Verdana"/>
          <w:bCs/>
          <w:sz w:val="18"/>
          <w:szCs w:val="18"/>
        </w:rPr>
        <w:t xml:space="preserve"> (BRON-HO)</w:t>
      </w:r>
      <w:r>
        <w:rPr>
          <w:rFonts w:ascii="Verdana" w:hAnsi="Verdana"/>
          <w:bCs/>
          <w:sz w:val="18"/>
          <w:szCs w:val="18"/>
        </w:rPr>
        <w:t xml:space="preserve">. Dit traject heeft zich onderscheiden door een </w:t>
      </w:r>
      <w:r w:rsidR="00E13DB8">
        <w:rPr>
          <w:rFonts w:ascii="Verdana" w:hAnsi="Verdana"/>
          <w:bCs/>
          <w:sz w:val="18"/>
          <w:szCs w:val="18"/>
        </w:rPr>
        <w:t>zeer goede</w:t>
      </w:r>
      <w:r>
        <w:rPr>
          <w:rFonts w:ascii="Verdana" w:hAnsi="Verdana"/>
          <w:bCs/>
          <w:sz w:val="18"/>
          <w:szCs w:val="18"/>
        </w:rPr>
        <w:t xml:space="preserve"> ketensamenwerking. </w:t>
      </w:r>
      <w:r w:rsidR="00434109">
        <w:rPr>
          <w:rFonts w:ascii="Verdana" w:hAnsi="Verdana"/>
          <w:bCs/>
          <w:sz w:val="18"/>
          <w:szCs w:val="18"/>
        </w:rPr>
        <w:t>D</w:t>
      </w:r>
      <w:r>
        <w:rPr>
          <w:rFonts w:ascii="Verdana" w:hAnsi="Verdana"/>
          <w:bCs/>
          <w:sz w:val="18"/>
          <w:szCs w:val="18"/>
        </w:rPr>
        <w:t xml:space="preserve">e verschillende </w:t>
      </w:r>
      <w:r w:rsidR="00434109">
        <w:rPr>
          <w:rFonts w:ascii="Verdana" w:hAnsi="Verdana"/>
          <w:bCs/>
          <w:sz w:val="18"/>
          <w:szCs w:val="18"/>
        </w:rPr>
        <w:t>keten</w:t>
      </w:r>
      <w:r>
        <w:rPr>
          <w:rFonts w:ascii="Verdana" w:hAnsi="Verdana"/>
          <w:bCs/>
          <w:sz w:val="18"/>
          <w:szCs w:val="18"/>
        </w:rPr>
        <w:t xml:space="preserve">partners </w:t>
      </w:r>
      <w:r w:rsidR="00434109">
        <w:rPr>
          <w:rFonts w:ascii="Verdana" w:hAnsi="Verdana"/>
          <w:bCs/>
          <w:sz w:val="18"/>
          <w:szCs w:val="18"/>
        </w:rPr>
        <w:t xml:space="preserve">hebben </w:t>
      </w:r>
      <w:r>
        <w:rPr>
          <w:rFonts w:ascii="Verdana" w:hAnsi="Verdana"/>
          <w:bCs/>
          <w:sz w:val="18"/>
          <w:szCs w:val="18"/>
        </w:rPr>
        <w:t xml:space="preserve">op basis van gelijkwaardigheid bepaald wat de benodigde functionaliteit moest zijn binnen het beschikbare budget, </w:t>
      </w:r>
      <w:r w:rsidR="002A2774">
        <w:rPr>
          <w:rFonts w:ascii="Verdana" w:hAnsi="Verdana"/>
          <w:bCs/>
          <w:sz w:val="18"/>
          <w:szCs w:val="18"/>
        </w:rPr>
        <w:t>hebben</w:t>
      </w:r>
      <w:r>
        <w:rPr>
          <w:rFonts w:ascii="Verdana" w:hAnsi="Verdana"/>
          <w:bCs/>
          <w:sz w:val="18"/>
          <w:szCs w:val="18"/>
        </w:rPr>
        <w:t xml:space="preserve"> gezamenlijke verantwoordelijkheden afgesproken en samen gebouwd, getest, geconverteerd en geïmplementeerd. </w:t>
      </w:r>
      <w:r w:rsidR="002A2774">
        <w:rPr>
          <w:rFonts w:ascii="Verdana" w:hAnsi="Verdana"/>
          <w:bCs/>
          <w:sz w:val="18"/>
          <w:szCs w:val="18"/>
        </w:rPr>
        <w:t>Zo</w:t>
      </w:r>
      <w:r>
        <w:rPr>
          <w:rFonts w:ascii="Verdana" w:hAnsi="Verdana"/>
          <w:bCs/>
          <w:sz w:val="18"/>
          <w:szCs w:val="18"/>
        </w:rPr>
        <w:t xml:space="preserve"> is gekomen tot soepel uitvoerbaar beleid in de gehele keten, binnen de kaders van de politieke doelstellingen, </w:t>
      </w:r>
      <w:r w:rsidRPr="00705247">
        <w:rPr>
          <w:rFonts w:ascii="Verdana" w:hAnsi="Verdana"/>
          <w:bCs/>
          <w:sz w:val="18"/>
          <w:szCs w:val="18"/>
        </w:rPr>
        <w:t>met (bewezen) lastenvermindering als een van de resultaten.</w:t>
      </w:r>
      <w:r>
        <w:rPr>
          <w:rFonts w:ascii="Verdana" w:hAnsi="Verdana"/>
          <w:bCs/>
          <w:sz w:val="18"/>
          <w:szCs w:val="18"/>
        </w:rPr>
        <w:t xml:space="preserve"> </w:t>
      </w:r>
    </w:p>
    <w:p w:rsidR="00E20011" w:rsidP="00E13DB8" w:rsidRDefault="00E13DB8">
      <w:pPr>
        <w:tabs>
          <w:tab w:val="left" w:pos="3218"/>
        </w:tabs>
        <w:rPr>
          <w:rFonts w:ascii="Verdana" w:hAnsi="Verdana"/>
          <w:bCs/>
          <w:sz w:val="18"/>
          <w:szCs w:val="18"/>
        </w:rPr>
      </w:pPr>
      <w:r>
        <w:rPr>
          <w:rFonts w:ascii="Verdana" w:hAnsi="Verdana"/>
          <w:bCs/>
          <w:sz w:val="18"/>
          <w:szCs w:val="18"/>
        </w:rPr>
        <w:tab/>
      </w:r>
    </w:p>
    <w:p w:rsidRPr="0038308D" w:rsidR="00FD13AA" w:rsidP="00FD13AA" w:rsidRDefault="0038308D">
      <w:pPr>
        <w:rPr>
          <w:rFonts w:ascii="Verdana" w:hAnsi="Verdana"/>
          <w:bCs/>
          <w:sz w:val="18"/>
          <w:szCs w:val="18"/>
        </w:rPr>
      </w:pPr>
      <w:r>
        <w:rPr>
          <w:rFonts w:ascii="Verdana" w:hAnsi="Verdana"/>
          <w:bCs/>
          <w:i/>
          <w:sz w:val="18"/>
          <w:szCs w:val="18"/>
        </w:rPr>
        <w:t>Succesvolle ICT-im</w:t>
      </w:r>
      <w:r w:rsidR="00C26C48">
        <w:rPr>
          <w:rFonts w:ascii="Verdana" w:hAnsi="Verdana"/>
          <w:bCs/>
          <w:i/>
          <w:sz w:val="18"/>
          <w:szCs w:val="18"/>
        </w:rPr>
        <w:t>p</w:t>
      </w:r>
      <w:r>
        <w:rPr>
          <w:rFonts w:ascii="Verdana" w:hAnsi="Verdana"/>
          <w:bCs/>
          <w:i/>
          <w:sz w:val="18"/>
          <w:szCs w:val="18"/>
        </w:rPr>
        <w:t>lementatie</w:t>
      </w:r>
    </w:p>
    <w:p w:rsidR="005C180F" w:rsidP="00BB3C1A" w:rsidRDefault="001216CC">
      <w:pPr>
        <w:rPr>
          <w:rFonts w:ascii="Verdana" w:hAnsi="Verdana"/>
          <w:bCs/>
          <w:sz w:val="18"/>
          <w:szCs w:val="18"/>
        </w:rPr>
      </w:pPr>
      <w:r w:rsidRPr="001216CC">
        <w:rPr>
          <w:rFonts w:ascii="Verdana" w:hAnsi="Verdana"/>
          <w:bCs/>
          <w:sz w:val="18"/>
          <w:szCs w:val="18"/>
        </w:rPr>
        <w:t>Het rapport Elias schetst</w:t>
      </w:r>
      <w:r w:rsidR="00EC65A5">
        <w:rPr>
          <w:rFonts w:ascii="Verdana" w:hAnsi="Verdana"/>
          <w:bCs/>
          <w:sz w:val="18"/>
          <w:szCs w:val="18"/>
        </w:rPr>
        <w:t>e</w:t>
      </w:r>
      <w:r w:rsidRPr="001216CC">
        <w:rPr>
          <w:rFonts w:ascii="Verdana" w:hAnsi="Verdana"/>
          <w:bCs/>
          <w:sz w:val="18"/>
          <w:szCs w:val="18"/>
        </w:rPr>
        <w:t xml:space="preserve"> in haar analyse een beeld van ICT-projecten die slecht bestuurd en beheerst worden</w:t>
      </w:r>
      <w:r w:rsidR="00EC65A5">
        <w:rPr>
          <w:rFonts w:ascii="Verdana" w:hAnsi="Verdana"/>
          <w:bCs/>
          <w:sz w:val="18"/>
          <w:szCs w:val="18"/>
        </w:rPr>
        <w:t xml:space="preserve">. </w:t>
      </w:r>
      <w:r w:rsidR="001150D8">
        <w:rPr>
          <w:rFonts w:ascii="Verdana" w:hAnsi="Verdana"/>
          <w:bCs/>
          <w:sz w:val="18"/>
          <w:szCs w:val="18"/>
        </w:rPr>
        <w:t>Een belangrijke geleerde les</w:t>
      </w:r>
      <w:r w:rsidR="0038308D">
        <w:rPr>
          <w:rFonts w:ascii="Verdana" w:hAnsi="Verdana"/>
          <w:bCs/>
          <w:sz w:val="18"/>
          <w:szCs w:val="18"/>
        </w:rPr>
        <w:t xml:space="preserve"> </w:t>
      </w:r>
      <w:r w:rsidR="001150D8">
        <w:rPr>
          <w:rFonts w:ascii="Verdana" w:hAnsi="Verdana"/>
          <w:bCs/>
          <w:sz w:val="18"/>
          <w:szCs w:val="18"/>
        </w:rPr>
        <w:t xml:space="preserve">is dat een systeem complex wordt als alle uitzonderingen in de wet- en regelgeving worden meegenomen en in de systemen worden geautomatiseerd en geïmplementeerd. </w:t>
      </w:r>
      <w:r w:rsidR="009B2B19">
        <w:rPr>
          <w:rFonts w:ascii="Verdana" w:hAnsi="Verdana"/>
          <w:bCs/>
          <w:sz w:val="18"/>
          <w:szCs w:val="18"/>
        </w:rPr>
        <w:t>Voortdurende bewaking van de complexiteit van het geautomatiseerde systeem is noodzakelijk. De</w:t>
      </w:r>
      <w:r w:rsidRPr="00753C6F" w:rsidR="005C180F">
        <w:rPr>
          <w:rFonts w:ascii="Verdana" w:hAnsi="Verdana"/>
          <w:bCs/>
          <w:sz w:val="18"/>
          <w:szCs w:val="18"/>
        </w:rPr>
        <w:t xml:space="preserve"> slaagkans </w:t>
      </w:r>
      <w:r w:rsidRPr="00753C6F" w:rsidR="009B2B19">
        <w:rPr>
          <w:rFonts w:ascii="Verdana" w:hAnsi="Verdana"/>
          <w:bCs/>
          <w:sz w:val="18"/>
          <w:szCs w:val="18"/>
        </w:rPr>
        <w:t xml:space="preserve">wordt </w:t>
      </w:r>
      <w:r w:rsidRPr="00753C6F" w:rsidR="005C180F">
        <w:rPr>
          <w:rFonts w:ascii="Verdana" w:hAnsi="Verdana"/>
          <w:bCs/>
          <w:sz w:val="18"/>
          <w:szCs w:val="18"/>
        </w:rPr>
        <w:t xml:space="preserve">vergroot bij werken onder architectuur </w:t>
      </w:r>
      <w:r w:rsidR="00CA2481">
        <w:rPr>
          <w:rFonts w:ascii="Verdana" w:hAnsi="Verdana"/>
          <w:bCs/>
          <w:sz w:val="18"/>
          <w:szCs w:val="18"/>
        </w:rPr>
        <w:t xml:space="preserve">om aansluiting op bestaande systemen in de organisatie en keten te borgen </w:t>
      </w:r>
      <w:r w:rsidRPr="00753C6F" w:rsidR="005C180F">
        <w:rPr>
          <w:rFonts w:ascii="Verdana" w:hAnsi="Verdana"/>
          <w:bCs/>
          <w:sz w:val="18"/>
          <w:szCs w:val="18"/>
        </w:rPr>
        <w:t xml:space="preserve">en </w:t>
      </w:r>
      <w:r w:rsidR="00F1504B">
        <w:rPr>
          <w:rFonts w:ascii="Verdana" w:hAnsi="Verdana"/>
          <w:bCs/>
          <w:sz w:val="18"/>
          <w:szCs w:val="18"/>
        </w:rPr>
        <w:t xml:space="preserve">risico’s verminderen door </w:t>
      </w:r>
      <w:r w:rsidRPr="00753C6F" w:rsidR="005C180F">
        <w:rPr>
          <w:rFonts w:ascii="Verdana" w:hAnsi="Verdana"/>
          <w:bCs/>
          <w:sz w:val="18"/>
          <w:szCs w:val="18"/>
        </w:rPr>
        <w:t>het hergebruik van bewezen concepten.</w:t>
      </w:r>
    </w:p>
    <w:p w:rsidR="00732347" w:rsidP="00BB3C1A" w:rsidRDefault="005C180F">
      <w:pPr>
        <w:rPr>
          <w:rFonts w:ascii="Verdana" w:hAnsi="Verdana"/>
          <w:bCs/>
          <w:sz w:val="18"/>
          <w:szCs w:val="18"/>
        </w:rPr>
      </w:pPr>
      <w:r>
        <w:rPr>
          <w:rFonts w:ascii="Verdana" w:hAnsi="Verdana"/>
          <w:bCs/>
          <w:sz w:val="18"/>
          <w:szCs w:val="18"/>
        </w:rPr>
        <w:t xml:space="preserve">Daar zet DUO op in. </w:t>
      </w:r>
      <w:r w:rsidR="00753C6F">
        <w:rPr>
          <w:rFonts w:ascii="Verdana" w:hAnsi="Verdana"/>
          <w:bCs/>
          <w:sz w:val="18"/>
          <w:szCs w:val="18"/>
        </w:rPr>
        <w:t xml:space="preserve">DUO werkt </w:t>
      </w:r>
      <w:r w:rsidR="002A2774">
        <w:rPr>
          <w:rFonts w:ascii="Verdana" w:hAnsi="Verdana"/>
          <w:bCs/>
          <w:sz w:val="18"/>
          <w:szCs w:val="18"/>
        </w:rPr>
        <w:t xml:space="preserve">via de simulatieomgeving </w:t>
      </w:r>
      <w:r w:rsidR="00753C6F">
        <w:rPr>
          <w:rFonts w:ascii="Verdana" w:hAnsi="Verdana"/>
          <w:bCs/>
          <w:sz w:val="18"/>
          <w:szCs w:val="18"/>
        </w:rPr>
        <w:t>mee aan heldere en eenduidige wet- en regelgeving voor alle betrokken actoren in de uitvoeringsketen.</w:t>
      </w:r>
      <w:r w:rsidR="00302FC2">
        <w:rPr>
          <w:rFonts w:ascii="Verdana" w:hAnsi="Verdana"/>
          <w:bCs/>
          <w:sz w:val="18"/>
          <w:szCs w:val="18"/>
        </w:rPr>
        <w:t xml:space="preserve"> En b</w:t>
      </w:r>
      <w:r>
        <w:rPr>
          <w:rFonts w:ascii="Verdana" w:hAnsi="Verdana"/>
          <w:bCs/>
          <w:sz w:val="18"/>
          <w:szCs w:val="18"/>
        </w:rPr>
        <w:t>ij d</w:t>
      </w:r>
      <w:r w:rsidR="00873044">
        <w:rPr>
          <w:rFonts w:ascii="Verdana" w:hAnsi="Verdana"/>
          <w:bCs/>
          <w:sz w:val="18"/>
          <w:szCs w:val="18"/>
        </w:rPr>
        <w:t xml:space="preserve">e uit te werken realisatiestrategie wordt uitgegaan van het principe van werken onder architectuur en het </w:t>
      </w:r>
      <w:r w:rsidR="00BB3C1A">
        <w:rPr>
          <w:rFonts w:ascii="Verdana" w:hAnsi="Verdana"/>
          <w:bCs/>
          <w:sz w:val="18"/>
          <w:szCs w:val="18"/>
        </w:rPr>
        <w:t xml:space="preserve">hergebruik van goed-draaiende </w:t>
      </w:r>
      <w:r w:rsidR="001B0855">
        <w:rPr>
          <w:rFonts w:ascii="Verdana" w:hAnsi="Verdana"/>
          <w:bCs/>
          <w:sz w:val="18"/>
          <w:szCs w:val="18"/>
        </w:rPr>
        <w:t>DUO-</w:t>
      </w:r>
      <w:r w:rsidR="00873044">
        <w:rPr>
          <w:rFonts w:ascii="Verdana" w:hAnsi="Verdana"/>
          <w:bCs/>
          <w:sz w:val="18"/>
          <w:szCs w:val="18"/>
        </w:rPr>
        <w:t>systeemfunctionaliteiten</w:t>
      </w:r>
      <w:r w:rsidR="00BB3C1A">
        <w:rPr>
          <w:rFonts w:ascii="Verdana" w:hAnsi="Verdana"/>
          <w:bCs/>
          <w:sz w:val="18"/>
          <w:szCs w:val="18"/>
        </w:rPr>
        <w:t>.</w:t>
      </w:r>
    </w:p>
    <w:p w:rsidR="0081497A" w:rsidP="00FD13AA" w:rsidRDefault="0081497A">
      <w:pPr>
        <w:rPr>
          <w:rFonts w:ascii="Verdana" w:hAnsi="Verdana"/>
          <w:bCs/>
          <w:sz w:val="18"/>
          <w:szCs w:val="18"/>
        </w:rPr>
      </w:pPr>
    </w:p>
    <w:p w:rsidR="000B05E2" w:rsidP="000B05E2" w:rsidRDefault="000B05E2">
      <w:pPr>
        <w:rPr>
          <w:rFonts w:ascii="Verdana" w:hAnsi="Verdana"/>
          <w:bCs/>
          <w:sz w:val="18"/>
          <w:szCs w:val="18"/>
        </w:rPr>
      </w:pPr>
      <w:r>
        <w:rPr>
          <w:rFonts w:ascii="Verdana" w:hAnsi="Verdana"/>
          <w:bCs/>
          <w:sz w:val="18"/>
          <w:szCs w:val="18"/>
        </w:rPr>
        <w:t>DUO hecht aan goede besturing van het programma met een zorgvuldig transitietraject, inclusief bewaking van de invoeringsrisico’s.</w:t>
      </w:r>
      <w:r w:rsidRPr="001B0855">
        <w:rPr>
          <w:rFonts w:ascii="Verdana" w:hAnsi="Verdana"/>
          <w:bCs/>
          <w:sz w:val="18"/>
          <w:szCs w:val="18"/>
        </w:rPr>
        <w:t xml:space="preserve"> </w:t>
      </w:r>
      <w:r>
        <w:rPr>
          <w:rFonts w:ascii="Verdana" w:hAnsi="Verdana"/>
          <w:bCs/>
          <w:sz w:val="18"/>
          <w:szCs w:val="18"/>
        </w:rPr>
        <w:t xml:space="preserve">Gezorgd moet worden dat de kinderopvanginstellingen tijdig kunnen aansluiten op de systemen van DUO en dat </w:t>
      </w:r>
      <w:r w:rsidR="00C1764F">
        <w:rPr>
          <w:rFonts w:ascii="Verdana" w:hAnsi="Verdana"/>
          <w:bCs/>
          <w:sz w:val="18"/>
          <w:szCs w:val="18"/>
        </w:rPr>
        <w:t xml:space="preserve">de transitie in goede samenwerking </w:t>
      </w:r>
      <w:r>
        <w:rPr>
          <w:rFonts w:ascii="Verdana" w:hAnsi="Verdana"/>
          <w:bCs/>
          <w:sz w:val="18"/>
          <w:szCs w:val="18"/>
        </w:rPr>
        <w:t xml:space="preserve">met de </w:t>
      </w:r>
      <w:r w:rsidR="00C1764F">
        <w:rPr>
          <w:rFonts w:ascii="Verdana" w:hAnsi="Verdana"/>
          <w:bCs/>
          <w:sz w:val="18"/>
          <w:szCs w:val="18"/>
        </w:rPr>
        <w:t>B</w:t>
      </w:r>
      <w:r>
        <w:rPr>
          <w:rFonts w:ascii="Verdana" w:hAnsi="Verdana"/>
          <w:bCs/>
          <w:sz w:val="18"/>
          <w:szCs w:val="18"/>
        </w:rPr>
        <w:t xml:space="preserve">elastingdienst plaatsvindt. Dit vraagt </w:t>
      </w:r>
      <w:r w:rsidR="00343EB5">
        <w:rPr>
          <w:rFonts w:ascii="Verdana" w:hAnsi="Verdana"/>
          <w:bCs/>
          <w:sz w:val="18"/>
          <w:szCs w:val="18"/>
        </w:rPr>
        <w:t>om</w:t>
      </w:r>
      <w:r>
        <w:rPr>
          <w:rFonts w:ascii="Verdana" w:hAnsi="Verdana"/>
          <w:bCs/>
          <w:sz w:val="18"/>
          <w:szCs w:val="18"/>
        </w:rPr>
        <w:t xml:space="preserve"> goede afstemming en overleg, en een zorgvuldig pad om te bewandelen. Stakeholders zijn betrokken bij het in kaart brengen en herijken van de risico’s gedurende het realisatietraject.</w:t>
      </w:r>
    </w:p>
    <w:p w:rsidR="000B05E2" w:rsidP="000B05E2" w:rsidRDefault="000B05E2">
      <w:pPr>
        <w:rPr>
          <w:rFonts w:ascii="Verdana" w:hAnsi="Verdana"/>
          <w:bCs/>
          <w:sz w:val="18"/>
          <w:szCs w:val="18"/>
        </w:rPr>
      </w:pPr>
    </w:p>
    <w:p w:rsidR="00F50794" w:rsidP="00F50794" w:rsidRDefault="00F50794">
      <w:pPr>
        <w:rPr>
          <w:rFonts w:ascii="Verdana" w:hAnsi="Verdana"/>
          <w:bCs/>
          <w:sz w:val="18"/>
          <w:szCs w:val="18"/>
        </w:rPr>
      </w:pPr>
      <w:r>
        <w:rPr>
          <w:rFonts w:ascii="Verdana" w:hAnsi="Verdana"/>
          <w:bCs/>
          <w:sz w:val="18"/>
          <w:szCs w:val="18"/>
        </w:rPr>
        <w:t xml:space="preserve">Gericht op de versterking van de beheersing en besturing van ICT-projecten heeft het kabinet het Bureau ICT-Toetsing (BIT) ingesteld. De invoering van de nieuwe financieringssystematiek kinderopvang </w:t>
      </w:r>
      <w:r w:rsidR="002B471A">
        <w:rPr>
          <w:rFonts w:ascii="Verdana" w:hAnsi="Verdana"/>
          <w:bCs/>
          <w:sz w:val="18"/>
          <w:szCs w:val="18"/>
        </w:rPr>
        <w:t xml:space="preserve">is dusdanig dat BIT </w:t>
      </w:r>
      <w:r>
        <w:rPr>
          <w:rFonts w:ascii="Verdana" w:hAnsi="Verdana"/>
          <w:bCs/>
          <w:sz w:val="18"/>
          <w:szCs w:val="18"/>
        </w:rPr>
        <w:t>toetst of het project aan een aantal cruciale eisen voldoet.</w:t>
      </w:r>
      <w:r w:rsidRPr="001B722A" w:rsidR="001B722A">
        <w:rPr>
          <w:rFonts w:ascii="Verdana" w:hAnsi="Verdana"/>
          <w:bCs/>
          <w:sz w:val="18"/>
          <w:szCs w:val="18"/>
        </w:rPr>
        <w:t xml:space="preserve"> </w:t>
      </w:r>
      <w:r w:rsidR="001B722A">
        <w:rPr>
          <w:rFonts w:ascii="Verdana" w:hAnsi="Verdana"/>
          <w:bCs/>
          <w:sz w:val="18"/>
          <w:szCs w:val="18"/>
        </w:rPr>
        <w:t xml:space="preserve">DUO </w:t>
      </w:r>
      <w:r w:rsidR="002B471A">
        <w:rPr>
          <w:rFonts w:ascii="Verdana" w:hAnsi="Verdana"/>
          <w:bCs/>
          <w:sz w:val="18"/>
          <w:szCs w:val="18"/>
        </w:rPr>
        <w:t>betrekt</w:t>
      </w:r>
      <w:r w:rsidR="001B722A">
        <w:rPr>
          <w:rFonts w:ascii="Verdana" w:hAnsi="Verdana"/>
          <w:bCs/>
          <w:sz w:val="18"/>
          <w:szCs w:val="18"/>
        </w:rPr>
        <w:t xml:space="preserve"> het toetsingskader van het BIT aan de voorkant bij de aanpak van </w:t>
      </w:r>
      <w:r w:rsidR="002A2774">
        <w:rPr>
          <w:rFonts w:ascii="Verdana" w:hAnsi="Verdana"/>
          <w:bCs/>
          <w:sz w:val="18"/>
          <w:szCs w:val="18"/>
        </w:rPr>
        <w:t xml:space="preserve">de </w:t>
      </w:r>
      <w:r w:rsidR="001B722A">
        <w:rPr>
          <w:rFonts w:ascii="Verdana" w:hAnsi="Verdana"/>
          <w:bCs/>
          <w:sz w:val="18"/>
          <w:szCs w:val="18"/>
        </w:rPr>
        <w:t xml:space="preserve">ICT-ontwikkeling. </w:t>
      </w:r>
    </w:p>
    <w:p w:rsidR="00F7151A" w:rsidP="0037600F" w:rsidRDefault="00F7151A">
      <w:pPr>
        <w:rPr>
          <w:rFonts w:ascii="Verdana" w:hAnsi="Verdana"/>
          <w:bCs/>
          <w:sz w:val="18"/>
          <w:szCs w:val="18"/>
        </w:rPr>
      </w:pPr>
    </w:p>
    <w:p w:rsidRPr="005D521F" w:rsidR="005D521F" w:rsidP="0037600F" w:rsidRDefault="005D521F">
      <w:pPr>
        <w:rPr>
          <w:rFonts w:ascii="Verdana" w:hAnsi="Verdana"/>
          <w:bCs/>
          <w:i/>
          <w:sz w:val="18"/>
          <w:szCs w:val="18"/>
        </w:rPr>
      </w:pPr>
      <w:r w:rsidRPr="005D521F">
        <w:rPr>
          <w:rFonts w:ascii="Verdana" w:hAnsi="Verdana"/>
          <w:bCs/>
          <w:i/>
          <w:sz w:val="18"/>
          <w:szCs w:val="18"/>
        </w:rPr>
        <w:t xml:space="preserve">Afsluiting </w:t>
      </w:r>
    </w:p>
    <w:p w:rsidRPr="00FE61E4" w:rsidR="00C91C63" w:rsidP="00C91C63" w:rsidRDefault="00C91C63">
      <w:pPr>
        <w:rPr>
          <w:rFonts w:ascii="Verdana" w:hAnsi="Verdana"/>
          <w:sz w:val="18"/>
          <w:szCs w:val="18"/>
        </w:rPr>
      </w:pPr>
      <w:r w:rsidRPr="00FE61E4">
        <w:rPr>
          <w:rFonts w:ascii="Verdana" w:hAnsi="Verdana"/>
          <w:sz w:val="18"/>
          <w:szCs w:val="18"/>
        </w:rPr>
        <w:t xml:space="preserve">Tot besluit </w:t>
      </w:r>
      <w:r w:rsidR="0086151A">
        <w:rPr>
          <w:rFonts w:ascii="Verdana" w:hAnsi="Verdana"/>
          <w:sz w:val="18"/>
          <w:szCs w:val="18"/>
        </w:rPr>
        <w:t>kan</w:t>
      </w:r>
      <w:r w:rsidRPr="00FE61E4">
        <w:rPr>
          <w:rFonts w:ascii="Verdana" w:hAnsi="Verdana"/>
          <w:sz w:val="18"/>
          <w:szCs w:val="18"/>
        </w:rPr>
        <w:t xml:space="preserve"> het als volgt </w:t>
      </w:r>
      <w:r w:rsidR="0086151A">
        <w:rPr>
          <w:rFonts w:ascii="Verdana" w:hAnsi="Verdana"/>
          <w:sz w:val="18"/>
          <w:szCs w:val="18"/>
        </w:rPr>
        <w:t xml:space="preserve">worden </w:t>
      </w:r>
      <w:r w:rsidRPr="00FE61E4">
        <w:rPr>
          <w:rFonts w:ascii="Verdana" w:hAnsi="Verdana"/>
          <w:sz w:val="18"/>
          <w:szCs w:val="18"/>
        </w:rPr>
        <w:t>samen</w:t>
      </w:r>
      <w:r w:rsidR="0086151A">
        <w:rPr>
          <w:rFonts w:ascii="Verdana" w:hAnsi="Verdana"/>
          <w:sz w:val="18"/>
          <w:szCs w:val="18"/>
        </w:rPr>
        <w:t>gevat</w:t>
      </w:r>
      <w:r w:rsidRPr="00FE61E4">
        <w:rPr>
          <w:rFonts w:ascii="Verdana" w:hAnsi="Verdana"/>
          <w:sz w:val="18"/>
          <w:szCs w:val="18"/>
        </w:rPr>
        <w:t>:</w:t>
      </w:r>
    </w:p>
    <w:p w:rsidRPr="00FE61E4" w:rsidR="00C91C63" w:rsidP="00C91C63" w:rsidRDefault="0086151A">
      <w:pPr>
        <w:pStyle w:val="Lijstalinea"/>
        <w:numPr>
          <w:ilvl w:val="0"/>
          <w:numId w:val="1"/>
        </w:numPr>
        <w:rPr>
          <w:rFonts w:ascii="Verdana" w:hAnsi="Verdana"/>
          <w:sz w:val="18"/>
          <w:szCs w:val="18"/>
        </w:rPr>
      </w:pPr>
      <w:r>
        <w:rPr>
          <w:rFonts w:ascii="Verdana" w:hAnsi="Verdana"/>
          <w:sz w:val="18"/>
          <w:szCs w:val="18"/>
        </w:rPr>
        <w:t>DUO is ervan overtuigd</w:t>
      </w:r>
      <w:r w:rsidRPr="00FE61E4" w:rsidR="00F958DE">
        <w:rPr>
          <w:rFonts w:ascii="Verdana" w:hAnsi="Verdana"/>
          <w:sz w:val="18"/>
          <w:szCs w:val="18"/>
        </w:rPr>
        <w:t xml:space="preserve"> dat </w:t>
      </w:r>
      <w:r w:rsidRPr="00FE61E4" w:rsidR="00C91C63">
        <w:rPr>
          <w:rFonts w:ascii="Verdana" w:hAnsi="Verdana"/>
          <w:sz w:val="18"/>
          <w:szCs w:val="18"/>
        </w:rPr>
        <w:t xml:space="preserve">het concept van de </w:t>
      </w:r>
      <w:r w:rsidR="00984A5B">
        <w:rPr>
          <w:rFonts w:ascii="Verdana" w:hAnsi="Verdana"/>
          <w:sz w:val="18"/>
          <w:szCs w:val="18"/>
        </w:rPr>
        <w:t>digitale</w:t>
      </w:r>
      <w:r w:rsidRPr="00FE61E4" w:rsidR="00C91C63">
        <w:rPr>
          <w:rFonts w:ascii="Verdana" w:hAnsi="Verdana"/>
          <w:sz w:val="18"/>
          <w:szCs w:val="18"/>
        </w:rPr>
        <w:t xml:space="preserve"> portemonnee een bijdrage gaat leveren aan </w:t>
      </w:r>
      <w:r w:rsidRPr="00FE61E4" w:rsidR="00F958DE">
        <w:rPr>
          <w:rFonts w:ascii="Verdana" w:hAnsi="Verdana"/>
          <w:sz w:val="18"/>
          <w:szCs w:val="18"/>
        </w:rPr>
        <w:t>het ver</w:t>
      </w:r>
      <w:r w:rsidRPr="00FE61E4" w:rsidR="00C91C63">
        <w:rPr>
          <w:rFonts w:ascii="Verdana" w:hAnsi="Verdana"/>
          <w:sz w:val="18"/>
          <w:szCs w:val="18"/>
        </w:rPr>
        <w:t>minde</w:t>
      </w:r>
      <w:r w:rsidRPr="00FE61E4" w:rsidR="00F958DE">
        <w:rPr>
          <w:rFonts w:ascii="Verdana" w:hAnsi="Verdana"/>
          <w:sz w:val="18"/>
          <w:szCs w:val="18"/>
        </w:rPr>
        <w:t xml:space="preserve">ren van </w:t>
      </w:r>
      <w:r w:rsidR="009E071B">
        <w:rPr>
          <w:rFonts w:ascii="Verdana" w:hAnsi="Verdana"/>
          <w:sz w:val="18"/>
          <w:szCs w:val="18"/>
        </w:rPr>
        <w:t xml:space="preserve">complexiteit en </w:t>
      </w:r>
      <w:r w:rsidRPr="00FE61E4" w:rsidR="00C91C63">
        <w:rPr>
          <w:rFonts w:ascii="Verdana" w:hAnsi="Verdana"/>
          <w:sz w:val="18"/>
          <w:szCs w:val="18"/>
        </w:rPr>
        <w:t>administratieve last</w:t>
      </w:r>
      <w:r w:rsidRPr="00FE61E4" w:rsidR="00F958DE">
        <w:rPr>
          <w:rFonts w:ascii="Verdana" w:hAnsi="Verdana"/>
          <w:sz w:val="18"/>
          <w:szCs w:val="18"/>
        </w:rPr>
        <w:t>en voor zowel</w:t>
      </w:r>
      <w:r w:rsidRPr="00FE61E4" w:rsidR="00C91C63">
        <w:rPr>
          <w:rFonts w:ascii="Verdana" w:hAnsi="Verdana"/>
          <w:sz w:val="18"/>
          <w:szCs w:val="18"/>
        </w:rPr>
        <w:t xml:space="preserve"> ouders</w:t>
      </w:r>
      <w:r w:rsidRPr="00FE61E4" w:rsidR="00F958DE">
        <w:rPr>
          <w:rFonts w:ascii="Verdana" w:hAnsi="Verdana"/>
          <w:sz w:val="18"/>
          <w:szCs w:val="18"/>
        </w:rPr>
        <w:t xml:space="preserve"> als </w:t>
      </w:r>
      <w:r w:rsidRPr="00FE61E4" w:rsidR="00C91C63">
        <w:rPr>
          <w:rFonts w:ascii="Verdana" w:hAnsi="Verdana"/>
          <w:sz w:val="18"/>
          <w:szCs w:val="18"/>
        </w:rPr>
        <w:t>instelling</w:t>
      </w:r>
      <w:r w:rsidR="00966954">
        <w:rPr>
          <w:rFonts w:ascii="Verdana" w:hAnsi="Verdana"/>
          <w:sz w:val="18"/>
          <w:szCs w:val="18"/>
        </w:rPr>
        <w:t>en</w:t>
      </w:r>
      <w:r w:rsidRPr="00FE61E4" w:rsidR="00F958DE">
        <w:rPr>
          <w:rFonts w:ascii="Verdana" w:hAnsi="Verdana"/>
          <w:sz w:val="18"/>
          <w:szCs w:val="18"/>
        </w:rPr>
        <w:t>.</w:t>
      </w:r>
    </w:p>
    <w:p w:rsidRPr="00FE61E4" w:rsidR="00C91C63" w:rsidP="00C91C63" w:rsidRDefault="0086151A">
      <w:pPr>
        <w:pStyle w:val="Lijstalinea"/>
        <w:numPr>
          <w:ilvl w:val="0"/>
          <w:numId w:val="1"/>
        </w:numPr>
        <w:rPr>
          <w:rFonts w:ascii="Verdana" w:hAnsi="Verdana"/>
          <w:sz w:val="18"/>
          <w:szCs w:val="18"/>
        </w:rPr>
      </w:pPr>
      <w:r>
        <w:rPr>
          <w:rFonts w:ascii="Verdana" w:hAnsi="Verdana"/>
          <w:sz w:val="18"/>
          <w:szCs w:val="18"/>
        </w:rPr>
        <w:t>DUO heeft</w:t>
      </w:r>
      <w:r w:rsidRPr="00FE61E4" w:rsidR="00C91C63">
        <w:rPr>
          <w:rFonts w:ascii="Verdana" w:hAnsi="Verdana"/>
          <w:sz w:val="18"/>
          <w:szCs w:val="18"/>
        </w:rPr>
        <w:t xml:space="preserve"> een aanpak gericht op het samen beproeven wat </w:t>
      </w:r>
      <w:r w:rsidR="00CC7E53">
        <w:rPr>
          <w:rFonts w:ascii="Verdana" w:hAnsi="Verdana"/>
          <w:sz w:val="18"/>
          <w:szCs w:val="18"/>
        </w:rPr>
        <w:t>het beste</w:t>
      </w:r>
      <w:r w:rsidRPr="00FE61E4" w:rsidR="00C91C63">
        <w:rPr>
          <w:rFonts w:ascii="Verdana" w:hAnsi="Verdana"/>
          <w:sz w:val="18"/>
          <w:szCs w:val="18"/>
        </w:rPr>
        <w:t xml:space="preserve"> werkt</w:t>
      </w:r>
      <w:r w:rsidRPr="002A2774" w:rsidR="002A2774">
        <w:rPr>
          <w:rFonts w:ascii="Verdana" w:hAnsi="Verdana"/>
          <w:sz w:val="18"/>
          <w:szCs w:val="18"/>
        </w:rPr>
        <w:t xml:space="preserve"> </w:t>
      </w:r>
      <w:r w:rsidR="00D25E1C">
        <w:rPr>
          <w:rFonts w:ascii="Verdana" w:hAnsi="Verdana"/>
          <w:sz w:val="18"/>
          <w:szCs w:val="18"/>
        </w:rPr>
        <w:t>voortbouwend op</w:t>
      </w:r>
      <w:r w:rsidR="002A2774">
        <w:rPr>
          <w:rFonts w:ascii="Verdana" w:hAnsi="Verdana"/>
          <w:sz w:val="18"/>
          <w:szCs w:val="18"/>
        </w:rPr>
        <w:t xml:space="preserve"> bestaande succesvolle uitvoeringsprocessen</w:t>
      </w:r>
      <w:r w:rsidR="00DA6D62">
        <w:rPr>
          <w:rFonts w:ascii="Verdana" w:hAnsi="Verdana"/>
          <w:sz w:val="18"/>
          <w:szCs w:val="18"/>
        </w:rPr>
        <w:t xml:space="preserve">. </w:t>
      </w:r>
      <w:r w:rsidR="00844577">
        <w:rPr>
          <w:rFonts w:ascii="Verdana" w:hAnsi="Verdana"/>
          <w:sz w:val="18"/>
          <w:szCs w:val="18"/>
        </w:rPr>
        <w:t>De simulatie is bedoeld</w:t>
      </w:r>
      <w:r w:rsidR="004442DE">
        <w:rPr>
          <w:rFonts w:ascii="Verdana" w:hAnsi="Verdana"/>
          <w:sz w:val="18"/>
          <w:szCs w:val="18"/>
        </w:rPr>
        <w:t xml:space="preserve"> om het uitvoeringsproces en de </w:t>
      </w:r>
      <w:r w:rsidR="00D25E1C">
        <w:rPr>
          <w:rFonts w:ascii="Verdana" w:hAnsi="Verdana"/>
          <w:sz w:val="18"/>
          <w:szCs w:val="18"/>
        </w:rPr>
        <w:t xml:space="preserve">ondersteunende </w:t>
      </w:r>
      <w:r w:rsidR="004442DE">
        <w:rPr>
          <w:rFonts w:ascii="Verdana" w:hAnsi="Verdana"/>
          <w:sz w:val="18"/>
          <w:szCs w:val="18"/>
        </w:rPr>
        <w:t xml:space="preserve">ICT te optimaliseren. Door het hergebruik van goed werkende ICT-functionaliteit en het werken met een simulatieomgeving kunnen </w:t>
      </w:r>
      <w:r w:rsidR="00BE77B9">
        <w:rPr>
          <w:rFonts w:ascii="Verdana" w:hAnsi="Verdana"/>
          <w:sz w:val="18"/>
          <w:szCs w:val="18"/>
        </w:rPr>
        <w:t>ICT-</w:t>
      </w:r>
      <w:r w:rsidR="00BE77B9">
        <w:rPr>
          <w:rFonts w:ascii="Verdana" w:hAnsi="Verdana"/>
          <w:sz w:val="18"/>
          <w:szCs w:val="18"/>
        </w:rPr>
        <w:t xml:space="preserve"> </w:t>
      </w:r>
      <w:r w:rsidR="004442DE">
        <w:rPr>
          <w:rFonts w:ascii="Verdana" w:hAnsi="Verdana"/>
          <w:sz w:val="18"/>
          <w:szCs w:val="18"/>
        </w:rPr>
        <w:t>risico’s goed gemanaged worden.</w:t>
      </w:r>
    </w:p>
    <w:p w:rsidRPr="00FE61E4" w:rsidR="005D521F" w:rsidP="0037600F" w:rsidRDefault="005D521F">
      <w:pPr>
        <w:rPr>
          <w:rFonts w:ascii="Verdana" w:hAnsi="Verdana"/>
          <w:sz w:val="18"/>
          <w:szCs w:val="18"/>
        </w:rPr>
      </w:pPr>
    </w:p>
    <w:p w:rsidR="001E5EC9" w:rsidRDefault="001E5EC9">
      <w:pPr>
        <w:spacing w:after="200" w:line="276" w:lineRule="auto"/>
        <w:rPr>
          <w:rFonts w:ascii="Verdana" w:hAnsi="Verdana"/>
          <w:sz w:val="18"/>
          <w:szCs w:val="18"/>
        </w:rPr>
      </w:pPr>
      <w:r>
        <w:rPr>
          <w:rFonts w:ascii="Verdana" w:hAnsi="Verdana"/>
          <w:sz w:val="18"/>
          <w:szCs w:val="18"/>
        </w:rPr>
        <w:br w:type="page"/>
      </w:r>
    </w:p>
    <w:sectPr w:rsidR="001E5EC9" w:rsidSect="00281AFB">
      <w:headerReference w:type="first" r:id="rId9"/>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FE5" w:rsidRDefault="00C43FE5" w:rsidP="00BA7787">
      <w:r>
        <w:separator/>
      </w:r>
    </w:p>
  </w:endnote>
  <w:endnote w:type="continuationSeparator" w:id="0">
    <w:p w:rsidR="00C43FE5" w:rsidRDefault="00C43FE5" w:rsidP="00BA7787">
      <w:r>
        <w:continuationSeparator/>
      </w:r>
    </w:p>
  </w:endnote>
  <w:endnote w:id="1">
    <w:p w:rsidR="00532817" w:rsidRPr="00532817" w:rsidRDefault="00532817">
      <w:pPr>
        <w:pStyle w:val="Eindnoottekst"/>
        <w:rPr>
          <w:rFonts w:ascii="Verdana" w:hAnsi="Verdana"/>
          <w:sz w:val="16"/>
          <w:szCs w:val="16"/>
        </w:rPr>
      </w:pPr>
      <w:r w:rsidRPr="00532817">
        <w:endnoteRef/>
      </w:r>
      <w:r w:rsidRPr="00532817">
        <w:rPr>
          <w:rFonts w:ascii="Verdana" w:hAnsi="Verdana"/>
          <w:sz w:val="16"/>
          <w:szCs w:val="16"/>
        </w:rPr>
        <w:t xml:space="preserve"> </w:t>
      </w:r>
      <w:r w:rsidR="00094FFC">
        <w:rPr>
          <w:rFonts w:ascii="Verdana" w:hAnsi="Verdana"/>
          <w:sz w:val="16"/>
          <w:szCs w:val="16"/>
        </w:rPr>
        <w:t>Huidige financiering van het onderwijs door DUO</w:t>
      </w:r>
      <w:r w:rsidRPr="00532817">
        <w:rPr>
          <w:rFonts w:ascii="Verdana" w:hAnsi="Verdana"/>
          <w:sz w:val="16"/>
          <w:szCs w:val="16"/>
        </w:rPr>
        <w:t>:</w:t>
      </w:r>
    </w:p>
    <w:p w:rsidR="00532817" w:rsidRDefault="0079708F">
      <w:pPr>
        <w:pStyle w:val="Eindnoottekst"/>
        <w:rPr>
          <w:rFonts w:ascii="Verdana" w:hAnsi="Verdana"/>
          <w:sz w:val="16"/>
          <w:szCs w:val="16"/>
        </w:rPr>
      </w:pPr>
      <w:r>
        <w:rPr>
          <w:rFonts w:ascii="Verdana" w:hAnsi="Verdana"/>
          <w:sz w:val="16"/>
          <w:szCs w:val="16"/>
        </w:rPr>
        <w:t>DUO is een middelgrote uitvoeringsorganisatie die op dit moment dienstverlening biedt aan 3,8 miljoen onderwijsvolgers</w:t>
      </w:r>
      <w:r w:rsidR="00CC73DC">
        <w:rPr>
          <w:rFonts w:ascii="Verdana" w:hAnsi="Verdana"/>
          <w:sz w:val="16"/>
          <w:szCs w:val="16"/>
        </w:rPr>
        <w:t>,</w:t>
      </w:r>
      <w:r>
        <w:rPr>
          <w:rFonts w:ascii="Verdana" w:hAnsi="Verdana"/>
          <w:sz w:val="16"/>
          <w:szCs w:val="16"/>
        </w:rPr>
        <w:t xml:space="preserve"> 800.000 studenten</w:t>
      </w:r>
      <w:r w:rsidR="00CC73DC">
        <w:rPr>
          <w:rFonts w:ascii="Verdana" w:hAnsi="Verdana"/>
          <w:sz w:val="16"/>
          <w:szCs w:val="16"/>
        </w:rPr>
        <w:t>, de beroepsgroep leraren</w:t>
      </w:r>
      <w:r>
        <w:rPr>
          <w:rFonts w:ascii="Verdana" w:hAnsi="Verdana"/>
          <w:sz w:val="16"/>
          <w:szCs w:val="16"/>
        </w:rPr>
        <w:t xml:space="preserve"> en 9.000 onderwijsinstellingen op 19.000 locaties.</w:t>
      </w:r>
      <w:r w:rsidR="001F051A">
        <w:rPr>
          <w:rFonts w:ascii="Verdana" w:hAnsi="Verdana"/>
          <w:sz w:val="16"/>
          <w:szCs w:val="16"/>
        </w:rPr>
        <w:t xml:space="preserve"> Aan de onderwijsinstellingen wordt jaarlijks circa €28 miljard uitgekeerd, op basis van aantallen leerlingen gecombineerd met een prijs per leerling. De verzameling van deze gegevens vindt plaats in een stelsel van sectorregisters.</w:t>
      </w:r>
      <w:r w:rsidR="002B6C39">
        <w:rPr>
          <w:rFonts w:ascii="Verdana" w:hAnsi="Verdana"/>
          <w:sz w:val="16"/>
          <w:szCs w:val="16"/>
        </w:rPr>
        <w:t xml:space="preserve"> Aan de studenten in de sectoren WO, HBO en MBO wordt jaarlijks €4,2 miljard aan studiefinanciering uitgekeerd en </w:t>
      </w:r>
      <w:r w:rsidR="00AF551D">
        <w:rPr>
          <w:rFonts w:ascii="Verdana" w:hAnsi="Verdana"/>
          <w:sz w:val="16"/>
          <w:szCs w:val="16"/>
        </w:rPr>
        <w:t xml:space="preserve">jaarlijks €800 miljoen aan uitstaande studieschulden geïnd. In 2014 </w:t>
      </w:r>
      <w:r w:rsidR="00CC73DC">
        <w:rPr>
          <w:rFonts w:ascii="Verdana" w:hAnsi="Verdana"/>
          <w:sz w:val="16"/>
          <w:szCs w:val="16"/>
        </w:rPr>
        <w:t xml:space="preserve">werd op </w:t>
      </w:r>
      <w:r w:rsidR="00AF551D">
        <w:rPr>
          <w:rFonts w:ascii="Verdana" w:hAnsi="Verdana"/>
          <w:sz w:val="16"/>
          <w:szCs w:val="16"/>
        </w:rPr>
        <w:t xml:space="preserve"> ruim 10.000 aanvragen </w:t>
      </w:r>
      <w:r w:rsidR="008409A6">
        <w:rPr>
          <w:rFonts w:ascii="Verdana" w:hAnsi="Verdana"/>
          <w:sz w:val="16"/>
          <w:szCs w:val="16"/>
        </w:rPr>
        <w:t xml:space="preserve">lerarenbeurs in totaal voor €65 miljoen (inclusief studieverlof) aan </w:t>
      </w:r>
      <w:r w:rsidR="00094FFC">
        <w:rPr>
          <w:rFonts w:ascii="Verdana" w:hAnsi="Verdana"/>
          <w:sz w:val="16"/>
          <w:szCs w:val="16"/>
        </w:rPr>
        <w:t>subsidie</w:t>
      </w:r>
      <w:r w:rsidR="008409A6">
        <w:rPr>
          <w:rFonts w:ascii="Verdana" w:hAnsi="Verdana"/>
          <w:sz w:val="16"/>
          <w:szCs w:val="16"/>
        </w:rPr>
        <w:t xml:space="preserve"> verstrekt.</w:t>
      </w:r>
    </w:p>
    <w:p w:rsidR="00F70E50" w:rsidRPr="00532817" w:rsidRDefault="00F70E50">
      <w:pPr>
        <w:pStyle w:val="Eindnoottekst"/>
        <w:rPr>
          <w:rFonts w:ascii="Verdana" w:hAnsi="Verdana"/>
          <w:sz w:val="16"/>
          <w:szCs w:val="16"/>
        </w:rPr>
      </w:pPr>
    </w:p>
  </w:endnote>
  <w:endnote w:id="2">
    <w:p w:rsidR="00BC6640" w:rsidRPr="00BC6640" w:rsidRDefault="00BC6640" w:rsidP="00BC6640">
      <w:pPr>
        <w:pStyle w:val="Eindnoottekst"/>
        <w:rPr>
          <w:rFonts w:ascii="Verdana" w:hAnsi="Verdana"/>
          <w:sz w:val="16"/>
          <w:szCs w:val="16"/>
        </w:rPr>
      </w:pPr>
      <w:r w:rsidRPr="00532817">
        <w:endnoteRef/>
      </w:r>
      <w:r w:rsidRPr="00BC6640">
        <w:rPr>
          <w:rFonts w:ascii="Verdana" w:hAnsi="Verdana"/>
          <w:sz w:val="16"/>
          <w:szCs w:val="16"/>
        </w:rPr>
        <w:t xml:space="preserve"> Schematische voorstelling dienstverleningsconcept:</w:t>
      </w:r>
    </w:p>
    <w:p w:rsidR="00BC6640" w:rsidRDefault="0082792C" w:rsidP="00BC6640">
      <w:pPr>
        <w:pStyle w:val="Eindnoottekst"/>
        <w:rPr>
          <w:rFonts w:ascii="Verdana" w:hAnsi="Verdana"/>
          <w:sz w:val="16"/>
          <w:szCs w:val="16"/>
        </w:rPr>
      </w:pPr>
      <w:r>
        <w:rPr>
          <w:rFonts w:ascii="Verdana" w:hAnsi="Verdana"/>
          <w:noProof/>
          <w:sz w:val="16"/>
          <w:szCs w:val="16"/>
          <w:lang w:eastAsia="nl-NL"/>
        </w:rPr>
        <w:drawing>
          <wp:inline distT="0" distB="0" distL="0" distR="0" wp14:anchorId="093C7460" wp14:editId="6F493B8C">
            <wp:extent cx="4373245" cy="3466465"/>
            <wp:effectExtent l="0" t="0" r="8255" b="6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3245" cy="3466465"/>
                    </a:xfrm>
                    <a:prstGeom prst="rect">
                      <a:avLst/>
                    </a:prstGeom>
                    <a:noFill/>
                    <a:ln>
                      <a:noFill/>
                    </a:ln>
                  </pic:spPr>
                </pic:pic>
              </a:graphicData>
            </a:graphic>
          </wp:inline>
        </w:drawing>
      </w:r>
    </w:p>
    <w:p w:rsidR="00532817" w:rsidRDefault="00532817" w:rsidP="00BC6640">
      <w:pPr>
        <w:pStyle w:val="Eindnoottekst"/>
        <w:rPr>
          <w:rFonts w:ascii="Verdana" w:hAnsi="Verdana"/>
          <w:sz w:val="16"/>
          <w:szCs w:val="16"/>
        </w:rPr>
      </w:pPr>
    </w:p>
    <w:p w:rsidR="004D7354" w:rsidRDefault="005251F6" w:rsidP="00BC6640">
      <w:pPr>
        <w:pStyle w:val="Eindnoottekst"/>
        <w:rPr>
          <w:rFonts w:ascii="Verdana" w:hAnsi="Verdana"/>
          <w:sz w:val="16"/>
          <w:szCs w:val="16"/>
        </w:rPr>
      </w:pPr>
      <w:r w:rsidRPr="005251F6">
        <w:rPr>
          <w:rFonts w:ascii="Verdana" w:hAnsi="Verdana"/>
          <w:sz w:val="16"/>
          <w:szCs w:val="16"/>
        </w:rPr>
        <w:t xml:space="preserve">Het dienstverleningsconcept focust op de klantcontacten en wordt gevolgd </w:t>
      </w:r>
      <w:r w:rsidR="00532817">
        <w:rPr>
          <w:rFonts w:ascii="Verdana" w:hAnsi="Verdana"/>
          <w:sz w:val="16"/>
          <w:szCs w:val="16"/>
        </w:rPr>
        <w:t xml:space="preserve">bij </w:t>
      </w:r>
      <w:r w:rsidRPr="005251F6">
        <w:rPr>
          <w:rFonts w:ascii="Verdana" w:hAnsi="Verdana"/>
          <w:sz w:val="16"/>
          <w:szCs w:val="16"/>
        </w:rPr>
        <w:t>alle dienstverlening aan klanten</w:t>
      </w:r>
      <w:r w:rsidR="004D7354">
        <w:rPr>
          <w:rFonts w:ascii="Verdana" w:hAnsi="Verdana"/>
          <w:sz w:val="16"/>
          <w:szCs w:val="16"/>
        </w:rPr>
        <w:t>:</w:t>
      </w:r>
      <w:r w:rsidRPr="005251F6">
        <w:rPr>
          <w:rFonts w:ascii="Verdana" w:hAnsi="Verdana"/>
          <w:sz w:val="16"/>
          <w:szCs w:val="16"/>
        </w:rPr>
        <w:t xml:space="preserve"> </w:t>
      </w:r>
      <w:r w:rsidR="00171C88">
        <w:rPr>
          <w:rFonts w:ascii="Verdana" w:hAnsi="Verdana"/>
          <w:sz w:val="16"/>
          <w:szCs w:val="16"/>
        </w:rPr>
        <w:t xml:space="preserve">DUO faciliteert de totstandkoming van 0) een M2M oplossing met instellingen </w:t>
      </w:r>
      <w:r w:rsidR="00AD051C">
        <w:rPr>
          <w:rFonts w:ascii="Verdana" w:hAnsi="Verdana"/>
          <w:sz w:val="16"/>
          <w:szCs w:val="16"/>
        </w:rPr>
        <w:t>of</w:t>
      </w:r>
      <w:r w:rsidR="00171C88">
        <w:rPr>
          <w:rFonts w:ascii="Verdana" w:hAnsi="Verdana"/>
          <w:sz w:val="16"/>
          <w:szCs w:val="16"/>
        </w:rPr>
        <w:t xml:space="preserve"> 1) zelfservice voor de ouders en instellingen</w:t>
      </w:r>
      <w:r w:rsidR="004D7354">
        <w:rPr>
          <w:rFonts w:ascii="Verdana" w:hAnsi="Verdana"/>
          <w:sz w:val="16"/>
          <w:szCs w:val="16"/>
        </w:rPr>
        <w:t xml:space="preserve"> waar dit geen passende oplossing is</w:t>
      </w:r>
      <w:r w:rsidRPr="005251F6">
        <w:rPr>
          <w:rFonts w:ascii="Verdana" w:hAnsi="Verdana"/>
          <w:sz w:val="16"/>
          <w:szCs w:val="16"/>
        </w:rPr>
        <w:t xml:space="preserve">. </w:t>
      </w:r>
    </w:p>
    <w:p w:rsidR="005251F6" w:rsidRPr="005251F6" w:rsidRDefault="005251F6" w:rsidP="00BC6640">
      <w:pPr>
        <w:pStyle w:val="Eindnoottekst"/>
        <w:rPr>
          <w:rFonts w:ascii="Verdana" w:hAnsi="Verdana"/>
          <w:sz w:val="16"/>
          <w:szCs w:val="16"/>
        </w:rPr>
      </w:pPr>
      <w:r w:rsidRPr="005251F6">
        <w:rPr>
          <w:rFonts w:ascii="Verdana" w:hAnsi="Verdana"/>
          <w:sz w:val="16"/>
          <w:szCs w:val="16"/>
        </w:rPr>
        <w:t xml:space="preserve">Mocht dat niet lukken, dan 2) </w:t>
      </w:r>
      <w:r w:rsidR="00532817">
        <w:rPr>
          <w:rFonts w:ascii="Verdana" w:hAnsi="Verdana"/>
          <w:sz w:val="16"/>
          <w:szCs w:val="16"/>
        </w:rPr>
        <w:t xml:space="preserve">wordt </w:t>
      </w:r>
      <w:r w:rsidR="004D7354">
        <w:rPr>
          <w:rFonts w:ascii="Verdana" w:hAnsi="Verdana"/>
          <w:sz w:val="16"/>
          <w:szCs w:val="16"/>
        </w:rPr>
        <w:t>ouder en instelling</w:t>
      </w:r>
      <w:r w:rsidR="00532817">
        <w:rPr>
          <w:rFonts w:ascii="Verdana" w:hAnsi="Verdana"/>
          <w:sz w:val="16"/>
          <w:szCs w:val="16"/>
        </w:rPr>
        <w:t xml:space="preserve"> geholpen</w:t>
      </w:r>
      <w:r w:rsidRPr="005251F6">
        <w:rPr>
          <w:rFonts w:ascii="Verdana" w:hAnsi="Verdana"/>
          <w:sz w:val="16"/>
          <w:szCs w:val="16"/>
        </w:rPr>
        <w:t xml:space="preserve"> om het zelf te regelen. En als dat niet lukt, dan </w:t>
      </w:r>
      <w:r w:rsidR="004D7354">
        <w:rPr>
          <w:rFonts w:ascii="Verdana" w:hAnsi="Verdana"/>
          <w:sz w:val="16"/>
          <w:szCs w:val="16"/>
        </w:rPr>
        <w:t xml:space="preserve">3) </w:t>
      </w:r>
      <w:r w:rsidR="00532817">
        <w:rPr>
          <w:rFonts w:ascii="Verdana" w:hAnsi="Verdana"/>
          <w:sz w:val="16"/>
          <w:szCs w:val="16"/>
        </w:rPr>
        <w:t xml:space="preserve">wordt </w:t>
      </w:r>
      <w:r w:rsidR="004D7354">
        <w:rPr>
          <w:rFonts w:ascii="Verdana" w:hAnsi="Verdana"/>
          <w:sz w:val="16"/>
          <w:szCs w:val="16"/>
        </w:rPr>
        <w:t xml:space="preserve">ouder en instelling </w:t>
      </w:r>
      <w:r w:rsidR="00532817">
        <w:rPr>
          <w:rFonts w:ascii="Verdana" w:hAnsi="Verdana"/>
          <w:sz w:val="16"/>
          <w:szCs w:val="16"/>
        </w:rPr>
        <w:t xml:space="preserve">geholpen </w:t>
      </w:r>
      <w:r w:rsidRPr="005251F6">
        <w:rPr>
          <w:rFonts w:ascii="Verdana" w:hAnsi="Verdana"/>
          <w:sz w:val="16"/>
          <w:szCs w:val="16"/>
        </w:rPr>
        <w:t>totdat het afgehandeld is</w:t>
      </w:r>
      <w:r w:rsidR="004D7354">
        <w:rPr>
          <w:rFonts w:ascii="Verdana" w:hAnsi="Verdana"/>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FE5" w:rsidRDefault="00C43FE5" w:rsidP="00BA7787">
      <w:r>
        <w:separator/>
      </w:r>
    </w:p>
  </w:footnote>
  <w:footnote w:type="continuationSeparator" w:id="0">
    <w:p w:rsidR="00C43FE5" w:rsidRDefault="00C43FE5" w:rsidP="00BA7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FE5" w:rsidRDefault="00C43FE5">
    <w:pPr>
      <w:pStyle w:val="Koptekst"/>
    </w:pPr>
    <w:r>
      <w:rPr>
        <w:noProof/>
        <w:lang w:eastAsia="nl-NL"/>
      </w:rPr>
      <w:drawing>
        <wp:anchor distT="0" distB="0" distL="114300" distR="114300" simplePos="0" relativeHeight="251659264" behindDoc="0" locked="1" layoutInCell="1" allowOverlap="1" wp14:anchorId="7990C8D0" wp14:editId="4274C4C8">
          <wp:simplePos x="0" y="0"/>
          <wp:positionH relativeFrom="page">
            <wp:posOffset>3694430</wp:posOffset>
          </wp:positionH>
          <wp:positionV relativeFrom="page">
            <wp:posOffset>-9525</wp:posOffset>
          </wp:positionV>
          <wp:extent cx="466725" cy="1581150"/>
          <wp:effectExtent l="0" t="0" r="9525" b="0"/>
          <wp:wrapNone/>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0288" behindDoc="0" locked="1" layoutInCell="1" allowOverlap="1" wp14:anchorId="7022AB80" wp14:editId="7D1A3FC3">
          <wp:simplePos x="0" y="0"/>
          <wp:positionH relativeFrom="page">
            <wp:posOffset>4161155</wp:posOffset>
          </wp:positionH>
          <wp:positionV relativeFrom="page">
            <wp:posOffset>-9525</wp:posOffset>
          </wp:positionV>
          <wp:extent cx="2329180" cy="1581150"/>
          <wp:effectExtent l="0" t="0" r="0" b="0"/>
          <wp:wrapNone/>
          <wp:docPr id="2" name="Afbeelding 2" descr="RO_OCW_DUO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OCW_DUO_Woordbeeld_Briefinprint_n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18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13E12"/>
    <w:multiLevelType w:val="hybridMultilevel"/>
    <w:tmpl w:val="EAD0AFE4"/>
    <w:lvl w:ilvl="0" w:tplc="E452A3B6">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6280046A"/>
    <w:multiLevelType w:val="hybridMultilevel"/>
    <w:tmpl w:val="A812565E"/>
    <w:lvl w:ilvl="0" w:tplc="CD0CE7E4">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10"/>
    <w:rsid w:val="00002496"/>
    <w:rsid w:val="00006091"/>
    <w:rsid w:val="00006FD8"/>
    <w:rsid w:val="00007D0D"/>
    <w:rsid w:val="00017800"/>
    <w:rsid w:val="00043C56"/>
    <w:rsid w:val="00053AE7"/>
    <w:rsid w:val="0006199E"/>
    <w:rsid w:val="000767D0"/>
    <w:rsid w:val="00094FFC"/>
    <w:rsid w:val="000B05E2"/>
    <w:rsid w:val="000B103B"/>
    <w:rsid w:val="000B6688"/>
    <w:rsid w:val="000C268B"/>
    <w:rsid w:val="000D566C"/>
    <w:rsid w:val="000E0519"/>
    <w:rsid w:val="000E37B3"/>
    <w:rsid w:val="000E4385"/>
    <w:rsid w:val="000F3553"/>
    <w:rsid w:val="00103E10"/>
    <w:rsid w:val="001150D8"/>
    <w:rsid w:val="001216CC"/>
    <w:rsid w:val="00135B62"/>
    <w:rsid w:val="001515B4"/>
    <w:rsid w:val="00153827"/>
    <w:rsid w:val="00153E4B"/>
    <w:rsid w:val="0016126E"/>
    <w:rsid w:val="00171C88"/>
    <w:rsid w:val="001871A2"/>
    <w:rsid w:val="001A7AD8"/>
    <w:rsid w:val="001B0855"/>
    <w:rsid w:val="001B1039"/>
    <w:rsid w:val="001B722A"/>
    <w:rsid w:val="001D119F"/>
    <w:rsid w:val="001E09F6"/>
    <w:rsid w:val="001E5EC9"/>
    <w:rsid w:val="001E7728"/>
    <w:rsid w:val="001F051A"/>
    <w:rsid w:val="002004A0"/>
    <w:rsid w:val="002551C0"/>
    <w:rsid w:val="002607FA"/>
    <w:rsid w:val="00265AFE"/>
    <w:rsid w:val="0027138A"/>
    <w:rsid w:val="00281AFB"/>
    <w:rsid w:val="0028260C"/>
    <w:rsid w:val="002A19C4"/>
    <w:rsid w:val="002A2774"/>
    <w:rsid w:val="002B4490"/>
    <w:rsid w:val="002B471A"/>
    <w:rsid w:val="002B6C39"/>
    <w:rsid w:val="002C218C"/>
    <w:rsid w:val="002D3D1E"/>
    <w:rsid w:val="00302FC2"/>
    <w:rsid w:val="003038A3"/>
    <w:rsid w:val="0030782C"/>
    <w:rsid w:val="00316091"/>
    <w:rsid w:val="003304E6"/>
    <w:rsid w:val="0033465F"/>
    <w:rsid w:val="00343EB5"/>
    <w:rsid w:val="00352804"/>
    <w:rsid w:val="0037236D"/>
    <w:rsid w:val="00374D89"/>
    <w:rsid w:val="0037600F"/>
    <w:rsid w:val="0038308D"/>
    <w:rsid w:val="003A0FD0"/>
    <w:rsid w:val="003C1E34"/>
    <w:rsid w:val="003D2A26"/>
    <w:rsid w:val="003D31B1"/>
    <w:rsid w:val="003E0F7C"/>
    <w:rsid w:val="003E23D1"/>
    <w:rsid w:val="003E3499"/>
    <w:rsid w:val="003F5DCD"/>
    <w:rsid w:val="00434109"/>
    <w:rsid w:val="004442DE"/>
    <w:rsid w:val="00461809"/>
    <w:rsid w:val="004A4BEE"/>
    <w:rsid w:val="004A5E45"/>
    <w:rsid w:val="004D7354"/>
    <w:rsid w:val="004E35A5"/>
    <w:rsid w:val="004F06EB"/>
    <w:rsid w:val="004F19A3"/>
    <w:rsid w:val="005051EB"/>
    <w:rsid w:val="005251F6"/>
    <w:rsid w:val="00532817"/>
    <w:rsid w:val="00532847"/>
    <w:rsid w:val="00565B74"/>
    <w:rsid w:val="00575C2C"/>
    <w:rsid w:val="00587F89"/>
    <w:rsid w:val="00590471"/>
    <w:rsid w:val="005B5304"/>
    <w:rsid w:val="005C180F"/>
    <w:rsid w:val="005D521F"/>
    <w:rsid w:val="005E3036"/>
    <w:rsid w:val="006073DB"/>
    <w:rsid w:val="00612E28"/>
    <w:rsid w:val="0061395C"/>
    <w:rsid w:val="00613A97"/>
    <w:rsid w:val="00620417"/>
    <w:rsid w:val="00632CE3"/>
    <w:rsid w:val="00651392"/>
    <w:rsid w:val="00683C18"/>
    <w:rsid w:val="0068535F"/>
    <w:rsid w:val="00693F6E"/>
    <w:rsid w:val="006975A8"/>
    <w:rsid w:val="006B3DA2"/>
    <w:rsid w:val="006D0DA4"/>
    <w:rsid w:val="006D2DCD"/>
    <w:rsid w:val="006D65DD"/>
    <w:rsid w:val="006E4190"/>
    <w:rsid w:val="00703D1A"/>
    <w:rsid w:val="00705247"/>
    <w:rsid w:val="00725C2E"/>
    <w:rsid w:val="00726F82"/>
    <w:rsid w:val="00732347"/>
    <w:rsid w:val="00743538"/>
    <w:rsid w:val="00753C6F"/>
    <w:rsid w:val="00770B8D"/>
    <w:rsid w:val="00794855"/>
    <w:rsid w:val="0079708F"/>
    <w:rsid w:val="007A0D32"/>
    <w:rsid w:val="007C1BE0"/>
    <w:rsid w:val="007C5F17"/>
    <w:rsid w:val="008056C6"/>
    <w:rsid w:val="0081396E"/>
    <w:rsid w:val="0081497A"/>
    <w:rsid w:val="00827810"/>
    <w:rsid w:val="0082792C"/>
    <w:rsid w:val="008409A6"/>
    <w:rsid w:val="00844577"/>
    <w:rsid w:val="00852E44"/>
    <w:rsid w:val="008602B5"/>
    <w:rsid w:val="0086151A"/>
    <w:rsid w:val="00865AD2"/>
    <w:rsid w:val="008700C3"/>
    <w:rsid w:val="00873044"/>
    <w:rsid w:val="008966D9"/>
    <w:rsid w:val="008A056A"/>
    <w:rsid w:val="008A6205"/>
    <w:rsid w:val="008B2961"/>
    <w:rsid w:val="008B6942"/>
    <w:rsid w:val="008D2C17"/>
    <w:rsid w:val="008D4332"/>
    <w:rsid w:val="008E625B"/>
    <w:rsid w:val="008F57FF"/>
    <w:rsid w:val="009023DF"/>
    <w:rsid w:val="009049D2"/>
    <w:rsid w:val="009214A2"/>
    <w:rsid w:val="009236E3"/>
    <w:rsid w:val="00944B53"/>
    <w:rsid w:val="00951872"/>
    <w:rsid w:val="00966954"/>
    <w:rsid w:val="00970ECF"/>
    <w:rsid w:val="00980C56"/>
    <w:rsid w:val="00984A5B"/>
    <w:rsid w:val="009A0AB6"/>
    <w:rsid w:val="009B2B19"/>
    <w:rsid w:val="009C1C3D"/>
    <w:rsid w:val="009C2A76"/>
    <w:rsid w:val="009E071B"/>
    <w:rsid w:val="00A40C43"/>
    <w:rsid w:val="00A52791"/>
    <w:rsid w:val="00A60B06"/>
    <w:rsid w:val="00A652A8"/>
    <w:rsid w:val="00A71101"/>
    <w:rsid w:val="00A92672"/>
    <w:rsid w:val="00A93B92"/>
    <w:rsid w:val="00AC48D7"/>
    <w:rsid w:val="00AD051C"/>
    <w:rsid w:val="00AD327C"/>
    <w:rsid w:val="00AE380B"/>
    <w:rsid w:val="00AE4C71"/>
    <w:rsid w:val="00AF2C3C"/>
    <w:rsid w:val="00AF551D"/>
    <w:rsid w:val="00B076FB"/>
    <w:rsid w:val="00B3716B"/>
    <w:rsid w:val="00B4480F"/>
    <w:rsid w:val="00B538F0"/>
    <w:rsid w:val="00B5763B"/>
    <w:rsid w:val="00B60AFC"/>
    <w:rsid w:val="00B729BA"/>
    <w:rsid w:val="00B74EAF"/>
    <w:rsid w:val="00B811C3"/>
    <w:rsid w:val="00BA2E14"/>
    <w:rsid w:val="00BA7787"/>
    <w:rsid w:val="00BB3C1A"/>
    <w:rsid w:val="00BB77B0"/>
    <w:rsid w:val="00BC6640"/>
    <w:rsid w:val="00BD4F26"/>
    <w:rsid w:val="00BE2049"/>
    <w:rsid w:val="00BE77B9"/>
    <w:rsid w:val="00C03771"/>
    <w:rsid w:val="00C1764F"/>
    <w:rsid w:val="00C21427"/>
    <w:rsid w:val="00C26C48"/>
    <w:rsid w:val="00C43FE5"/>
    <w:rsid w:val="00C577E7"/>
    <w:rsid w:val="00C6596F"/>
    <w:rsid w:val="00C7263D"/>
    <w:rsid w:val="00C86EBD"/>
    <w:rsid w:val="00C91C63"/>
    <w:rsid w:val="00C96171"/>
    <w:rsid w:val="00CA1B43"/>
    <w:rsid w:val="00CA2481"/>
    <w:rsid w:val="00CB3182"/>
    <w:rsid w:val="00CC7310"/>
    <w:rsid w:val="00CC73DC"/>
    <w:rsid w:val="00CC7E53"/>
    <w:rsid w:val="00CD4EE1"/>
    <w:rsid w:val="00CD7E06"/>
    <w:rsid w:val="00CF06DC"/>
    <w:rsid w:val="00D25E1C"/>
    <w:rsid w:val="00D554B6"/>
    <w:rsid w:val="00D55D7A"/>
    <w:rsid w:val="00D94A05"/>
    <w:rsid w:val="00DA6D62"/>
    <w:rsid w:val="00DD6254"/>
    <w:rsid w:val="00DE0D52"/>
    <w:rsid w:val="00DF30A7"/>
    <w:rsid w:val="00E13DB8"/>
    <w:rsid w:val="00E20011"/>
    <w:rsid w:val="00E234F6"/>
    <w:rsid w:val="00E24AFC"/>
    <w:rsid w:val="00E459E0"/>
    <w:rsid w:val="00E50364"/>
    <w:rsid w:val="00E60057"/>
    <w:rsid w:val="00E63619"/>
    <w:rsid w:val="00E63B01"/>
    <w:rsid w:val="00E9221D"/>
    <w:rsid w:val="00E925BB"/>
    <w:rsid w:val="00E96358"/>
    <w:rsid w:val="00EB7E6D"/>
    <w:rsid w:val="00EC65A5"/>
    <w:rsid w:val="00ED0CBC"/>
    <w:rsid w:val="00EE25FF"/>
    <w:rsid w:val="00EE64C2"/>
    <w:rsid w:val="00EF40F4"/>
    <w:rsid w:val="00EF74D6"/>
    <w:rsid w:val="00F00635"/>
    <w:rsid w:val="00F03784"/>
    <w:rsid w:val="00F07824"/>
    <w:rsid w:val="00F1504B"/>
    <w:rsid w:val="00F15A4D"/>
    <w:rsid w:val="00F16FAF"/>
    <w:rsid w:val="00F47F54"/>
    <w:rsid w:val="00F50794"/>
    <w:rsid w:val="00F61C63"/>
    <w:rsid w:val="00F70E50"/>
    <w:rsid w:val="00F7151A"/>
    <w:rsid w:val="00F92CEF"/>
    <w:rsid w:val="00F958DE"/>
    <w:rsid w:val="00FC1915"/>
    <w:rsid w:val="00FC4734"/>
    <w:rsid w:val="00FD13AA"/>
    <w:rsid w:val="00FE61E4"/>
    <w:rsid w:val="00FF5B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03E10"/>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03E10"/>
    <w:pPr>
      <w:ind w:left="720"/>
    </w:pPr>
  </w:style>
  <w:style w:type="paragraph" w:styleId="Koptekst">
    <w:name w:val="header"/>
    <w:basedOn w:val="Standaard"/>
    <w:link w:val="KoptekstChar"/>
    <w:uiPriority w:val="99"/>
    <w:unhideWhenUsed/>
    <w:rsid w:val="00BA7787"/>
    <w:pPr>
      <w:tabs>
        <w:tab w:val="center" w:pos="4536"/>
        <w:tab w:val="right" w:pos="9072"/>
      </w:tabs>
    </w:pPr>
  </w:style>
  <w:style w:type="character" w:customStyle="1" w:styleId="KoptekstChar">
    <w:name w:val="Koptekst Char"/>
    <w:basedOn w:val="Standaardalinea-lettertype"/>
    <w:link w:val="Koptekst"/>
    <w:uiPriority w:val="99"/>
    <w:rsid w:val="00BA7787"/>
    <w:rPr>
      <w:rFonts w:ascii="Calibri" w:hAnsi="Calibri" w:cs="Times New Roman"/>
    </w:rPr>
  </w:style>
  <w:style w:type="paragraph" w:styleId="Voettekst">
    <w:name w:val="footer"/>
    <w:basedOn w:val="Standaard"/>
    <w:link w:val="VoettekstChar"/>
    <w:uiPriority w:val="99"/>
    <w:unhideWhenUsed/>
    <w:rsid w:val="00BA7787"/>
    <w:pPr>
      <w:tabs>
        <w:tab w:val="center" w:pos="4536"/>
        <w:tab w:val="right" w:pos="9072"/>
      </w:tabs>
    </w:pPr>
  </w:style>
  <w:style w:type="character" w:customStyle="1" w:styleId="VoettekstChar">
    <w:name w:val="Voettekst Char"/>
    <w:basedOn w:val="Standaardalinea-lettertype"/>
    <w:link w:val="Voettekst"/>
    <w:uiPriority w:val="99"/>
    <w:rsid w:val="00BA7787"/>
    <w:rPr>
      <w:rFonts w:ascii="Calibri" w:hAnsi="Calibri" w:cs="Times New Roman"/>
    </w:rPr>
  </w:style>
  <w:style w:type="paragraph" w:styleId="Ballontekst">
    <w:name w:val="Balloon Text"/>
    <w:basedOn w:val="Standaard"/>
    <w:link w:val="BallontekstChar"/>
    <w:uiPriority w:val="99"/>
    <w:semiHidden/>
    <w:unhideWhenUsed/>
    <w:rsid w:val="000E0519"/>
    <w:rPr>
      <w:rFonts w:ascii="Tahoma" w:hAnsi="Tahoma" w:cs="Tahoma"/>
      <w:sz w:val="16"/>
      <w:szCs w:val="16"/>
    </w:rPr>
  </w:style>
  <w:style w:type="character" w:customStyle="1" w:styleId="BallontekstChar">
    <w:name w:val="Ballontekst Char"/>
    <w:basedOn w:val="Standaardalinea-lettertype"/>
    <w:link w:val="Ballontekst"/>
    <w:uiPriority w:val="99"/>
    <w:semiHidden/>
    <w:rsid w:val="000E0519"/>
    <w:rPr>
      <w:rFonts w:ascii="Tahoma" w:hAnsi="Tahoma" w:cs="Tahoma"/>
      <w:sz w:val="16"/>
      <w:szCs w:val="16"/>
    </w:rPr>
  </w:style>
  <w:style w:type="character" w:styleId="Verwijzingopmerking">
    <w:name w:val="annotation reference"/>
    <w:basedOn w:val="Standaardalinea-lettertype"/>
    <w:uiPriority w:val="99"/>
    <w:semiHidden/>
    <w:unhideWhenUsed/>
    <w:rsid w:val="00794855"/>
    <w:rPr>
      <w:sz w:val="16"/>
      <w:szCs w:val="16"/>
    </w:rPr>
  </w:style>
  <w:style w:type="paragraph" w:styleId="Tekstopmerking">
    <w:name w:val="annotation text"/>
    <w:basedOn w:val="Standaard"/>
    <w:link w:val="TekstopmerkingChar"/>
    <w:uiPriority w:val="99"/>
    <w:semiHidden/>
    <w:unhideWhenUsed/>
    <w:rsid w:val="00794855"/>
    <w:rPr>
      <w:sz w:val="20"/>
      <w:szCs w:val="20"/>
    </w:rPr>
  </w:style>
  <w:style w:type="character" w:customStyle="1" w:styleId="TekstopmerkingChar">
    <w:name w:val="Tekst opmerking Char"/>
    <w:basedOn w:val="Standaardalinea-lettertype"/>
    <w:link w:val="Tekstopmerking"/>
    <w:uiPriority w:val="99"/>
    <w:semiHidden/>
    <w:rsid w:val="00794855"/>
    <w:rPr>
      <w:rFonts w:ascii="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794855"/>
    <w:rPr>
      <w:b/>
      <w:bCs/>
    </w:rPr>
  </w:style>
  <w:style w:type="character" w:customStyle="1" w:styleId="OnderwerpvanopmerkingChar">
    <w:name w:val="Onderwerp van opmerking Char"/>
    <w:basedOn w:val="TekstopmerkingChar"/>
    <w:link w:val="Onderwerpvanopmerking"/>
    <w:uiPriority w:val="99"/>
    <w:semiHidden/>
    <w:rsid w:val="00794855"/>
    <w:rPr>
      <w:rFonts w:ascii="Calibri" w:hAnsi="Calibri" w:cs="Times New Roman"/>
      <w:b/>
      <w:bCs/>
      <w:sz w:val="20"/>
      <w:szCs w:val="20"/>
    </w:rPr>
  </w:style>
  <w:style w:type="paragraph" w:styleId="Eindnoottekst">
    <w:name w:val="endnote text"/>
    <w:basedOn w:val="Standaard"/>
    <w:link w:val="EindnoottekstChar"/>
    <w:uiPriority w:val="99"/>
    <w:unhideWhenUsed/>
    <w:rsid w:val="00BC6640"/>
    <w:rPr>
      <w:sz w:val="20"/>
      <w:szCs w:val="20"/>
    </w:rPr>
  </w:style>
  <w:style w:type="character" w:customStyle="1" w:styleId="EindnoottekstChar">
    <w:name w:val="Eindnoottekst Char"/>
    <w:basedOn w:val="Standaardalinea-lettertype"/>
    <w:link w:val="Eindnoottekst"/>
    <w:uiPriority w:val="99"/>
    <w:rsid w:val="00BC6640"/>
    <w:rPr>
      <w:rFonts w:ascii="Calibri" w:hAnsi="Calibri" w:cs="Times New Roman"/>
      <w:sz w:val="20"/>
      <w:szCs w:val="20"/>
    </w:rPr>
  </w:style>
  <w:style w:type="character" w:styleId="Eindnootmarkering">
    <w:name w:val="endnote reference"/>
    <w:basedOn w:val="Standaardalinea-lettertype"/>
    <w:uiPriority w:val="99"/>
    <w:semiHidden/>
    <w:unhideWhenUsed/>
    <w:rsid w:val="00BC66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03E10"/>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03E10"/>
    <w:pPr>
      <w:ind w:left="720"/>
    </w:pPr>
  </w:style>
  <w:style w:type="paragraph" w:styleId="Koptekst">
    <w:name w:val="header"/>
    <w:basedOn w:val="Standaard"/>
    <w:link w:val="KoptekstChar"/>
    <w:uiPriority w:val="99"/>
    <w:unhideWhenUsed/>
    <w:rsid w:val="00BA7787"/>
    <w:pPr>
      <w:tabs>
        <w:tab w:val="center" w:pos="4536"/>
        <w:tab w:val="right" w:pos="9072"/>
      </w:tabs>
    </w:pPr>
  </w:style>
  <w:style w:type="character" w:customStyle="1" w:styleId="KoptekstChar">
    <w:name w:val="Koptekst Char"/>
    <w:basedOn w:val="Standaardalinea-lettertype"/>
    <w:link w:val="Koptekst"/>
    <w:uiPriority w:val="99"/>
    <w:rsid w:val="00BA7787"/>
    <w:rPr>
      <w:rFonts w:ascii="Calibri" w:hAnsi="Calibri" w:cs="Times New Roman"/>
    </w:rPr>
  </w:style>
  <w:style w:type="paragraph" w:styleId="Voettekst">
    <w:name w:val="footer"/>
    <w:basedOn w:val="Standaard"/>
    <w:link w:val="VoettekstChar"/>
    <w:uiPriority w:val="99"/>
    <w:unhideWhenUsed/>
    <w:rsid w:val="00BA7787"/>
    <w:pPr>
      <w:tabs>
        <w:tab w:val="center" w:pos="4536"/>
        <w:tab w:val="right" w:pos="9072"/>
      </w:tabs>
    </w:pPr>
  </w:style>
  <w:style w:type="character" w:customStyle="1" w:styleId="VoettekstChar">
    <w:name w:val="Voettekst Char"/>
    <w:basedOn w:val="Standaardalinea-lettertype"/>
    <w:link w:val="Voettekst"/>
    <w:uiPriority w:val="99"/>
    <w:rsid w:val="00BA7787"/>
    <w:rPr>
      <w:rFonts w:ascii="Calibri" w:hAnsi="Calibri" w:cs="Times New Roman"/>
    </w:rPr>
  </w:style>
  <w:style w:type="paragraph" w:styleId="Ballontekst">
    <w:name w:val="Balloon Text"/>
    <w:basedOn w:val="Standaard"/>
    <w:link w:val="BallontekstChar"/>
    <w:uiPriority w:val="99"/>
    <w:semiHidden/>
    <w:unhideWhenUsed/>
    <w:rsid w:val="000E0519"/>
    <w:rPr>
      <w:rFonts w:ascii="Tahoma" w:hAnsi="Tahoma" w:cs="Tahoma"/>
      <w:sz w:val="16"/>
      <w:szCs w:val="16"/>
    </w:rPr>
  </w:style>
  <w:style w:type="character" w:customStyle="1" w:styleId="BallontekstChar">
    <w:name w:val="Ballontekst Char"/>
    <w:basedOn w:val="Standaardalinea-lettertype"/>
    <w:link w:val="Ballontekst"/>
    <w:uiPriority w:val="99"/>
    <w:semiHidden/>
    <w:rsid w:val="000E0519"/>
    <w:rPr>
      <w:rFonts w:ascii="Tahoma" w:hAnsi="Tahoma" w:cs="Tahoma"/>
      <w:sz w:val="16"/>
      <w:szCs w:val="16"/>
    </w:rPr>
  </w:style>
  <w:style w:type="character" w:styleId="Verwijzingopmerking">
    <w:name w:val="annotation reference"/>
    <w:basedOn w:val="Standaardalinea-lettertype"/>
    <w:uiPriority w:val="99"/>
    <w:semiHidden/>
    <w:unhideWhenUsed/>
    <w:rsid w:val="00794855"/>
    <w:rPr>
      <w:sz w:val="16"/>
      <w:szCs w:val="16"/>
    </w:rPr>
  </w:style>
  <w:style w:type="paragraph" w:styleId="Tekstopmerking">
    <w:name w:val="annotation text"/>
    <w:basedOn w:val="Standaard"/>
    <w:link w:val="TekstopmerkingChar"/>
    <w:uiPriority w:val="99"/>
    <w:semiHidden/>
    <w:unhideWhenUsed/>
    <w:rsid w:val="00794855"/>
    <w:rPr>
      <w:sz w:val="20"/>
      <w:szCs w:val="20"/>
    </w:rPr>
  </w:style>
  <w:style w:type="character" w:customStyle="1" w:styleId="TekstopmerkingChar">
    <w:name w:val="Tekst opmerking Char"/>
    <w:basedOn w:val="Standaardalinea-lettertype"/>
    <w:link w:val="Tekstopmerking"/>
    <w:uiPriority w:val="99"/>
    <w:semiHidden/>
    <w:rsid w:val="00794855"/>
    <w:rPr>
      <w:rFonts w:ascii="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794855"/>
    <w:rPr>
      <w:b/>
      <w:bCs/>
    </w:rPr>
  </w:style>
  <w:style w:type="character" w:customStyle="1" w:styleId="OnderwerpvanopmerkingChar">
    <w:name w:val="Onderwerp van opmerking Char"/>
    <w:basedOn w:val="TekstopmerkingChar"/>
    <w:link w:val="Onderwerpvanopmerking"/>
    <w:uiPriority w:val="99"/>
    <w:semiHidden/>
    <w:rsid w:val="00794855"/>
    <w:rPr>
      <w:rFonts w:ascii="Calibri" w:hAnsi="Calibri" w:cs="Times New Roman"/>
      <w:b/>
      <w:bCs/>
      <w:sz w:val="20"/>
      <w:szCs w:val="20"/>
    </w:rPr>
  </w:style>
  <w:style w:type="paragraph" w:styleId="Eindnoottekst">
    <w:name w:val="endnote text"/>
    <w:basedOn w:val="Standaard"/>
    <w:link w:val="EindnoottekstChar"/>
    <w:uiPriority w:val="99"/>
    <w:unhideWhenUsed/>
    <w:rsid w:val="00BC6640"/>
    <w:rPr>
      <w:sz w:val="20"/>
      <w:szCs w:val="20"/>
    </w:rPr>
  </w:style>
  <w:style w:type="character" w:customStyle="1" w:styleId="EindnoottekstChar">
    <w:name w:val="Eindnoottekst Char"/>
    <w:basedOn w:val="Standaardalinea-lettertype"/>
    <w:link w:val="Eindnoottekst"/>
    <w:uiPriority w:val="99"/>
    <w:rsid w:val="00BC6640"/>
    <w:rPr>
      <w:rFonts w:ascii="Calibri" w:hAnsi="Calibri" w:cs="Times New Roman"/>
      <w:sz w:val="20"/>
      <w:szCs w:val="20"/>
    </w:rPr>
  </w:style>
  <w:style w:type="character" w:styleId="Eindnootmarkering">
    <w:name w:val="endnote reference"/>
    <w:basedOn w:val="Standaardalinea-lettertype"/>
    <w:uiPriority w:val="99"/>
    <w:semiHidden/>
    <w:unhideWhenUsed/>
    <w:rsid w:val="00BC66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2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s>
</file>

<file path=word/_rels/endnotes.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1209</ap:Words>
  <ap:Characters>6653</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2015-08-26T07:42:00.0000000Z</lastPrinted>
  <dcterms:created xsi:type="dcterms:W3CDTF">2015-08-26T07:41:00.0000000Z</dcterms:created>
  <dcterms:modified xsi:type="dcterms:W3CDTF">2015-08-26T07:50:00.0000000Z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0x010100C27AA4BA8E6B0B449D159FC3485AF6C8</vt:lpwstr>
  </property>
</Properties>
</file>