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83" w:rsidP="00250F83" w:rsidRDefault="00250F83">
      <w:pPr>
        <w:rPr>
          <w:rFonts w:ascii="Verdana" w:hAnsi="Verdana" w:cstheme="minorHAnsi"/>
          <w:b/>
          <w:sz w:val="18"/>
          <w:szCs w:val="18"/>
          <w:lang w:val="nl-NL"/>
        </w:rPr>
      </w:pPr>
      <w:r>
        <w:rPr>
          <w:rFonts w:ascii="Verdana" w:hAnsi="Verdana" w:cstheme="minorHAnsi"/>
          <w:b/>
          <w:sz w:val="18"/>
          <w:szCs w:val="18"/>
          <w:lang w:val="nl-NL"/>
        </w:rPr>
        <w:t xml:space="preserve">Rondetafelgesprek 29 juni 2015 over </w:t>
      </w:r>
      <w:r>
        <w:rPr>
          <w:rFonts w:ascii="Verdana" w:hAnsi="Verdana" w:cstheme="minorHAnsi"/>
          <w:b/>
          <w:bCs/>
          <w:sz w:val="18"/>
          <w:szCs w:val="18"/>
          <w:lang w:val="nl-NL"/>
        </w:rPr>
        <w:t>Fusietoets Zorginstellingen</w:t>
      </w:r>
      <w:r>
        <w:rPr>
          <w:rFonts w:ascii="Verdana" w:hAnsi="Verdana" w:cstheme="minorHAnsi"/>
          <w:b/>
          <w:sz w:val="18"/>
          <w:szCs w:val="18"/>
          <w:lang w:val="nl-NL"/>
        </w:rPr>
        <w:t xml:space="preserve"> </w:t>
      </w:r>
    </w:p>
    <w:p w:rsidR="00250F83" w:rsidP="00250F83" w:rsidRDefault="00250F83">
      <w:pPr>
        <w:rPr>
          <w:rFonts w:ascii="Verdana" w:hAnsi="Verdana" w:cstheme="minorHAnsi"/>
          <w:b/>
          <w:sz w:val="18"/>
          <w:szCs w:val="18"/>
          <w:lang w:val="nl-NL"/>
        </w:rPr>
      </w:pPr>
      <w:r>
        <w:rPr>
          <w:rFonts w:ascii="Verdana" w:hAnsi="Verdana" w:cstheme="minorHAnsi"/>
          <w:b/>
          <w:sz w:val="18"/>
          <w:szCs w:val="18"/>
          <w:lang w:val="nl-NL"/>
        </w:rPr>
        <w:t>(Vaste Commissie VWS)</w:t>
      </w:r>
    </w:p>
    <w:p w:rsidR="00250F83" w:rsidP="00250F83" w:rsidRDefault="00250F83">
      <w:pPr>
        <w:spacing w:line="276" w:lineRule="auto"/>
        <w:rPr>
          <w:rFonts w:ascii="Verdana" w:hAnsi="Verdana" w:cstheme="minorHAnsi"/>
          <w:sz w:val="18"/>
          <w:szCs w:val="18"/>
          <w:lang w:val="nl-NL"/>
        </w:rPr>
      </w:pPr>
    </w:p>
    <w:p w:rsidR="00250F83" w:rsidP="00250F83" w:rsidRDefault="00250F83">
      <w:pPr>
        <w:spacing w:line="276" w:lineRule="auto"/>
        <w:rPr>
          <w:rFonts w:ascii="Verdana" w:hAnsi="Verdana" w:cstheme="minorHAnsi"/>
          <w:i/>
          <w:sz w:val="18"/>
          <w:szCs w:val="18"/>
          <w:lang w:val="nl-NL"/>
        </w:rPr>
      </w:pPr>
      <w:r>
        <w:rPr>
          <w:rFonts w:ascii="Verdana" w:hAnsi="Verdana" w:cstheme="minorHAnsi"/>
          <w:i/>
          <w:sz w:val="18"/>
          <w:szCs w:val="18"/>
          <w:lang w:val="nl-NL"/>
        </w:rPr>
        <w:t>‘</w:t>
      </w:r>
      <w:proofErr w:type="spellStart"/>
      <w:r>
        <w:rPr>
          <w:rFonts w:ascii="Verdana" w:hAnsi="Verdana" w:cstheme="minorHAnsi"/>
          <w:i/>
          <w:sz w:val="18"/>
          <w:szCs w:val="18"/>
          <w:lang w:val="nl-NL"/>
        </w:rPr>
        <w:t>Position</w:t>
      </w:r>
      <w:proofErr w:type="spellEnd"/>
      <w:r>
        <w:rPr>
          <w:rFonts w:ascii="Verdana" w:hAnsi="Verdana" w:cstheme="minorHAnsi"/>
          <w:i/>
          <w:sz w:val="18"/>
          <w:szCs w:val="18"/>
          <w:lang w:val="nl-NL"/>
        </w:rPr>
        <w:t xml:space="preserve"> paper’ Joke de Vries, hoofdinspecteur Maatschappelijke zorg, Inspectie voor de Gezondheidszorg (IGZ)</w:t>
      </w:r>
    </w:p>
    <w:p w:rsidR="00250F83" w:rsidP="00250F83" w:rsidRDefault="00250F83">
      <w:pPr>
        <w:rPr>
          <w:rFonts w:ascii="Verdana" w:hAnsi="Verdana" w:cstheme="minorHAnsi"/>
          <w:sz w:val="18"/>
          <w:szCs w:val="18"/>
          <w:lang w:val="nl-NL"/>
        </w:rPr>
      </w:pPr>
    </w:p>
    <w:p w:rsidR="00250F83" w:rsidP="00250F83" w:rsidRDefault="00250F83">
      <w:pPr>
        <w:rPr>
          <w:rFonts w:ascii="Verdana" w:hAnsi="Verdana" w:cstheme="minorHAnsi"/>
          <w:sz w:val="18"/>
          <w:szCs w:val="18"/>
          <w:u w:val="single"/>
          <w:lang w:val="nl-NL"/>
        </w:rPr>
      </w:pPr>
      <w:r>
        <w:rPr>
          <w:rFonts w:ascii="Verdana" w:hAnsi="Verdana" w:cstheme="minorHAnsi"/>
          <w:sz w:val="18"/>
          <w:szCs w:val="18"/>
          <w:u w:val="single"/>
          <w:lang w:val="nl-NL"/>
        </w:rPr>
        <w:t>Huidig kader</w:t>
      </w:r>
    </w:p>
    <w:p w:rsidR="00250F83" w:rsidP="00250F83" w:rsidRDefault="00250F83">
      <w:pPr>
        <w:pStyle w:val="Lijstalinea"/>
        <w:numPr>
          <w:ilvl w:val="0"/>
          <w:numId w:val="1"/>
        </w:numPr>
        <w:rPr>
          <w:rFonts w:ascii="Verdana" w:hAnsi="Verdana" w:cstheme="minorHAnsi"/>
          <w:sz w:val="18"/>
          <w:szCs w:val="18"/>
          <w:lang w:val="nl-NL"/>
        </w:rPr>
      </w:pPr>
      <w:r>
        <w:rPr>
          <w:rFonts w:ascii="Verdana" w:hAnsi="Verdana" w:cstheme="minorHAnsi"/>
          <w:sz w:val="18"/>
          <w:szCs w:val="18"/>
          <w:lang w:val="nl-NL"/>
        </w:rPr>
        <w:t xml:space="preserve">Fusiepartners dienen een </w:t>
      </w:r>
      <w:proofErr w:type="spellStart"/>
      <w:r>
        <w:rPr>
          <w:rFonts w:ascii="Verdana" w:hAnsi="Verdana" w:cstheme="minorHAnsi"/>
          <w:sz w:val="18"/>
          <w:szCs w:val="18"/>
          <w:lang w:val="nl-NL"/>
        </w:rPr>
        <w:t>fusie-effectrapportage</w:t>
      </w:r>
      <w:proofErr w:type="spellEnd"/>
      <w:r>
        <w:rPr>
          <w:rFonts w:ascii="Verdana" w:hAnsi="Verdana" w:cstheme="minorHAnsi"/>
          <w:sz w:val="18"/>
          <w:szCs w:val="18"/>
          <w:lang w:val="nl-NL"/>
        </w:rPr>
        <w:t xml:space="preserve"> (FER) in bij de </w:t>
      </w:r>
      <w:proofErr w:type="spellStart"/>
      <w:r>
        <w:rPr>
          <w:rFonts w:ascii="Verdana" w:hAnsi="Verdana" w:cstheme="minorHAnsi"/>
          <w:sz w:val="18"/>
          <w:szCs w:val="18"/>
          <w:lang w:val="nl-NL"/>
        </w:rPr>
        <w:t>NZa</w:t>
      </w:r>
      <w:proofErr w:type="spellEnd"/>
      <w:r>
        <w:rPr>
          <w:rFonts w:ascii="Verdana" w:hAnsi="Verdana" w:cstheme="minorHAnsi"/>
          <w:sz w:val="18"/>
          <w:szCs w:val="18"/>
          <w:lang w:val="nl-NL"/>
        </w:rPr>
        <w:t xml:space="preserve">. De </w:t>
      </w:r>
      <w:proofErr w:type="spellStart"/>
      <w:r>
        <w:rPr>
          <w:rFonts w:ascii="Verdana" w:hAnsi="Verdana" w:cstheme="minorHAnsi"/>
          <w:sz w:val="18"/>
          <w:szCs w:val="18"/>
          <w:lang w:val="nl-NL"/>
        </w:rPr>
        <w:t>NZa</w:t>
      </w:r>
      <w:proofErr w:type="spellEnd"/>
      <w:r>
        <w:rPr>
          <w:rFonts w:ascii="Verdana" w:hAnsi="Verdana" w:cstheme="minorHAnsi"/>
          <w:sz w:val="18"/>
          <w:szCs w:val="18"/>
          <w:lang w:val="nl-NL"/>
        </w:rPr>
        <w:t xml:space="preserve"> informeert de IGZ over de voorgenomen fusie;</w:t>
      </w:r>
    </w:p>
    <w:p w:rsidR="00250F83" w:rsidP="00250F83" w:rsidRDefault="00250F83">
      <w:pPr>
        <w:pStyle w:val="Lijstalinea"/>
        <w:numPr>
          <w:ilvl w:val="0"/>
          <w:numId w:val="1"/>
        </w:numPr>
        <w:rPr>
          <w:rFonts w:ascii="Verdana" w:hAnsi="Verdana" w:cstheme="minorHAnsi"/>
          <w:sz w:val="18"/>
          <w:szCs w:val="18"/>
          <w:lang w:val="nl-NL"/>
        </w:rPr>
      </w:pPr>
      <w:r>
        <w:rPr>
          <w:rFonts w:ascii="Verdana" w:hAnsi="Verdana" w:cstheme="minorHAnsi"/>
          <w:sz w:val="18"/>
          <w:szCs w:val="18"/>
          <w:lang w:val="nl-NL"/>
        </w:rPr>
        <w:t xml:space="preserve">Indien de </w:t>
      </w:r>
      <w:proofErr w:type="spellStart"/>
      <w:r>
        <w:rPr>
          <w:rFonts w:ascii="Verdana" w:hAnsi="Verdana" w:cstheme="minorHAnsi"/>
          <w:sz w:val="18"/>
          <w:szCs w:val="18"/>
          <w:lang w:val="nl-NL"/>
        </w:rPr>
        <w:t>NZa</w:t>
      </w:r>
      <w:proofErr w:type="spellEnd"/>
      <w:r>
        <w:rPr>
          <w:rFonts w:ascii="Verdana" w:hAnsi="Verdana" w:cstheme="minorHAnsi"/>
          <w:sz w:val="18"/>
          <w:szCs w:val="18"/>
          <w:lang w:val="nl-NL"/>
        </w:rPr>
        <w:t xml:space="preserve"> akkoord is met de FER, dan melden fusiepartijen zich bij de ACM voor een toets op mededingingsaspecten;</w:t>
      </w:r>
    </w:p>
    <w:p w:rsidR="00250F83" w:rsidP="00250F83" w:rsidRDefault="00250F83">
      <w:pPr>
        <w:pStyle w:val="Lijstalinea"/>
        <w:numPr>
          <w:ilvl w:val="0"/>
          <w:numId w:val="1"/>
        </w:numPr>
        <w:rPr>
          <w:rFonts w:ascii="Verdana" w:hAnsi="Verdana" w:cstheme="minorHAnsi"/>
          <w:sz w:val="18"/>
          <w:szCs w:val="18"/>
          <w:lang w:val="nl-NL"/>
        </w:rPr>
      </w:pPr>
      <w:r>
        <w:rPr>
          <w:rFonts w:ascii="Verdana" w:hAnsi="Verdana" w:cstheme="minorHAnsi"/>
          <w:sz w:val="18"/>
          <w:szCs w:val="18"/>
          <w:lang w:val="nl-NL"/>
        </w:rPr>
        <w:t xml:space="preserve">Als de ACM nader onderzoek nodig acht, dan vraagt de ACM de </w:t>
      </w:r>
      <w:proofErr w:type="spellStart"/>
      <w:r>
        <w:rPr>
          <w:rFonts w:ascii="Verdana" w:hAnsi="Verdana" w:cstheme="minorHAnsi"/>
          <w:sz w:val="18"/>
          <w:szCs w:val="18"/>
          <w:lang w:val="nl-NL"/>
        </w:rPr>
        <w:t>NZa</w:t>
      </w:r>
      <w:proofErr w:type="spellEnd"/>
      <w:r>
        <w:rPr>
          <w:rFonts w:ascii="Verdana" w:hAnsi="Verdana" w:cstheme="minorHAnsi"/>
          <w:sz w:val="18"/>
          <w:szCs w:val="18"/>
          <w:lang w:val="nl-NL"/>
        </w:rPr>
        <w:t xml:space="preserve"> om een zienswijze af te geven over betaalbaarheid, toegankelijkheid en kwaliteit. Ten aanzien van de kwaliteit vraagt de </w:t>
      </w:r>
      <w:proofErr w:type="spellStart"/>
      <w:r>
        <w:rPr>
          <w:rFonts w:ascii="Verdana" w:hAnsi="Verdana" w:cstheme="minorHAnsi"/>
          <w:sz w:val="18"/>
          <w:szCs w:val="18"/>
          <w:lang w:val="nl-NL"/>
        </w:rPr>
        <w:t>NZa</w:t>
      </w:r>
      <w:proofErr w:type="spellEnd"/>
      <w:r>
        <w:rPr>
          <w:rFonts w:ascii="Verdana" w:hAnsi="Verdana" w:cstheme="minorHAnsi"/>
          <w:sz w:val="18"/>
          <w:szCs w:val="18"/>
          <w:lang w:val="nl-NL"/>
        </w:rPr>
        <w:t xml:space="preserve"> op haar beurt de IGZ om advies. De IGZ geeft de </w:t>
      </w:r>
      <w:proofErr w:type="spellStart"/>
      <w:r>
        <w:rPr>
          <w:rFonts w:ascii="Verdana" w:hAnsi="Verdana" w:cstheme="minorHAnsi"/>
          <w:sz w:val="18"/>
          <w:szCs w:val="18"/>
          <w:lang w:val="nl-NL"/>
        </w:rPr>
        <w:t>NZa</w:t>
      </w:r>
      <w:proofErr w:type="spellEnd"/>
      <w:r>
        <w:rPr>
          <w:rFonts w:ascii="Verdana" w:hAnsi="Verdana" w:cstheme="minorHAnsi"/>
          <w:sz w:val="18"/>
          <w:szCs w:val="18"/>
          <w:lang w:val="nl-NL"/>
        </w:rPr>
        <w:t xml:space="preserve"> haar zienswijze over de kwaliteit en veiligheid van de zorg van de fusiepartners. </w:t>
      </w:r>
    </w:p>
    <w:p w:rsidR="00250F83" w:rsidP="00250F83" w:rsidRDefault="00250F83">
      <w:pPr>
        <w:rPr>
          <w:rFonts w:ascii="Verdana" w:hAnsi="Verdana" w:cstheme="minorHAnsi"/>
          <w:sz w:val="18"/>
          <w:szCs w:val="18"/>
          <w:lang w:val="nl-NL"/>
        </w:rPr>
      </w:pPr>
    </w:p>
    <w:p w:rsidR="00250F83" w:rsidP="00250F83" w:rsidRDefault="00250F83">
      <w:pPr>
        <w:rPr>
          <w:rFonts w:ascii="Verdana" w:hAnsi="Verdana" w:cstheme="minorHAnsi"/>
          <w:sz w:val="18"/>
          <w:szCs w:val="18"/>
          <w:u w:val="single"/>
          <w:lang w:val="nl-NL"/>
        </w:rPr>
      </w:pPr>
      <w:r>
        <w:rPr>
          <w:rFonts w:ascii="Verdana" w:hAnsi="Verdana" w:cstheme="minorHAnsi"/>
          <w:sz w:val="18"/>
          <w:szCs w:val="18"/>
          <w:u w:val="single"/>
          <w:lang w:val="nl-NL"/>
        </w:rPr>
        <w:t xml:space="preserve">Wijziging van de </w:t>
      </w:r>
      <w:proofErr w:type="spellStart"/>
      <w:r>
        <w:rPr>
          <w:rFonts w:ascii="Verdana" w:hAnsi="Verdana" w:cstheme="minorHAnsi"/>
          <w:sz w:val="18"/>
          <w:szCs w:val="18"/>
          <w:u w:val="single"/>
          <w:lang w:val="nl-NL"/>
        </w:rPr>
        <w:t>Wmg</w:t>
      </w:r>
      <w:proofErr w:type="spellEnd"/>
    </w:p>
    <w:p w:rsidR="00250F83" w:rsidP="00250F83" w:rsidRDefault="00250F83">
      <w:pPr>
        <w:rPr>
          <w:rFonts w:ascii="Verdana" w:hAnsi="Verdana" w:cstheme="minorHAnsi"/>
          <w:sz w:val="18"/>
          <w:szCs w:val="18"/>
          <w:lang w:val="nl-NL"/>
        </w:rPr>
      </w:pPr>
      <w:r>
        <w:rPr>
          <w:rFonts w:ascii="Verdana" w:hAnsi="Verdana" w:cstheme="minorHAnsi"/>
          <w:sz w:val="18"/>
          <w:szCs w:val="18"/>
          <w:lang w:val="nl-NL"/>
        </w:rPr>
        <w:t>Na de voorgenomen wijziging van de Wet marktordening gezondheidszorg (</w:t>
      </w:r>
      <w:r>
        <w:rPr>
          <w:rFonts w:ascii="Verdana" w:hAnsi="Verdana" w:cstheme="minorHAnsi"/>
          <w:bCs/>
          <w:sz w:val="18"/>
          <w:szCs w:val="18"/>
          <w:lang w:val="nl-NL"/>
        </w:rPr>
        <w:t>WMG</w:t>
      </w:r>
      <w:r>
        <w:rPr>
          <w:rFonts w:ascii="Verdana" w:hAnsi="Verdana" w:cstheme="minorHAnsi"/>
          <w:sz w:val="18"/>
          <w:szCs w:val="18"/>
          <w:lang w:val="nl-NL"/>
        </w:rPr>
        <w:t xml:space="preserve">) gaat het  sectorspecifieke markttoezicht (de </w:t>
      </w:r>
      <w:proofErr w:type="spellStart"/>
      <w:r>
        <w:rPr>
          <w:rFonts w:ascii="Verdana" w:hAnsi="Verdana" w:cstheme="minorHAnsi"/>
          <w:sz w:val="18"/>
          <w:szCs w:val="18"/>
          <w:lang w:val="nl-NL"/>
        </w:rPr>
        <w:t>zorgfusietoets</w:t>
      </w:r>
      <w:proofErr w:type="spellEnd"/>
      <w:r>
        <w:rPr>
          <w:rFonts w:ascii="Verdana" w:hAnsi="Verdana" w:cstheme="minorHAnsi"/>
          <w:sz w:val="18"/>
          <w:szCs w:val="18"/>
          <w:lang w:val="nl-NL"/>
        </w:rPr>
        <w:t xml:space="preserve"> en het instrument van de Aanmerkelijke marktmacht, AMM)  over van de </w:t>
      </w:r>
      <w:proofErr w:type="spellStart"/>
      <w:r>
        <w:rPr>
          <w:rFonts w:ascii="Verdana" w:hAnsi="Verdana" w:cstheme="minorHAnsi"/>
          <w:sz w:val="18"/>
          <w:szCs w:val="18"/>
          <w:lang w:val="nl-NL"/>
        </w:rPr>
        <w:t>NZa</w:t>
      </w:r>
      <w:proofErr w:type="spellEnd"/>
      <w:r>
        <w:rPr>
          <w:rFonts w:ascii="Verdana" w:hAnsi="Verdana" w:cstheme="minorHAnsi"/>
          <w:sz w:val="18"/>
          <w:szCs w:val="18"/>
          <w:lang w:val="nl-NL"/>
        </w:rPr>
        <w:t xml:space="preserve"> naar de ACM. In die situatie werkt de IGZ ten aanzien van fusies direct samen met de ACM.</w:t>
      </w:r>
    </w:p>
    <w:p w:rsidR="00250F83" w:rsidP="00250F83" w:rsidRDefault="00250F83">
      <w:pPr>
        <w:rPr>
          <w:rFonts w:ascii="Verdana" w:hAnsi="Verdana" w:cstheme="minorHAnsi"/>
          <w:sz w:val="18"/>
          <w:szCs w:val="18"/>
          <w:lang w:val="nl-NL"/>
        </w:rPr>
      </w:pPr>
    </w:p>
    <w:p w:rsidR="00250F83" w:rsidP="00250F83" w:rsidRDefault="00250F83">
      <w:pPr>
        <w:rPr>
          <w:rFonts w:ascii="Verdana" w:hAnsi="Verdana" w:cstheme="minorHAnsi"/>
          <w:sz w:val="18"/>
          <w:szCs w:val="18"/>
          <w:u w:val="single"/>
          <w:lang w:val="nl-NL"/>
        </w:rPr>
      </w:pPr>
      <w:r>
        <w:rPr>
          <w:rFonts w:ascii="Verdana" w:hAnsi="Verdana" w:cstheme="minorHAnsi"/>
          <w:sz w:val="18"/>
          <w:szCs w:val="18"/>
          <w:u w:val="single"/>
          <w:lang w:val="nl-NL"/>
        </w:rPr>
        <w:t>Insteek IGZ</w:t>
      </w:r>
    </w:p>
    <w:p w:rsidR="00250F83" w:rsidP="00250F83" w:rsidRDefault="00250F83">
      <w:pPr>
        <w:pStyle w:val="Lijstalinea"/>
        <w:numPr>
          <w:ilvl w:val="0"/>
          <w:numId w:val="2"/>
        </w:numPr>
        <w:rPr>
          <w:rFonts w:ascii="Verdana" w:hAnsi="Verdana" w:cstheme="minorHAnsi"/>
          <w:sz w:val="18"/>
          <w:szCs w:val="18"/>
          <w:lang w:val="nl-NL"/>
        </w:rPr>
      </w:pPr>
      <w:r>
        <w:rPr>
          <w:rFonts w:ascii="Verdana" w:hAnsi="Verdana" w:cstheme="minorHAnsi"/>
          <w:sz w:val="18"/>
          <w:szCs w:val="18"/>
          <w:lang w:val="nl-NL"/>
        </w:rPr>
        <w:t xml:space="preserve">De IGZ beschouwt een fusie wel als </w:t>
      </w:r>
      <w:r>
        <w:rPr>
          <w:rFonts w:ascii="Verdana" w:hAnsi="Verdana" w:cstheme="minorHAnsi"/>
          <w:b/>
          <w:i/>
          <w:sz w:val="18"/>
          <w:szCs w:val="18"/>
          <w:lang w:val="nl-NL"/>
        </w:rPr>
        <w:t>mogelijke risicofactor</w:t>
      </w:r>
      <w:r>
        <w:rPr>
          <w:rFonts w:ascii="Verdana" w:hAnsi="Verdana" w:cstheme="minorHAnsi"/>
          <w:sz w:val="18"/>
          <w:szCs w:val="18"/>
          <w:lang w:val="nl-NL"/>
        </w:rPr>
        <w:t xml:space="preserve"> voor de kwaliteit en veiligheid van zorg. De IGZ volgt de kwaliteit en veiligheid van zorg van de fusieorganisatie daarom met haar </w:t>
      </w:r>
      <w:r>
        <w:rPr>
          <w:rFonts w:ascii="Verdana" w:hAnsi="Verdana" w:cstheme="minorHAnsi"/>
          <w:b/>
          <w:i/>
          <w:sz w:val="18"/>
          <w:szCs w:val="18"/>
          <w:lang w:val="nl-NL"/>
        </w:rPr>
        <w:t>risicogestuurde toezicht</w:t>
      </w:r>
      <w:r>
        <w:rPr>
          <w:rFonts w:ascii="Verdana" w:hAnsi="Verdana" w:cstheme="minorHAnsi"/>
          <w:sz w:val="18"/>
          <w:szCs w:val="18"/>
          <w:lang w:val="nl-NL"/>
        </w:rPr>
        <w:t xml:space="preserve">. </w:t>
      </w:r>
    </w:p>
    <w:p w:rsidR="00250F83" w:rsidP="00250F83" w:rsidRDefault="00250F83">
      <w:pPr>
        <w:pStyle w:val="Lijstalinea"/>
        <w:numPr>
          <w:ilvl w:val="0"/>
          <w:numId w:val="2"/>
        </w:numPr>
        <w:rPr>
          <w:rFonts w:ascii="Verdana" w:hAnsi="Verdana" w:cstheme="minorHAnsi"/>
          <w:sz w:val="18"/>
          <w:szCs w:val="18"/>
          <w:lang w:val="nl-NL"/>
        </w:rPr>
      </w:pPr>
      <w:r>
        <w:rPr>
          <w:rFonts w:ascii="Verdana" w:hAnsi="Verdana" w:cstheme="minorHAnsi"/>
          <w:sz w:val="18"/>
          <w:szCs w:val="18"/>
          <w:lang w:val="nl-NL"/>
        </w:rPr>
        <w:t xml:space="preserve">De IGZ kan voorafgaand aan de fusie namelijk </w:t>
      </w:r>
      <w:r>
        <w:rPr>
          <w:rFonts w:ascii="Verdana" w:hAnsi="Verdana" w:cstheme="minorHAnsi"/>
          <w:b/>
          <w:i/>
          <w:sz w:val="18"/>
          <w:szCs w:val="18"/>
          <w:lang w:val="nl-NL"/>
        </w:rPr>
        <w:t>niet voorspellen</w:t>
      </w:r>
      <w:r>
        <w:rPr>
          <w:rFonts w:ascii="Verdana" w:hAnsi="Verdana" w:cstheme="minorHAnsi"/>
          <w:sz w:val="18"/>
          <w:szCs w:val="18"/>
          <w:lang w:val="nl-NL"/>
        </w:rPr>
        <w:t xml:space="preserve"> welk effect de fusie op de kwaliteit en veiligheid van zorg gaat hebben. Dat is casusspecifiek en van teveel verschillende factoren afhankelijk.</w:t>
      </w:r>
    </w:p>
    <w:p w:rsidR="00250F83" w:rsidP="00250F83" w:rsidRDefault="00250F83">
      <w:pPr>
        <w:pStyle w:val="Lijstalinea"/>
        <w:numPr>
          <w:ilvl w:val="0"/>
          <w:numId w:val="2"/>
        </w:numPr>
        <w:rPr>
          <w:rFonts w:ascii="Verdana" w:hAnsi="Verdana" w:cstheme="minorHAnsi"/>
          <w:sz w:val="18"/>
          <w:szCs w:val="18"/>
          <w:lang w:val="nl-NL"/>
        </w:rPr>
      </w:pPr>
      <w:r>
        <w:rPr>
          <w:rFonts w:ascii="Verdana" w:hAnsi="Verdana" w:cstheme="minorHAnsi"/>
          <w:sz w:val="18"/>
          <w:szCs w:val="18"/>
          <w:lang w:val="nl-NL"/>
        </w:rPr>
        <w:t xml:space="preserve">Toezicht op fusies vanuit kwaliteitsperspectief is pas echt mogelijk </w:t>
      </w:r>
      <w:r>
        <w:rPr>
          <w:rFonts w:ascii="Verdana" w:hAnsi="Verdana" w:cstheme="minorHAnsi"/>
          <w:b/>
          <w:i/>
          <w:sz w:val="18"/>
          <w:szCs w:val="18"/>
          <w:lang w:val="nl-NL"/>
        </w:rPr>
        <w:t>na effectuering van de fusie</w:t>
      </w:r>
      <w:r>
        <w:rPr>
          <w:rFonts w:ascii="Verdana" w:hAnsi="Verdana" w:cstheme="minorHAnsi"/>
          <w:sz w:val="18"/>
          <w:szCs w:val="18"/>
          <w:lang w:val="nl-NL"/>
        </w:rPr>
        <w:t xml:space="preserve">. </w:t>
      </w:r>
    </w:p>
    <w:p w:rsidR="00250F83" w:rsidP="00250F83" w:rsidRDefault="00250F83">
      <w:pPr>
        <w:pStyle w:val="Lijstalinea"/>
        <w:numPr>
          <w:ilvl w:val="0"/>
          <w:numId w:val="2"/>
        </w:numPr>
        <w:rPr>
          <w:rFonts w:ascii="Verdana" w:hAnsi="Verdana" w:cstheme="minorHAnsi"/>
          <w:sz w:val="18"/>
          <w:szCs w:val="18"/>
          <w:lang w:val="nl-NL"/>
        </w:rPr>
      </w:pPr>
      <w:r>
        <w:rPr>
          <w:rFonts w:ascii="Verdana" w:hAnsi="Verdana" w:cstheme="minorHAnsi"/>
          <w:sz w:val="18"/>
          <w:szCs w:val="18"/>
          <w:lang w:val="nl-NL"/>
        </w:rPr>
        <w:t xml:space="preserve">Daar waar (een risico op) onverantwoorde zorg ontstaat grijpt de IGZ met haar </w:t>
      </w:r>
      <w:r>
        <w:rPr>
          <w:rFonts w:ascii="Verdana" w:hAnsi="Verdana" w:cstheme="minorHAnsi"/>
          <w:b/>
          <w:i/>
          <w:sz w:val="18"/>
          <w:szCs w:val="18"/>
          <w:lang w:val="nl-NL"/>
        </w:rPr>
        <w:t>gebruikelijke instrumentarium</w:t>
      </w:r>
      <w:r>
        <w:rPr>
          <w:rFonts w:ascii="Verdana" w:hAnsi="Verdana" w:cstheme="minorHAnsi"/>
          <w:sz w:val="18"/>
          <w:szCs w:val="18"/>
          <w:lang w:val="nl-NL"/>
        </w:rPr>
        <w:t xml:space="preserve"> in.</w:t>
      </w:r>
    </w:p>
    <w:p w:rsidR="00250F83" w:rsidP="00250F83" w:rsidRDefault="00250F83">
      <w:pPr>
        <w:rPr>
          <w:rFonts w:ascii="Verdana" w:hAnsi="Verdana" w:cstheme="minorHAnsi"/>
          <w:sz w:val="18"/>
          <w:szCs w:val="18"/>
          <w:lang w:val="nl-NL"/>
        </w:rPr>
      </w:pPr>
    </w:p>
    <w:p w:rsidR="00250F83" w:rsidP="00250F83" w:rsidRDefault="00250F83">
      <w:pPr>
        <w:rPr>
          <w:rFonts w:ascii="Verdana" w:hAnsi="Verdana" w:cstheme="minorHAnsi"/>
          <w:sz w:val="18"/>
          <w:szCs w:val="18"/>
          <w:u w:val="single"/>
          <w:lang w:val="nl-NL"/>
        </w:rPr>
      </w:pPr>
      <w:r>
        <w:rPr>
          <w:rFonts w:ascii="Verdana" w:hAnsi="Verdana" w:cstheme="minorHAnsi"/>
          <w:sz w:val="18"/>
          <w:szCs w:val="18"/>
          <w:u w:val="single"/>
          <w:lang w:val="nl-NL"/>
        </w:rPr>
        <w:t>Ter toelichting</w:t>
      </w:r>
    </w:p>
    <w:p w:rsidR="00250F83" w:rsidP="00250F83" w:rsidRDefault="00250F83">
      <w:pPr>
        <w:rPr>
          <w:rFonts w:ascii="Verdana" w:hAnsi="Verdana" w:cstheme="minorHAnsi"/>
          <w:b/>
          <w:sz w:val="18"/>
          <w:szCs w:val="18"/>
          <w:lang w:val="nl-NL"/>
        </w:rPr>
      </w:pPr>
      <w:r>
        <w:rPr>
          <w:rFonts w:ascii="Verdana" w:hAnsi="Verdana" w:cstheme="minorHAnsi"/>
          <w:sz w:val="18"/>
          <w:szCs w:val="18"/>
          <w:lang w:val="nl-NL"/>
        </w:rPr>
        <w:t>Voor het vooraf meten van de effecten van een fusie op de kwaliteit van zorg zijn geen normen. Enige harde norm vanuit kwaliteitsoptiek is in feite de 45-minutennorm voor ambulances. Bij voorgenomen fusies  let de IGZ extra op bestuurlijke aandacht voor kwaliteit en veiligheid.</w:t>
      </w:r>
    </w:p>
    <w:p w:rsidRPr="00250F83" w:rsidR="00A17C6E" w:rsidRDefault="00A17C6E">
      <w:pPr>
        <w:rPr>
          <w:rFonts w:ascii="Verdana" w:hAnsi="Verdana"/>
          <w:sz w:val="18"/>
          <w:szCs w:val="18"/>
          <w:lang w:val="nl-NL"/>
        </w:rPr>
      </w:pPr>
    </w:p>
    <w:sectPr w:rsidRPr="00250F83" w:rsidR="00A17C6E" w:rsidSect="00A17C6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92322"/>
    <w:multiLevelType w:val="hybridMultilevel"/>
    <w:tmpl w:val="06B47FA0"/>
    <w:lvl w:ilvl="0" w:tplc="A44A45AE">
      <w:numFmt w:val="bullet"/>
      <w:lvlText w:val="-"/>
      <w:lvlJc w:val="left"/>
      <w:pPr>
        <w:ind w:left="360" w:hanging="360"/>
      </w:pPr>
      <w:rPr>
        <w:rFonts w:ascii="Verdana" w:eastAsiaTheme="minorEastAsia" w:hAnsi="Verdana" w:cs="Times New Roman" w:hint="default"/>
      </w:rPr>
    </w:lvl>
    <w:lvl w:ilvl="1" w:tplc="802460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6E23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F6D2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A6D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EA63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68E8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A4A8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8C82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254AF3"/>
    <w:multiLevelType w:val="hybridMultilevel"/>
    <w:tmpl w:val="2480B1DC"/>
    <w:lvl w:ilvl="0" w:tplc="B74A1A4E">
      <w:start w:val="1"/>
      <w:numFmt w:val="decimal"/>
      <w:lvlText w:val="%1."/>
      <w:lvlJc w:val="left"/>
      <w:pPr>
        <w:ind w:left="360" w:hanging="360"/>
      </w:pPr>
    </w:lvl>
    <w:lvl w:ilvl="1" w:tplc="AC3CFF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FCB5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6AF8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DCDE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78A8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EC2C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E62D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1AB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0F83"/>
    <w:rsid w:val="00000E3D"/>
    <w:rsid w:val="00002AC4"/>
    <w:rsid w:val="00002DF6"/>
    <w:rsid w:val="00002E7D"/>
    <w:rsid w:val="00004817"/>
    <w:rsid w:val="00010A60"/>
    <w:rsid w:val="000114E4"/>
    <w:rsid w:val="00012352"/>
    <w:rsid w:val="00014C1E"/>
    <w:rsid w:val="00015503"/>
    <w:rsid w:val="00025745"/>
    <w:rsid w:val="00040C69"/>
    <w:rsid w:val="00043A55"/>
    <w:rsid w:val="00045C9B"/>
    <w:rsid w:val="00046F64"/>
    <w:rsid w:val="0005289B"/>
    <w:rsid w:val="000556BD"/>
    <w:rsid w:val="0005600E"/>
    <w:rsid w:val="00063D94"/>
    <w:rsid w:val="000670F8"/>
    <w:rsid w:val="00067969"/>
    <w:rsid w:val="00077764"/>
    <w:rsid w:val="00081988"/>
    <w:rsid w:val="0009602E"/>
    <w:rsid w:val="000A2219"/>
    <w:rsid w:val="000A721A"/>
    <w:rsid w:val="000B12A8"/>
    <w:rsid w:val="000B195F"/>
    <w:rsid w:val="000C1C22"/>
    <w:rsid w:val="000C7204"/>
    <w:rsid w:val="000D0404"/>
    <w:rsid w:val="000D500C"/>
    <w:rsid w:val="000D5F64"/>
    <w:rsid w:val="000D5FE4"/>
    <w:rsid w:val="000E278E"/>
    <w:rsid w:val="000E7D72"/>
    <w:rsid w:val="000F3D9B"/>
    <w:rsid w:val="000F67F3"/>
    <w:rsid w:val="000F7960"/>
    <w:rsid w:val="00103868"/>
    <w:rsid w:val="00110FF6"/>
    <w:rsid w:val="0011727E"/>
    <w:rsid w:val="00117818"/>
    <w:rsid w:val="0012106B"/>
    <w:rsid w:val="001220DA"/>
    <w:rsid w:val="00125003"/>
    <w:rsid w:val="00126DC0"/>
    <w:rsid w:val="001273DC"/>
    <w:rsid w:val="00137607"/>
    <w:rsid w:val="001438CB"/>
    <w:rsid w:val="00146C34"/>
    <w:rsid w:val="00150A96"/>
    <w:rsid w:val="00152DEF"/>
    <w:rsid w:val="00154D54"/>
    <w:rsid w:val="00161F06"/>
    <w:rsid w:val="00164134"/>
    <w:rsid w:val="001657EA"/>
    <w:rsid w:val="00165E5C"/>
    <w:rsid w:val="00166F07"/>
    <w:rsid w:val="00167776"/>
    <w:rsid w:val="00175FA8"/>
    <w:rsid w:val="00181D1A"/>
    <w:rsid w:val="00182F3D"/>
    <w:rsid w:val="00183CA6"/>
    <w:rsid w:val="00185E21"/>
    <w:rsid w:val="001865C1"/>
    <w:rsid w:val="001A2EDB"/>
    <w:rsid w:val="001B08CF"/>
    <w:rsid w:val="001B2FA5"/>
    <w:rsid w:val="001C10FA"/>
    <w:rsid w:val="001C1FB6"/>
    <w:rsid w:val="001C3DA2"/>
    <w:rsid w:val="001C6C5B"/>
    <w:rsid w:val="001D40DF"/>
    <w:rsid w:val="001D6C86"/>
    <w:rsid w:val="001E024A"/>
    <w:rsid w:val="001E05E5"/>
    <w:rsid w:val="001E6AD9"/>
    <w:rsid w:val="001F587F"/>
    <w:rsid w:val="00203CE2"/>
    <w:rsid w:val="002112A6"/>
    <w:rsid w:val="00211382"/>
    <w:rsid w:val="0021160E"/>
    <w:rsid w:val="00212F81"/>
    <w:rsid w:val="00213140"/>
    <w:rsid w:val="002135CE"/>
    <w:rsid w:val="00215B15"/>
    <w:rsid w:val="00220A87"/>
    <w:rsid w:val="002258F5"/>
    <w:rsid w:val="00230D22"/>
    <w:rsid w:val="00230F8D"/>
    <w:rsid w:val="00232F3A"/>
    <w:rsid w:val="002341A8"/>
    <w:rsid w:val="002359DC"/>
    <w:rsid w:val="00237363"/>
    <w:rsid w:val="00240D1B"/>
    <w:rsid w:val="0024489D"/>
    <w:rsid w:val="00250D90"/>
    <w:rsid w:val="00250F83"/>
    <w:rsid w:val="00255452"/>
    <w:rsid w:val="00255F78"/>
    <w:rsid w:val="00256085"/>
    <w:rsid w:val="00266334"/>
    <w:rsid w:val="002676B4"/>
    <w:rsid w:val="00271B80"/>
    <w:rsid w:val="00274BD1"/>
    <w:rsid w:val="002772D2"/>
    <w:rsid w:val="002775FB"/>
    <w:rsid w:val="00280F80"/>
    <w:rsid w:val="00282C0F"/>
    <w:rsid w:val="002911D1"/>
    <w:rsid w:val="002929D3"/>
    <w:rsid w:val="002A2D41"/>
    <w:rsid w:val="002A5638"/>
    <w:rsid w:val="002B25D1"/>
    <w:rsid w:val="002B3634"/>
    <w:rsid w:val="002B5FE5"/>
    <w:rsid w:val="002B7E23"/>
    <w:rsid w:val="002C1DEB"/>
    <w:rsid w:val="002C33EF"/>
    <w:rsid w:val="002D26BE"/>
    <w:rsid w:val="002D6E80"/>
    <w:rsid w:val="002E630F"/>
    <w:rsid w:val="002F0E36"/>
    <w:rsid w:val="002F2B44"/>
    <w:rsid w:val="002F2B94"/>
    <w:rsid w:val="002F4803"/>
    <w:rsid w:val="00302FE3"/>
    <w:rsid w:val="00310B80"/>
    <w:rsid w:val="00312844"/>
    <w:rsid w:val="00317067"/>
    <w:rsid w:val="00321AE2"/>
    <w:rsid w:val="00324666"/>
    <w:rsid w:val="00336D1F"/>
    <w:rsid w:val="003446FC"/>
    <w:rsid w:val="003466E6"/>
    <w:rsid w:val="00346B1B"/>
    <w:rsid w:val="00352AD2"/>
    <w:rsid w:val="00362688"/>
    <w:rsid w:val="00375F29"/>
    <w:rsid w:val="00376F72"/>
    <w:rsid w:val="00381906"/>
    <w:rsid w:val="003825B8"/>
    <w:rsid w:val="00383C66"/>
    <w:rsid w:val="00385F62"/>
    <w:rsid w:val="003920FC"/>
    <w:rsid w:val="003A5172"/>
    <w:rsid w:val="003B397B"/>
    <w:rsid w:val="003C1B98"/>
    <w:rsid w:val="003D02BE"/>
    <w:rsid w:val="003D1667"/>
    <w:rsid w:val="003D2952"/>
    <w:rsid w:val="003D5FA6"/>
    <w:rsid w:val="003D6E28"/>
    <w:rsid w:val="003F7880"/>
    <w:rsid w:val="00403718"/>
    <w:rsid w:val="00404536"/>
    <w:rsid w:val="00406926"/>
    <w:rsid w:val="004072FB"/>
    <w:rsid w:val="004109F5"/>
    <w:rsid w:val="00411533"/>
    <w:rsid w:val="00413F4C"/>
    <w:rsid w:val="0042225D"/>
    <w:rsid w:val="00422F88"/>
    <w:rsid w:val="00426821"/>
    <w:rsid w:val="00430888"/>
    <w:rsid w:val="00432246"/>
    <w:rsid w:val="00433619"/>
    <w:rsid w:val="00436B09"/>
    <w:rsid w:val="004415B9"/>
    <w:rsid w:val="00446E05"/>
    <w:rsid w:val="00450509"/>
    <w:rsid w:val="00451131"/>
    <w:rsid w:val="004511D3"/>
    <w:rsid w:val="00461139"/>
    <w:rsid w:val="00466C90"/>
    <w:rsid w:val="00466DE9"/>
    <w:rsid w:val="0046788A"/>
    <w:rsid w:val="00472B67"/>
    <w:rsid w:val="004749A0"/>
    <w:rsid w:val="004749E9"/>
    <w:rsid w:val="00477218"/>
    <w:rsid w:val="0048159E"/>
    <w:rsid w:val="00492D01"/>
    <w:rsid w:val="00494109"/>
    <w:rsid w:val="00495FBA"/>
    <w:rsid w:val="004A0C11"/>
    <w:rsid w:val="004A5685"/>
    <w:rsid w:val="004B1765"/>
    <w:rsid w:val="004B23CA"/>
    <w:rsid w:val="004B336F"/>
    <w:rsid w:val="004B3F95"/>
    <w:rsid w:val="004B46BA"/>
    <w:rsid w:val="004C5118"/>
    <w:rsid w:val="004C5DE3"/>
    <w:rsid w:val="004C7038"/>
    <w:rsid w:val="004C794D"/>
    <w:rsid w:val="004C7AB2"/>
    <w:rsid w:val="004D23F8"/>
    <w:rsid w:val="004D79D4"/>
    <w:rsid w:val="004E5A05"/>
    <w:rsid w:val="004E5C2F"/>
    <w:rsid w:val="004E7DAE"/>
    <w:rsid w:val="004F1E4D"/>
    <w:rsid w:val="004F2160"/>
    <w:rsid w:val="004F3601"/>
    <w:rsid w:val="00500D38"/>
    <w:rsid w:val="00501D24"/>
    <w:rsid w:val="00503773"/>
    <w:rsid w:val="00516C95"/>
    <w:rsid w:val="00523470"/>
    <w:rsid w:val="00523728"/>
    <w:rsid w:val="00523BA0"/>
    <w:rsid w:val="00526F80"/>
    <w:rsid w:val="0053529F"/>
    <w:rsid w:val="00542BDD"/>
    <w:rsid w:val="0055160A"/>
    <w:rsid w:val="00554E8F"/>
    <w:rsid w:val="00585198"/>
    <w:rsid w:val="00585365"/>
    <w:rsid w:val="0058576F"/>
    <w:rsid w:val="00590FDD"/>
    <w:rsid w:val="00593254"/>
    <w:rsid w:val="00594AC3"/>
    <w:rsid w:val="00595BD3"/>
    <w:rsid w:val="005A1C15"/>
    <w:rsid w:val="005A1D00"/>
    <w:rsid w:val="005A2074"/>
    <w:rsid w:val="005A5E33"/>
    <w:rsid w:val="005B115C"/>
    <w:rsid w:val="005B16E9"/>
    <w:rsid w:val="005B1727"/>
    <w:rsid w:val="005B4F15"/>
    <w:rsid w:val="005B5638"/>
    <w:rsid w:val="005B783E"/>
    <w:rsid w:val="005B78E9"/>
    <w:rsid w:val="005C4031"/>
    <w:rsid w:val="005D0346"/>
    <w:rsid w:val="005D1FAB"/>
    <w:rsid w:val="005D3CF6"/>
    <w:rsid w:val="005E235D"/>
    <w:rsid w:val="005E338C"/>
    <w:rsid w:val="005E6109"/>
    <w:rsid w:val="00604FE1"/>
    <w:rsid w:val="0060503A"/>
    <w:rsid w:val="00605554"/>
    <w:rsid w:val="00607067"/>
    <w:rsid w:val="0061710A"/>
    <w:rsid w:val="006257BA"/>
    <w:rsid w:val="0063206E"/>
    <w:rsid w:val="00633C0A"/>
    <w:rsid w:val="00633C85"/>
    <w:rsid w:val="00633EE3"/>
    <w:rsid w:val="0064006C"/>
    <w:rsid w:val="00651603"/>
    <w:rsid w:val="00653FFE"/>
    <w:rsid w:val="006643E4"/>
    <w:rsid w:val="00666BFB"/>
    <w:rsid w:val="00672195"/>
    <w:rsid w:val="00685860"/>
    <w:rsid w:val="00691E90"/>
    <w:rsid w:val="0069372E"/>
    <w:rsid w:val="006952EE"/>
    <w:rsid w:val="00696551"/>
    <w:rsid w:val="00696E0D"/>
    <w:rsid w:val="006A40AC"/>
    <w:rsid w:val="006A583B"/>
    <w:rsid w:val="006A652F"/>
    <w:rsid w:val="006B0D4F"/>
    <w:rsid w:val="006B7423"/>
    <w:rsid w:val="006C1BEE"/>
    <w:rsid w:val="006C1D42"/>
    <w:rsid w:val="006C3B86"/>
    <w:rsid w:val="006C4934"/>
    <w:rsid w:val="006C56FE"/>
    <w:rsid w:val="006D1B53"/>
    <w:rsid w:val="006D324C"/>
    <w:rsid w:val="006D3A78"/>
    <w:rsid w:val="006D5C4F"/>
    <w:rsid w:val="006E045F"/>
    <w:rsid w:val="006E1F50"/>
    <w:rsid w:val="006E559C"/>
    <w:rsid w:val="006F080E"/>
    <w:rsid w:val="006F1ACE"/>
    <w:rsid w:val="006F3A55"/>
    <w:rsid w:val="006F6C85"/>
    <w:rsid w:val="00702FFE"/>
    <w:rsid w:val="007048BE"/>
    <w:rsid w:val="00705441"/>
    <w:rsid w:val="00706309"/>
    <w:rsid w:val="00712076"/>
    <w:rsid w:val="00716452"/>
    <w:rsid w:val="007223EC"/>
    <w:rsid w:val="00742EE6"/>
    <w:rsid w:val="00754FE1"/>
    <w:rsid w:val="007729CD"/>
    <w:rsid w:val="007834E0"/>
    <w:rsid w:val="007852EF"/>
    <w:rsid w:val="00796CF6"/>
    <w:rsid w:val="007B336D"/>
    <w:rsid w:val="007B4910"/>
    <w:rsid w:val="007B56C3"/>
    <w:rsid w:val="007B5F1F"/>
    <w:rsid w:val="007B6721"/>
    <w:rsid w:val="007B6984"/>
    <w:rsid w:val="007C5619"/>
    <w:rsid w:val="007D4B7F"/>
    <w:rsid w:val="007E0257"/>
    <w:rsid w:val="007E1302"/>
    <w:rsid w:val="007E3E5D"/>
    <w:rsid w:val="007E7397"/>
    <w:rsid w:val="007F79E4"/>
    <w:rsid w:val="00801CC8"/>
    <w:rsid w:val="008036C0"/>
    <w:rsid w:val="00804C44"/>
    <w:rsid w:val="00813095"/>
    <w:rsid w:val="00816042"/>
    <w:rsid w:val="00817538"/>
    <w:rsid w:val="00820AA9"/>
    <w:rsid w:val="00835CE9"/>
    <w:rsid w:val="00836C12"/>
    <w:rsid w:val="00845EF1"/>
    <w:rsid w:val="00846F27"/>
    <w:rsid w:val="008529A6"/>
    <w:rsid w:val="00856DC4"/>
    <w:rsid w:val="0085702F"/>
    <w:rsid w:val="0085786D"/>
    <w:rsid w:val="00871B11"/>
    <w:rsid w:val="00874B30"/>
    <w:rsid w:val="00880909"/>
    <w:rsid w:val="00885B9E"/>
    <w:rsid w:val="00891BD9"/>
    <w:rsid w:val="00892FE7"/>
    <w:rsid w:val="008A7280"/>
    <w:rsid w:val="008B5FB6"/>
    <w:rsid w:val="008C2950"/>
    <w:rsid w:val="008C2D1F"/>
    <w:rsid w:val="008C71B7"/>
    <w:rsid w:val="008D23EA"/>
    <w:rsid w:val="008D3122"/>
    <w:rsid w:val="008D6805"/>
    <w:rsid w:val="008D6F7A"/>
    <w:rsid w:val="008E280C"/>
    <w:rsid w:val="008E381D"/>
    <w:rsid w:val="008E402F"/>
    <w:rsid w:val="008E4911"/>
    <w:rsid w:val="008F02A3"/>
    <w:rsid w:val="008F2A6A"/>
    <w:rsid w:val="00901EC8"/>
    <w:rsid w:val="009024FA"/>
    <w:rsid w:val="00903378"/>
    <w:rsid w:val="0090697F"/>
    <w:rsid w:val="00906DA0"/>
    <w:rsid w:val="00907552"/>
    <w:rsid w:val="00907E69"/>
    <w:rsid w:val="00912ADB"/>
    <w:rsid w:val="00917367"/>
    <w:rsid w:val="00922BF2"/>
    <w:rsid w:val="009247AA"/>
    <w:rsid w:val="0092480C"/>
    <w:rsid w:val="00926013"/>
    <w:rsid w:val="0093062F"/>
    <w:rsid w:val="00930EF5"/>
    <w:rsid w:val="0093434C"/>
    <w:rsid w:val="009346E5"/>
    <w:rsid w:val="00934C09"/>
    <w:rsid w:val="00950408"/>
    <w:rsid w:val="0095600F"/>
    <w:rsid w:val="00966B0C"/>
    <w:rsid w:val="00970DCD"/>
    <w:rsid w:val="00971E98"/>
    <w:rsid w:val="00972F42"/>
    <w:rsid w:val="00976FE8"/>
    <w:rsid w:val="00984682"/>
    <w:rsid w:val="00985D33"/>
    <w:rsid w:val="00986B55"/>
    <w:rsid w:val="00992FA1"/>
    <w:rsid w:val="009961BA"/>
    <w:rsid w:val="009A0E28"/>
    <w:rsid w:val="009A3E17"/>
    <w:rsid w:val="009B2DC3"/>
    <w:rsid w:val="009B4DAD"/>
    <w:rsid w:val="009C39B1"/>
    <w:rsid w:val="009C42CE"/>
    <w:rsid w:val="009D0C3A"/>
    <w:rsid w:val="009D6DFB"/>
    <w:rsid w:val="009D7A71"/>
    <w:rsid w:val="009E1F4A"/>
    <w:rsid w:val="009E38EE"/>
    <w:rsid w:val="009E5F24"/>
    <w:rsid w:val="009F4B75"/>
    <w:rsid w:val="009F5A14"/>
    <w:rsid w:val="00A057B7"/>
    <w:rsid w:val="00A05879"/>
    <w:rsid w:val="00A071BC"/>
    <w:rsid w:val="00A117D3"/>
    <w:rsid w:val="00A126B6"/>
    <w:rsid w:val="00A12AA8"/>
    <w:rsid w:val="00A17C6E"/>
    <w:rsid w:val="00A21A09"/>
    <w:rsid w:val="00A22C73"/>
    <w:rsid w:val="00A27A36"/>
    <w:rsid w:val="00A27ED9"/>
    <w:rsid w:val="00A31140"/>
    <w:rsid w:val="00A37ADB"/>
    <w:rsid w:val="00A41D1B"/>
    <w:rsid w:val="00A44F05"/>
    <w:rsid w:val="00A54CE8"/>
    <w:rsid w:val="00A56308"/>
    <w:rsid w:val="00A622D1"/>
    <w:rsid w:val="00A73BDC"/>
    <w:rsid w:val="00A76DCB"/>
    <w:rsid w:val="00A77A85"/>
    <w:rsid w:val="00A77E49"/>
    <w:rsid w:val="00A77FF1"/>
    <w:rsid w:val="00A82824"/>
    <w:rsid w:val="00A834ED"/>
    <w:rsid w:val="00A83894"/>
    <w:rsid w:val="00AA4DD9"/>
    <w:rsid w:val="00AA660E"/>
    <w:rsid w:val="00AA7200"/>
    <w:rsid w:val="00AA7F9B"/>
    <w:rsid w:val="00AC647E"/>
    <w:rsid w:val="00AC6B35"/>
    <w:rsid w:val="00AD0374"/>
    <w:rsid w:val="00AD12F0"/>
    <w:rsid w:val="00AD4C06"/>
    <w:rsid w:val="00AD6870"/>
    <w:rsid w:val="00AE116C"/>
    <w:rsid w:val="00AE1A72"/>
    <w:rsid w:val="00AE7F7C"/>
    <w:rsid w:val="00AF2CE2"/>
    <w:rsid w:val="00AF341F"/>
    <w:rsid w:val="00AF3A1C"/>
    <w:rsid w:val="00AF4CD1"/>
    <w:rsid w:val="00AF5FC0"/>
    <w:rsid w:val="00AF7362"/>
    <w:rsid w:val="00B036E4"/>
    <w:rsid w:val="00B11898"/>
    <w:rsid w:val="00B15424"/>
    <w:rsid w:val="00B16ACF"/>
    <w:rsid w:val="00B17DE5"/>
    <w:rsid w:val="00B225CA"/>
    <w:rsid w:val="00B22981"/>
    <w:rsid w:val="00B23825"/>
    <w:rsid w:val="00B32B11"/>
    <w:rsid w:val="00B35033"/>
    <w:rsid w:val="00B35F2D"/>
    <w:rsid w:val="00B36C74"/>
    <w:rsid w:val="00B375ED"/>
    <w:rsid w:val="00B4154C"/>
    <w:rsid w:val="00B46CE1"/>
    <w:rsid w:val="00B506BA"/>
    <w:rsid w:val="00B624A7"/>
    <w:rsid w:val="00B702C2"/>
    <w:rsid w:val="00B73B92"/>
    <w:rsid w:val="00B776DC"/>
    <w:rsid w:val="00B77C35"/>
    <w:rsid w:val="00B854C6"/>
    <w:rsid w:val="00B86BB7"/>
    <w:rsid w:val="00B9621E"/>
    <w:rsid w:val="00B962D2"/>
    <w:rsid w:val="00B96EC9"/>
    <w:rsid w:val="00BA0C48"/>
    <w:rsid w:val="00BA2597"/>
    <w:rsid w:val="00BA7DA2"/>
    <w:rsid w:val="00BA7EE0"/>
    <w:rsid w:val="00BB18EE"/>
    <w:rsid w:val="00BB64AA"/>
    <w:rsid w:val="00BC024E"/>
    <w:rsid w:val="00BC13DE"/>
    <w:rsid w:val="00BC42EF"/>
    <w:rsid w:val="00BC44BF"/>
    <w:rsid w:val="00BD0D58"/>
    <w:rsid w:val="00BE4A71"/>
    <w:rsid w:val="00BE7873"/>
    <w:rsid w:val="00BE7E36"/>
    <w:rsid w:val="00C0036E"/>
    <w:rsid w:val="00C11F9F"/>
    <w:rsid w:val="00C124C8"/>
    <w:rsid w:val="00C16A67"/>
    <w:rsid w:val="00C17CEC"/>
    <w:rsid w:val="00C21F27"/>
    <w:rsid w:val="00C270CF"/>
    <w:rsid w:val="00C27E3A"/>
    <w:rsid w:val="00C3518C"/>
    <w:rsid w:val="00C35E1A"/>
    <w:rsid w:val="00C37973"/>
    <w:rsid w:val="00C41D3B"/>
    <w:rsid w:val="00C43867"/>
    <w:rsid w:val="00C513DA"/>
    <w:rsid w:val="00C52634"/>
    <w:rsid w:val="00C555F8"/>
    <w:rsid w:val="00C55A09"/>
    <w:rsid w:val="00C57E4F"/>
    <w:rsid w:val="00C65B7F"/>
    <w:rsid w:val="00C660EE"/>
    <w:rsid w:val="00C70321"/>
    <w:rsid w:val="00C74393"/>
    <w:rsid w:val="00C75D51"/>
    <w:rsid w:val="00C75F67"/>
    <w:rsid w:val="00C840C8"/>
    <w:rsid w:val="00C854DB"/>
    <w:rsid w:val="00C865F9"/>
    <w:rsid w:val="00C908FB"/>
    <w:rsid w:val="00C97E84"/>
    <w:rsid w:val="00CA1969"/>
    <w:rsid w:val="00CA5662"/>
    <w:rsid w:val="00CB11EF"/>
    <w:rsid w:val="00CB6C47"/>
    <w:rsid w:val="00CD10B4"/>
    <w:rsid w:val="00CD488C"/>
    <w:rsid w:val="00CD6283"/>
    <w:rsid w:val="00CD6DA6"/>
    <w:rsid w:val="00CE1132"/>
    <w:rsid w:val="00CE583E"/>
    <w:rsid w:val="00CE5EBA"/>
    <w:rsid w:val="00CF22A9"/>
    <w:rsid w:val="00CF4032"/>
    <w:rsid w:val="00CF5674"/>
    <w:rsid w:val="00CF596B"/>
    <w:rsid w:val="00D006C8"/>
    <w:rsid w:val="00D03C6D"/>
    <w:rsid w:val="00D11418"/>
    <w:rsid w:val="00D16390"/>
    <w:rsid w:val="00D2089A"/>
    <w:rsid w:val="00D22DAE"/>
    <w:rsid w:val="00D24375"/>
    <w:rsid w:val="00D24457"/>
    <w:rsid w:val="00D25DF4"/>
    <w:rsid w:val="00D268C7"/>
    <w:rsid w:val="00D27432"/>
    <w:rsid w:val="00D278B0"/>
    <w:rsid w:val="00D30796"/>
    <w:rsid w:val="00D30C1A"/>
    <w:rsid w:val="00D34E19"/>
    <w:rsid w:val="00D45B3E"/>
    <w:rsid w:val="00D46872"/>
    <w:rsid w:val="00D52D8B"/>
    <w:rsid w:val="00D63B21"/>
    <w:rsid w:val="00D6497B"/>
    <w:rsid w:val="00D659AB"/>
    <w:rsid w:val="00D66938"/>
    <w:rsid w:val="00D669EF"/>
    <w:rsid w:val="00D66FB2"/>
    <w:rsid w:val="00D71C1E"/>
    <w:rsid w:val="00D76714"/>
    <w:rsid w:val="00D779D0"/>
    <w:rsid w:val="00D80365"/>
    <w:rsid w:val="00D8203F"/>
    <w:rsid w:val="00D856D1"/>
    <w:rsid w:val="00D9043F"/>
    <w:rsid w:val="00D92716"/>
    <w:rsid w:val="00D92918"/>
    <w:rsid w:val="00D956D1"/>
    <w:rsid w:val="00D96308"/>
    <w:rsid w:val="00DA0426"/>
    <w:rsid w:val="00DA1ACC"/>
    <w:rsid w:val="00DB1B89"/>
    <w:rsid w:val="00DB6704"/>
    <w:rsid w:val="00DD368F"/>
    <w:rsid w:val="00DD4CFF"/>
    <w:rsid w:val="00DD7D54"/>
    <w:rsid w:val="00DE0C70"/>
    <w:rsid w:val="00DF1544"/>
    <w:rsid w:val="00DF4913"/>
    <w:rsid w:val="00DF586D"/>
    <w:rsid w:val="00DF687E"/>
    <w:rsid w:val="00E00A5D"/>
    <w:rsid w:val="00E010FA"/>
    <w:rsid w:val="00E01341"/>
    <w:rsid w:val="00E06E1F"/>
    <w:rsid w:val="00E13013"/>
    <w:rsid w:val="00E14228"/>
    <w:rsid w:val="00E15821"/>
    <w:rsid w:val="00E1664F"/>
    <w:rsid w:val="00E2705F"/>
    <w:rsid w:val="00E327F2"/>
    <w:rsid w:val="00E368FB"/>
    <w:rsid w:val="00E42493"/>
    <w:rsid w:val="00E43DDE"/>
    <w:rsid w:val="00E449F8"/>
    <w:rsid w:val="00E52535"/>
    <w:rsid w:val="00E52614"/>
    <w:rsid w:val="00E52993"/>
    <w:rsid w:val="00E54634"/>
    <w:rsid w:val="00E61F91"/>
    <w:rsid w:val="00E62952"/>
    <w:rsid w:val="00E63EE9"/>
    <w:rsid w:val="00E648DB"/>
    <w:rsid w:val="00E66EE1"/>
    <w:rsid w:val="00E72358"/>
    <w:rsid w:val="00E75077"/>
    <w:rsid w:val="00E81F04"/>
    <w:rsid w:val="00E82494"/>
    <w:rsid w:val="00E82B87"/>
    <w:rsid w:val="00E86F11"/>
    <w:rsid w:val="00E915AD"/>
    <w:rsid w:val="00E937E4"/>
    <w:rsid w:val="00E93F78"/>
    <w:rsid w:val="00E953E1"/>
    <w:rsid w:val="00EA0F8B"/>
    <w:rsid w:val="00EA3E71"/>
    <w:rsid w:val="00EA5A00"/>
    <w:rsid w:val="00EB0A1C"/>
    <w:rsid w:val="00EB34A2"/>
    <w:rsid w:val="00EB4310"/>
    <w:rsid w:val="00EC03DA"/>
    <w:rsid w:val="00EC0A6F"/>
    <w:rsid w:val="00EC17D3"/>
    <w:rsid w:val="00EC49F5"/>
    <w:rsid w:val="00ED7021"/>
    <w:rsid w:val="00EE08E3"/>
    <w:rsid w:val="00EE2852"/>
    <w:rsid w:val="00EF3716"/>
    <w:rsid w:val="00F035A4"/>
    <w:rsid w:val="00F03FBE"/>
    <w:rsid w:val="00F0504B"/>
    <w:rsid w:val="00F115C5"/>
    <w:rsid w:val="00F1191F"/>
    <w:rsid w:val="00F12B12"/>
    <w:rsid w:val="00F130B1"/>
    <w:rsid w:val="00F14766"/>
    <w:rsid w:val="00F15C1D"/>
    <w:rsid w:val="00F20591"/>
    <w:rsid w:val="00F22CDC"/>
    <w:rsid w:val="00F32BE7"/>
    <w:rsid w:val="00F33545"/>
    <w:rsid w:val="00F33E4C"/>
    <w:rsid w:val="00F41BD3"/>
    <w:rsid w:val="00F41C7C"/>
    <w:rsid w:val="00F43D54"/>
    <w:rsid w:val="00F501E3"/>
    <w:rsid w:val="00F52205"/>
    <w:rsid w:val="00F55709"/>
    <w:rsid w:val="00F66F55"/>
    <w:rsid w:val="00F7181B"/>
    <w:rsid w:val="00F73722"/>
    <w:rsid w:val="00F7380B"/>
    <w:rsid w:val="00F93A65"/>
    <w:rsid w:val="00F973FE"/>
    <w:rsid w:val="00FA75F5"/>
    <w:rsid w:val="00FB35AB"/>
    <w:rsid w:val="00FB4D47"/>
    <w:rsid w:val="00FB5332"/>
    <w:rsid w:val="00FC262C"/>
    <w:rsid w:val="00FD2243"/>
    <w:rsid w:val="00FD5C3C"/>
    <w:rsid w:val="00FE2DE3"/>
    <w:rsid w:val="00FF0832"/>
    <w:rsid w:val="00FF3A6A"/>
    <w:rsid w:val="00FF3E54"/>
    <w:rsid w:val="00FF6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0F83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50F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7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314</ap:Words>
  <ap:Characters>1727</ap:Characters>
  <ap:DocSecurity>0</ap:DocSecurity>
  <ap:Lines>14</ap:Lines>
  <ap:Paragraphs>4</ap:Paragraphs>
  <ap:ScaleCrop>false</ap:ScaleCrop>
  <ap:LinksUpToDate>false</ap:LinksUpToDate>
  <ap:CharactersWithSpaces>2037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2015-06-25T08:51:00.0000000Z</dcterms:created>
  <dcterms:modified xsi:type="dcterms:W3CDTF">2015-06-25T08:52:00.0000000Z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0x010100C242AEBC7C58384499D01374F2913D2E</vt:lpwstr>
  </property>
</Properties>
</file>