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14B0D" w:rsidR="00663B6C" w:rsidRDefault="00C502AC">
      <w:pPr>
        <w:rPr>
          <w:rFonts w:asciiTheme="majorHAnsi" w:hAnsiTheme="majorHAnsi"/>
          <w:b/>
          <w:szCs w:val="18"/>
          <w:u w:val="single"/>
        </w:rPr>
      </w:pPr>
      <w:r w:rsidRPr="00F14B0D">
        <w:rPr>
          <w:rFonts w:asciiTheme="majorHAnsi" w:hAnsiTheme="majorHAnsi"/>
          <w:b/>
          <w:szCs w:val="18"/>
          <w:u w:val="single"/>
        </w:rPr>
        <w:t>BIJLAGE IV</w:t>
      </w:r>
      <w:r w:rsidRPr="00F14B0D" w:rsidR="00663B6C">
        <w:rPr>
          <w:rFonts w:asciiTheme="majorHAnsi" w:hAnsiTheme="majorHAnsi"/>
          <w:b/>
          <w:szCs w:val="18"/>
          <w:u w:val="single"/>
        </w:rPr>
        <w:t>: OVER</w:t>
      </w:r>
      <w:r w:rsidRPr="00F14B0D" w:rsidR="00456D7F">
        <w:rPr>
          <w:rFonts w:asciiTheme="majorHAnsi" w:hAnsiTheme="majorHAnsi"/>
          <w:b/>
          <w:szCs w:val="18"/>
          <w:u w:val="single"/>
        </w:rPr>
        <w:t>ZICHT VAN DE TARIEVEN IN DE BPM</w:t>
      </w:r>
    </w:p>
    <w:p w:rsidRPr="00F14B0D" w:rsidR="00456D7F" w:rsidP="00F2679B" w:rsidRDefault="00456D7F">
      <w:pPr>
        <w:rPr>
          <w:rFonts w:asciiTheme="majorHAnsi" w:hAnsiTheme="majorHAnsi"/>
          <w:szCs w:val="18"/>
        </w:rPr>
      </w:pPr>
      <w:proofErr w:type="spellStart"/>
      <w:r w:rsidRPr="00F14B0D">
        <w:rPr>
          <w:rFonts w:asciiTheme="majorHAnsi" w:hAnsiTheme="majorHAnsi"/>
          <w:b/>
          <w:szCs w:val="18"/>
          <w:u w:val="single"/>
        </w:rPr>
        <w:t>PHEV’s</w:t>
      </w:r>
      <w:proofErr w:type="spellEnd"/>
    </w:p>
    <w:p w:rsidRPr="00F14B0D" w:rsidR="00C42E5A" w:rsidP="00F2679B" w:rsidRDefault="00F2679B">
      <w:pPr>
        <w:rPr>
          <w:rFonts w:asciiTheme="majorHAnsi" w:hAnsiTheme="majorHAnsi"/>
          <w:szCs w:val="18"/>
        </w:rPr>
      </w:pPr>
      <w:r w:rsidRPr="00F14B0D">
        <w:rPr>
          <w:rFonts w:asciiTheme="majorHAnsi" w:hAnsiTheme="majorHAnsi"/>
          <w:szCs w:val="18"/>
        </w:rPr>
        <w:t xml:space="preserve">Voor </w:t>
      </w:r>
      <w:proofErr w:type="spellStart"/>
      <w:r w:rsidRPr="00F14B0D" w:rsidR="00456D7F">
        <w:rPr>
          <w:rFonts w:asciiTheme="majorHAnsi" w:hAnsiTheme="majorHAnsi"/>
          <w:szCs w:val="18"/>
        </w:rPr>
        <w:t>PHEV’s</w:t>
      </w:r>
      <w:proofErr w:type="spellEnd"/>
      <w:r w:rsidRPr="00F14B0D">
        <w:rPr>
          <w:rFonts w:asciiTheme="majorHAnsi" w:hAnsiTheme="majorHAnsi"/>
          <w:szCs w:val="18"/>
        </w:rPr>
        <w:t xml:space="preserve"> gelden vanaf 1 januari 2017 in afwijking van de bestaande </w:t>
      </w:r>
      <w:proofErr w:type="spellStart"/>
      <w:r w:rsidRPr="00F14B0D">
        <w:rPr>
          <w:rFonts w:asciiTheme="majorHAnsi" w:hAnsiTheme="majorHAnsi"/>
          <w:szCs w:val="18"/>
        </w:rPr>
        <w:t>BPM-tari</w:t>
      </w:r>
      <w:r w:rsidRPr="00F14B0D" w:rsidR="007069EA">
        <w:rPr>
          <w:rFonts w:asciiTheme="majorHAnsi" w:hAnsiTheme="majorHAnsi"/>
          <w:szCs w:val="18"/>
        </w:rPr>
        <w:t>efschijven</w:t>
      </w:r>
      <w:proofErr w:type="spellEnd"/>
      <w:r w:rsidRPr="00F14B0D" w:rsidR="007069EA">
        <w:rPr>
          <w:rFonts w:asciiTheme="majorHAnsi" w:hAnsiTheme="majorHAnsi"/>
          <w:szCs w:val="18"/>
        </w:rPr>
        <w:t xml:space="preserve"> de volgende tarieven.  </w:t>
      </w:r>
    </w:p>
    <w:tbl>
      <w:tblPr>
        <w:tblStyle w:val="Gemiddeldearcering1-accent11"/>
        <w:tblW w:w="0" w:type="auto"/>
        <w:tblLook w:val="04A0"/>
      </w:tblPr>
      <w:tblGrid>
        <w:gridCol w:w="3883"/>
        <w:gridCol w:w="4163"/>
      </w:tblGrid>
      <w:tr w:rsidRPr="00F14B0D" w:rsidR="00663B6C" w:rsidTr="00B635F1">
        <w:trPr>
          <w:cnfStyle w:val="100000000000"/>
          <w:trHeight w:val="680"/>
        </w:trPr>
        <w:tc>
          <w:tcPr>
            <w:cnfStyle w:val="001000000000"/>
            <w:tcW w:w="3883" w:type="dxa"/>
          </w:tcPr>
          <w:p w:rsidRPr="00F14B0D" w:rsidR="00663B6C" w:rsidP="00663B6C" w:rsidRDefault="00663B6C">
            <w:pPr>
              <w:rPr>
                <w:rFonts w:asciiTheme="majorHAnsi" w:hAnsiTheme="majorHAnsi"/>
                <w:color w:val="auto"/>
                <w:szCs w:val="18"/>
              </w:rPr>
            </w:pPr>
            <w:r w:rsidRPr="00F14B0D">
              <w:rPr>
                <w:rFonts w:asciiTheme="majorHAnsi" w:hAnsiTheme="majorHAnsi"/>
                <w:color w:val="auto"/>
                <w:szCs w:val="18"/>
              </w:rPr>
              <w:t>2017 en 2018</w:t>
            </w:r>
          </w:p>
          <w:p w:rsidRPr="00F14B0D" w:rsidR="00663B6C" w:rsidP="00F2679B" w:rsidRDefault="00663B6C">
            <w:pPr>
              <w:rPr>
                <w:rFonts w:asciiTheme="majorHAnsi" w:hAnsiTheme="majorHAnsi"/>
                <w:b w:val="0"/>
                <w:color w:val="auto"/>
                <w:szCs w:val="18"/>
              </w:rPr>
            </w:pPr>
          </w:p>
        </w:tc>
        <w:tc>
          <w:tcPr>
            <w:tcW w:w="4163" w:type="dxa"/>
          </w:tcPr>
          <w:p w:rsidRPr="00F14B0D" w:rsidR="00663B6C" w:rsidP="00663B6C" w:rsidRDefault="00663B6C">
            <w:pPr>
              <w:jc w:val="right"/>
              <w:cnfStyle w:val="100000000000"/>
              <w:rPr>
                <w:rFonts w:asciiTheme="majorHAnsi" w:hAnsiTheme="majorHAnsi"/>
                <w:b w:val="0"/>
                <w:szCs w:val="18"/>
              </w:rPr>
            </w:pPr>
          </w:p>
        </w:tc>
      </w:tr>
      <w:tr w:rsidRPr="00F14B0D" w:rsidR="00663B6C" w:rsidTr="00B635F1">
        <w:trPr>
          <w:cnfStyle w:val="000000100000"/>
          <w:trHeight w:val="352"/>
        </w:trPr>
        <w:tc>
          <w:tcPr>
            <w:cnfStyle w:val="001000000000"/>
            <w:tcW w:w="3883" w:type="dxa"/>
          </w:tcPr>
          <w:p w:rsidRPr="00F14B0D" w:rsidR="00663B6C" w:rsidP="00F2679B" w:rsidRDefault="00663B6C">
            <w:pPr>
              <w:rPr>
                <w:rFonts w:asciiTheme="majorHAnsi" w:hAnsiTheme="majorHAnsi"/>
                <w:szCs w:val="18"/>
              </w:rPr>
            </w:pPr>
            <w:r w:rsidRPr="00F14B0D">
              <w:rPr>
                <w:rFonts w:asciiTheme="majorHAnsi" w:hAnsiTheme="majorHAnsi"/>
                <w:szCs w:val="18"/>
              </w:rPr>
              <w:t>Vaste voet</w:t>
            </w:r>
          </w:p>
        </w:tc>
        <w:tc>
          <w:tcPr>
            <w:tcW w:w="4163" w:type="dxa"/>
          </w:tcPr>
          <w:p w:rsidRPr="00F14B0D" w:rsidR="00663B6C" w:rsidP="00663B6C" w:rsidRDefault="00663B6C">
            <w:pPr>
              <w:jc w:val="right"/>
              <w:cnfStyle w:val="000000100000"/>
              <w:rPr>
                <w:rFonts w:asciiTheme="majorHAnsi" w:hAnsiTheme="majorHAnsi"/>
                <w:b/>
                <w:szCs w:val="18"/>
              </w:rPr>
            </w:pPr>
            <w:r w:rsidRPr="00F14B0D">
              <w:rPr>
                <w:rFonts w:asciiTheme="majorHAnsi" w:hAnsiTheme="majorHAnsi"/>
                <w:b/>
                <w:szCs w:val="18"/>
              </w:rPr>
              <w:t>€ 0</w:t>
            </w:r>
          </w:p>
        </w:tc>
      </w:tr>
      <w:tr w:rsidRPr="00F14B0D" w:rsidR="00663B6C" w:rsidTr="00B635F1">
        <w:trPr>
          <w:cnfStyle w:val="000000010000"/>
          <w:trHeight w:val="352"/>
        </w:trPr>
        <w:tc>
          <w:tcPr>
            <w:cnfStyle w:val="001000000000"/>
            <w:tcW w:w="3883" w:type="dxa"/>
          </w:tcPr>
          <w:p w:rsidRPr="00F14B0D" w:rsidR="00663B6C" w:rsidP="00F2679B" w:rsidRDefault="00663B6C">
            <w:pPr>
              <w:rPr>
                <w:rFonts w:asciiTheme="majorHAnsi" w:hAnsiTheme="majorHAnsi"/>
                <w:szCs w:val="18"/>
              </w:rPr>
            </w:pPr>
            <w:r w:rsidRPr="00F14B0D">
              <w:rPr>
                <w:rFonts w:asciiTheme="majorHAnsi" w:hAnsiTheme="majorHAnsi"/>
                <w:szCs w:val="18"/>
              </w:rPr>
              <w:t>Schijf 1 – 30 gram</w:t>
            </w:r>
          </w:p>
        </w:tc>
        <w:tc>
          <w:tcPr>
            <w:tcW w:w="4163" w:type="dxa"/>
          </w:tcPr>
          <w:p w:rsidRPr="00F14B0D" w:rsidR="00663B6C" w:rsidP="00663B6C" w:rsidRDefault="00663B6C">
            <w:pPr>
              <w:jc w:val="right"/>
              <w:cnfStyle w:val="000000010000"/>
              <w:rPr>
                <w:rFonts w:asciiTheme="majorHAnsi" w:hAnsiTheme="majorHAnsi"/>
                <w:b/>
                <w:szCs w:val="18"/>
              </w:rPr>
            </w:pPr>
            <w:r w:rsidRPr="00F14B0D">
              <w:rPr>
                <w:rFonts w:asciiTheme="majorHAnsi" w:hAnsiTheme="majorHAnsi"/>
                <w:b/>
                <w:szCs w:val="18"/>
              </w:rPr>
              <w:t>€ 20</w:t>
            </w:r>
          </w:p>
        </w:tc>
      </w:tr>
      <w:tr w:rsidRPr="00F14B0D" w:rsidR="00663B6C" w:rsidTr="00B635F1">
        <w:trPr>
          <w:cnfStyle w:val="000000100000"/>
          <w:trHeight w:val="352"/>
        </w:trPr>
        <w:tc>
          <w:tcPr>
            <w:cnfStyle w:val="001000000000"/>
            <w:tcW w:w="3883" w:type="dxa"/>
          </w:tcPr>
          <w:p w:rsidRPr="00F14B0D" w:rsidR="00663B6C" w:rsidP="00F2679B" w:rsidRDefault="00663B6C">
            <w:pPr>
              <w:rPr>
                <w:rFonts w:asciiTheme="majorHAnsi" w:hAnsiTheme="majorHAnsi"/>
                <w:szCs w:val="18"/>
              </w:rPr>
            </w:pPr>
            <w:r w:rsidRPr="00F14B0D">
              <w:rPr>
                <w:rFonts w:asciiTheme="majorHAnsi" w:hAnsiTheme="majorHAnsi"/>
                <w:szCs w:val="18"/>
              </w:rPr>
              <w:t>Schijf 31-50 gram</w:t>
            </w:r>
          </w:p>
        </w:tc>
        <w:tc>
          <w:tcPr>
            <w:tcW w:w="4163" w:type="dxa"/>
          </w:tcPr>
          <w:p w:rsidRPr="00F14B0D" w:rsidR="00663B6C" w:rsidP="00663B6C" w:rsidRDefault="00663B6C">
            <w:pPr>
              <w:jc w:val="right"/>
              <w:cnfStyle w:val="000000100000"/>
              <w:rPr>
                <w:rFonts w:asciiTheme="majorHAnsi" w:hAnsiTheme="majorHAnsi"/>
                <w:b/>
                <w:szCs w:val="18"/>
              </w:rPr>
            </w:pPr>
            <w:r w:rsidRPr="00F14B0D">
              <w:rPr>
                <w:rFonts w:asciiTheme="majorHAnsi" w:hAnsiTheme="majorHAnsi"/>
                <w:b/>
                <w:szCs w:val="18"/>
              </w:rPr>
              <w:t>€ 90</w:t>
            </w:r>
          </w:p>
        </w:tc>
      </w:tr>
      <w:tr w:rsidRPr="00F14B0D" w:rsidR="00663B6C" w:rsidTr="00B635F1">
        <w:trPr>
          <w:cnfStyle w:val="000000010000"/>
          <w:trHeight w:val="352"/>
        </w:trPr>
        <w:tc>
          <w:tcPr>
            <w:cnfStyle w:val="001000000000"/>
            <w:tcW w:w="3883" w:type="dxa"/>
          </w:tcPr>
          <w:p w:rsidRPr="00F14B0D" w:rsidR="00663B6C" w:rsidP="00F2679B" w:rsidRDefault="00663B6C">
            <w:pPr>
              <w:rPr>
                <w:rFonts w:asciiTheme="majorHAnsi" w:hAnsiTheme="majorHAnsi"/>
                <w:szCs w:val="18"/>
              </w:rPr>
            </w:pPr>
            <w:r w:rsidRPr="00F14B0D">
              <w:rPr>
                <w:rFonts w:asciiTheme="majorHAnsi" w:hAnsiTheme="majorHAnsi"/>
                <w:szCs w:val="18"/>
              </w:rPr>
              <w:t>Schijf &gt; 50 gram</w:t>
            </w:r>
          </w:p>
        </w:tc>
        <w:tc>
          <w:tcPr>
            <w:tcW w:w="4163" w:type="dxa"/>
          </w:tcPr>
          <w:p w:rsidRPr="00F14B0D" w:rsidR="00663B6C" w:rsidP="00663B6C" w:rsidRDefault="00663B6C">
            <w:pPr>
              <w:jc w:val="right"/>
              <w:cnfStyle w:val="000000010000"/>
              <w:rPr>
                <w:rFonts w:asciiTheme="majorHAnsi" w:hAnsiTheme="majorHAnsi"/>
                <w:b/>
                <w:szCs w:val="18"/>
              </w:rPr>
            </w:pPr>
            <w:r w:rsidRPr="00F14B0D">
              <w:rPr>
                <w:rFonts w:asciiTheme="majorHAnsi" w:hAnsiTheme="majorHAnsi"/>
                <w:b/>
                <w:szCs w:val="18"/>
              </w:rPr>
              <w:t>€ 300</w:t>
            </w:r>
          </w:p>
        </w:tc>
      </w:tr>
    </w:tbl>
    <w:p w:rsidRPr="00F14B0D" w:rsidR="00F2679B" w:rsidP="00F2679B" w:rsidRDefault="00F2679B">
      <w:pPr>
        <w:rPr>
          <w:rFonts w:asciiTheme="majorHAnsi" w:hAnsiTheme="majorHAnsi"/>
          <w:szCs w:val="18"/>
        </w:rPr>
      </w:pPr>
    </w:p>
    <w:tbl>
      <w:tblPr>
        <w:tblStyle w:val="Gemiddeldearcering1-accent11"/>
        <w:tblW w:w="0" w:type="auto"/>
        <w:tblLook w:val="04A0"/>
      </w:tblPr>
      <w:tblGrid>
        <w:gridCol w:w="3860"/>
        <w:gridCol w:w="4186"/>
      </w:tblGrid>
      <w:tr w:rsidRPr="00F14B0D" w:rsidR="00663B6C" w:rsidTr="00B635F1">
        <w:trPr>
          <w:cnfStyle w:val="100000000000"/>
          <w:trHeight w:val="745"/>
        </w:trPr>
        <w:tc>
          <w:tcPr>
            <w:cnfStyle w:val="001000000000"/>
            <w:tcW w:w="3860" w:type="dxa"/>
          </w:tcPr>
          <w:p w:rsidRPr="00F14B0D" w:rsidR="00663B6C" w:rsidP="00BC5E45" w:rsidRDefault="00663B6C">
            <w:pPr>
              <w:rPr>
                <w:rFonts w:asciiTheme="majorHAnsi" w:hAnsiTheme="majorHAnsi"/>
                <w:color w:val="auto"/>
                <w:szCs w:val="18"/>
              </w:rPr>
            </w:pPr>
            <w:r w:rsidRPr="00F14B0D">
              <w:rPr>
                <w:rFonts w:asciiTheme="majorHAnsi" w:hAnsiTheme="majorHAnsi"/>
                <w:color w:val="auto"/>
                <w:szCs w:val="18"/>
              </w:rPr>
              <w:t>2019 en 2020</w:t>
            </w:r>
          </w:p>
          <w:p w:rsidRPr="00F14B0D" w:rsidR="00663B6C" w:rsidP="00BC5E45" w:rsidRDefault="00663B6C">
            <w:pPr>
              <w:rPr>
                <w:rFonts w:asciiTheme="majorHAnsi" w:hAnsiTheme="majorHAnsi"/>
                <w:b w:val="0"/>
                <w:color w:val="auto"/>
                <w:szCs w:val="18"/>
              </w:rPr>
            </w:pPr>
          </w:p>
        </w:tc>
        <w:tc>
          <w:tcPr>
            <w:tcW w:w="4186" w:type="dxa"/>
          </w:tcPr>
          <w:p w:rsidRPr="00F14B0D" w:rsidR="00663B6C" w:rsidP="00BC5E45" w:rsidRDefault="00663B6C">
            <w:pPr>
              <w:jc w:val="right"/>
              <w:cnfStyle w:val="100000000000"/>
              <w:rPr>
                <w:rFonts w:asciiTheme="majorHAnsi" w:hAnsiTheme="majorHAnsi"/>
                <w:b w:val="0"/>
                <w:szCs w:val="18"/>
              </w:rPr>
            </w:pPr>
          </w:p>
        </w:tc>
      </w:tr>
      <w:tr w:rsidRPr="00F14B0D" w:rsidR="00663B6C" w:rsidTr="00B635F1">
        <w:trPr>
          <w:cnfStyle w:val="000000100000"/>
          <w:trHeight w:val="385"/>
        </w:trPr>
        <w:tc>
          <w:tcPr>
            <w:cnfStyle w:val="001000000000"/>
            <w:tcW w:w="3860" w:type="dxa"/>
          </w:tcPr>
          <w:p w:rsidRPr="00F14B0D" w:rsidR="00663B6C" w:rsidP="00BC5E45" w:rsidRDefault="00663B6C">
            <w:pPr>
              <w:rPr>
                <w:rFonts w:asciiTheme="majorHAnsi" w:hAnsiTheme="majorHAnsi"/>
                <w:szCs w:val="18"/>
              </w:rPr>
            </w:pPr>
            <w:r w:rsidRPr="00F14B0D">
              <w:rPr>
                <w:rFonts w:asciiTheme="majorHAnsi" w:hAnsiTheme="majorHAnsi"/>
                <w:szCs w:val="18"/>
              </w:rPr>
              <w:t>Vaste voet</w:t>
            </w:r>
          </w:p>
        </w:tc>
        <w:tc>
          <w:tcPr>
            <w:tcW w:w="4186" w:type="dxa"/>
          </w:tcPr>
          <w:p w:rsidRPr="00F14B0D" w:rsidR="00663B6C" w:rsidP="00BC5E45" w:rsidRDefault="00663B6C">
            <w:pPr>
              <w:jc w:val="right"/>
              <w:cnfStyle w:val="000000100000"/>
              <w:rPr>
                <w:rFonts w:asciiTheme="majorHAnsi" w:hAnsiTheme="majorHAnsi"/>
                <w:b/>
                <w:szCs w:val="18"/>
              </w:rPr>
            </w:pPr>
            <w:r w:rsidRPr="00F14B0D">
              <w:rPr>
                <w:rFonts w:asciiTheme="majorHAnsi" w:hAnsiTheme="majorHAnsi"/>
                <w:b/>
                <w:szCs w:val="18"/>
              </w:rPr>
              <w:t>€ 0</w:t>
            </w:r>
          </w:p>
        </w:tc>
      </w:tr>
      <w:tr w:rsidRPr="00F14B0D" w:rsidR="00663B6C" w:rsidTr="00B635F1">
        <w:trPr>
          <w:cnfStyle w:val="000000010000"/>
          <w:trHeight w:val="385"/>
        </w:trPr>
        <w:tc>
          <w:tcPr>
            <w:cnfStyle w:val="001000000000"/>
            <w:tcW w:w="3860" w:type="dxa"/>
          </w:tcPr>
          <w:p w:rsidRPr="00F14B0D" w:rsidR="00663B6C" w:rsidP="00BC5E45" w:rsidRDefault="00663B6C">
            <w:pPr>
              <w:rPr>
                <w:rFonts w:asciiTheme="majorHAnsi" w:hAnsiTheme="majorHAnsi"/>
                <w:szCs w:val="18"/>
              </w:rPr>
            </w:pPr>
            <w:r w:rsidRPr="00F14B0D">
              <w:rPr>
                <w:rFonts w:asciiTheme="majorHAnsi" w:hAnsiTheme="majorHAnsi"/>
                <w:szCs w:val="18"/>
              </w:rPr>
              <w:t>Schijf 1 – 30 gram</w:t>
            </w:r>
          </w:p>
        </w:tc>
        <w:tc>
          <w:tcPr>
            <w:tcW w:w="4186" w:type="dxa"/>
          </w:tcPr>
          <w:p w:rsidRPr="00F14B0D" w:rsidR="00663B6C" w:rsidP="00BC5E45" w:rsidRDefault="00663B6C">
            <w:pPr>
              <w:jc w:val="right"/>
              <w:cnfStyle w:val="000000010000"/>
              <w:rPr>
                <w:rFonts w:asciiTheme="majorHAnsi" w:hAnsiTheme="majorHAnsi"/>
                <w:b/>
                <w:szCs w:val="18"/>
              </w:rPr>
            </w:pPr>
            <w:r w:rsidRPr="00F14B0D">
              <w:rPr>
                <w:rFonts w:asciiTheme="majorHAnsi" w:hAnsiTheme="majorHAnsi"/>
                <w:b/>
                <w:szCs w:val="18"/>
              </w:rPr>
              <w:t>€ 30</w:t>
            </w:r>
          </w:p>
        </w:tc>
      </w:tr>
      <w:tr w:rsidRPr="00F14B0D" w:rsidR="00663B6C" w:rsidTr="00B635F1">
        <w:trPr>
          <w:cnfStyle w:val="000000100000"/>
          <w:trHeight w:val="385"/>
        </w:trPr>
        <w:tc>
          <w:tcPr>
            <w:cnfStyle w:val="001000000000"/>
            <w:tcW w:w="3860" w:type="dxa"/>
          </w:tcPr>
          <w:p w:rsidRPr="00F14B0D" w:rsidR="00663B6C" w:rsidP="00BC5E45" w:rsidRDefault="00663B6C">
            <w:pPr>
              <w:rPr>
                <w:rFonts w:asciiTheme="majorHAnsi" w:hAnsiTheme="majorHAnsi"/>
                <w:szCs w:val="18"/>
              </w:rPr>
            </w:pPr>
            <w:r w:rsidRPr="00F14B0D">
              <w:rPr>
                <w:rFonts w:asciiTheme="majorHAnsi" w:hAnsiTheme="majorHAnsi"/>
                <w:szCs w:val="18"/>
              </w:rPr>
              <w:t>Schijf 31-50 gram</w:t>
            </w:r>
          </w:p>
        </w:tc>
        <w:tc>
          <w:tcPr>
            <w:tcW w:w="4186" w:type="dxa"/>
          </w:tcPr>
          <w:p w:rsidRPr="00F14B0D" w:rsidR="00663B6C" w:rsidP="00BC5E45" w:rsidRDefault="00663B6C">
            <w:pPr>
              <w:jc w:val="right"/>
              <w:cnfStyle w:val="000000100000"/>
              <w:rPr>
                <w:rFonts w:asciiTheme="majorHAnsi" w:hAnsiTheme="majorHAnsi"/>
                <w:b/>
                <w:szCs w:val="18"/>
              </w:rPr>
            </w:pPr>
            <w:r w:rsidRPr="00F14B0D">
              <w:rPr>
                <w:rFonts w:asciiTheme="majorHAnsi" w:hAnsiTheme="majorHAnsi"/>
                <w:b/>
                <w:szCs w:val="18"/>
              </w:rPr>
              <w:t>€ 125</w:t>
            </w:r>
          </w:p>
        </w:tc>
      </w:tr>
      <w:tr w:rsidRPr="00F14B0D" w:rsidR="00663B6C" w:rsidTr="00B635F1">
        <w:trPr>
          <w:cnfStyle w:val="000000010000"/>
          <w:trHeight w:val="385"/>
        </w:trPr>
        <w:tc>
          <w:tcPr>
            <w:cnfStyle w:val="001000000000"/>
            <w:tcW w:w="3860" w:type="dxa"/>
          </w:tcPr>
          <w:p w:rsidRPr="00F14B0D" w:rsidR="00663B6C" w:rsidP="00BC5E45" w:rsidRDefault="00663B6C">
            <w:pPr>
              <w:rPr>
                <w:rFonts w:asciiTheme="majorHAnsi" w:hAnsiTheme="majorHAnsi"/>
                <w:szCs w:val="18"/>
              </w:rPr>
            </w:pPr>
            <w:r w:rsidRPr="00F14B0D">
              <w:rPr>
                <w:rFonts w:asciiTheme="majorHAnsi" w:hAnsiTheme="majorHAnsi"/>
                <w:szCs w:val="18"/>
              </w:rPr>
              <w:t>Schijf &gt; 50 gram</w:t>
            </w:r>
          </w:p>
        </w:tc>
        <w:tc>
          <w:tcPr>
            <w:tcW w:w="4186" w:type="dxa"/>
          </w:tcPr>
          <w:p w:rsidRPr="00F14B0D" w:rsidR="00663B6C" w:rsidP="00BC5E45" w:rsidRDefault="00663B6C">
            <w:pPr>
              <w:jc w:val="right"/>
              <w:cnfStyle w:val="000000010000"/>
              <w:rPr>
                <w:rFonts w:asciiTheme="majorHAnsi" w:hAnsiTheme="majorHAnsi"/>
                <w:b/>
                <w:szCs w:val="18"/>
              </w:rPr>
            </w:pPr>
            <w:r w:rsidRPr="00F14B0D">
              <w:rPr>
                <w:rFonts w:asciiTheme="majorHAnsi" w:hAnsiTheme="majorHAnsi"/>
                <w:b/>
                <w:szCs w:val="18"/>
              </w:rPr>
              <w:t>€ 300</w:t>
            </w:r>
          </w:p>
        </w:tc>
      </w:tr>
    </w:tbl>
    <w:p w:rsidRPr="00F14B0D" w:rsidR="00BC5E45" w:rsidP="00F2679B" w:rsidRDefault="00BC5E45">
      <w:pPr>
        <w:rPr>
          <w:rFonts w:asciiTheme="majorHAnsi" w:hAnsiTheme="majorHAnsi"/>
          <w:szCs w:val="18"/>
        </w:rPr>
      </w:pPr>
      <w:r>
        <w:rPr>
          <w:rFonts w:asciiTheme="majorHAnsi" w:hAnsiTheme="majorHAnsi"/>
          <w:szCs w:val="18"/>
        </w:rPr>
        <w:br/>
      </w:r>
      <w:r w:rsidRPr="00F14B0D">
        <w:rPr>
          <w:rFonts w:asciiTheme="majorHAnsi" w:hAnsiTheme="majorHAnsi"/>
          <w:szCs w:val="18"/>
        </w:rPr>
        <w:t>De tarieven zijn prijspeil 2015 en moeten nog geïndexeerd worden. Verder is de afbouw van de BPM nog niet in deze tarieven verwerkt. Een verschil kan daarom optreden ten opzichte van onderstaande cijfers.</w:t>
      </w:r>
    </w:p>
    <w:p w:rsidRPr="00BC5E45" w:rsidR="00C42E5A" w:rsidP="00BC5E45" w:rsidRDefault="00C42E5A">
      <w:pPr>
        <w:rPr>
          <w:rFonts w:asciiTheme="majorHAnsi" w:hAnsiTheme="majorHAnsi"/>
          <w:b/>
          <w:szCs w:val="18"/>
          <w:u w:val="single"/>
        </w:rPr>
      </w:pPr>
      <w:r w:rsidRPr="00F14B0D">
        <w:rPr>
          <w:rFonts w:asciiTheme="majorHAnsi" w:hAnsiTheme="majorHAnsi"/>
          <w:b/>
          <w:szCs w:val="18"/>
          <w:u w:val="single"/>
        </w:rPr>
        <w:t xml:space="preserve">Niet </w:t>
      </w:r>
      <w:proofErr w:type="spellStart"/>
      <w:r w:rsidRPr="00F14B0D">
        <w:rPr>
          <w:rFonts w:asciiTheme="majorHAnsi" w:hAnsiTheme="majorHAnsi"/>
          <w:b/>
          <w:szCs w:val="18"/>
          <w:u w:val="single"/>
        </w:rPr>
        <w:t>PHEV’s</w:t>
      </w:r>
      <w:proofErr w:type="spellEnd"/>
    </w:p>
    <w:tbl>
      <w:tblPr>
        <w:tblStyle w:val="Gemiddeldearcering1-accent1"/>
        <w:tblW w:w="0" w:type="auto"/>
        <w:tblLook w:val="04A0"/>
      </w:tblPr>
      <w:tblGrid>
        <w:gridCol w:w="3883"/>
        <w:gridCol w:w="2321"/>
        <w:gridCol w:w="1842"/>
      </w:tblGrid>
      <w:tr w:rsidRPr="00F14B0D" w:rsidR="00C42E5A" w:rsidTr="00BC5E45">
        <w:trPr>
          <w:cnfStyle w:val="100000000000"/>
          <w:trHeight w:val="680"/>
        </w:trPr>
        <w:tc>
          <w:tcPr>
            <w:cnfStyle w:val="001000000000"/>
            <w:tcW w:w="3883" w:type="dxa"/>
          </w:tcPr>
          <w:p w:rsidRPr="00F14B0D" w:rsidR="00C42E5A" w:rsidP="00BC5E45" w:rsidRDefault="00C42E5A">
            <w:pPr>
              <w:rPr>
                <w:rFonts w:asciiTheme="majorHAnsi" w:hAnsiTheme="majorHAnsi"/>
                <w:color w:val="auto"/>
                <w:szCs w:val="18"/>
              </w:rPr>
            </w:pPr>
          </w:p>
          <w:p w:rsidRPr="00F14B0D" w:rsidR="00C42E5A" w:rsidP="00BC5E45" w:rsidRDefault="00C42E5A">
            <w:pPr>
              <w:rPr>
                <w:rFonts w:asciiTheme="majorHAnsi" w:hAnsiTheme="majorHAnsi"/>
                <w:b w:val="0"/>
                <w:color w:val="auto"/>
                <w:szCs w:val="18"/>
              </w:rPr>
            </w:pPr>
          </w:p>
        </w:tc>
        <w:tc>
          <w:tcPr>
            <w:tcW w:w="2321" w:type="dxa"/>
          </w:tcPr>
          <w:p w:rsidRPr="00F14B0D" w:rsidR="00C42E5A" w:rsidP="00BC5E45" w:rsidRDefault="00C42E5A">
            <w:pPr>
              <w:jc w:val="right"/>
              <w:cnfStyle w:val="100000000000"/>
              <w:rPr>
                <w:rFonts w:asciiTheme="majorHAnsi" w:hAnsiTheme="majorHAnsi"/>
                <w:color w:val="auto"/>
                <w:szCs w:val="18"/>
              </w:rPr>
            </w:pPr>
            <w:r w:rsidRPr="00F14B0D">
              <w:rPr>
                <w:rFonts w:asciiTheme="majorHAnsi" w:hAnsiTheme="majorHAnsi"/>
                <w:color w:val="auto"/>
                <w:szCs w:val="18"/>
              </w:rPr>
              <w:t>2016</w:t>
            </w:r>
          </w:p>
        </w:tc>
        <w:tc>
          <w:tcPr>
            <w:tcW w:w="1842" w:type="dxa"/>
          </w:tcPr>
          <w:p w:rsidRPr="00F14B0D" w:rsidR="00C42E5A" w:rsidP="00BC5E45" w:rsidRDefault="005643BC">
            <w:pPr>
              <w:jc w:val="right"/>
              <w:cnfStyle w:val="100000000000"/>
              <w:rPr>
                <w:rFonts w:asciiTheme="majorHAnsi" w:hAnsiTheme="majorHAnsi"/>
                <w:color w:val="auto"/>
                <w:szCs w:val="18"/>
              </w:rPr>
            </w:pPr>
            <w:r w:rsidRPr="00F14B0D">
              <w:rPr>
                <w:rFonts w:asciiTheme="majorHAnsi" w:hAnsiTheme="majorHAnsi"/>
                <w:color w:val="auto"/>
                <w:szCs w:val="18"/>
              </w:rPr>
              <w:t>2017 -</w:t>
            </w:r>
            <w:r w:rsidRPr="00F14B0D" w:rsidR="00C42E5A">
              <w:rPr>
                <w:rFonts w:asciiTheme="majorHAnsi" w:hAnsiTheme="majorHAnsi"/>
                <w:color w:val="auto"/>
                <w:szCs w:val="18"/>
              </w:rPr>
              <w:t xml:space="preserve"> 2020</w:t>
            </w:r>
          </w:p>
          <w:p w:rsidRPr="00F14B0D" w:rsidR="00C42E5A" w:rsidP="00BC5E45" w:rsidRDefault="00C42E5A">
            <w:pPr>
              <w:jc w:val="right"/>
              <w:cnfStyle w:val="100000000000"/>
              <w:rPr>
                <w:rFonts w:asciiTheme="majorHAnsi" w:hAnsiTheme="majorHAnsi"/>
                <w:color w:val="auto"/>
                <w:szCs w:val="18"/>
              </w:rPr>
            </w:pPr>
          </w:p>
        </w:tc>
      </w:tr>
      <w:tr w:rsidRPr="00F14B0D" w:rsidR="00C42E5A" w:rsidTr="00BC5E45">
        <w:trPr>
          <w:cnfStyle w:val="000000100000"/>
          <w:trHeight w:val="352"/>
        </w:trPr>
        <w:tc>
          <w:tcPr>
            <w:cnfStyle w:val="001000000000"/>
            <w:tcW w:w="3883" w:type="dxa"/>
          </w:tcPr>
          <w:p w:rsidRPr="00F14B0D" w:rsidR="00C42E5A" w:rsidP="00BC5E45" w:rsidRDefault="00C42E5A">
            <w:pPr>
              <w:rPr>
                <w:rFonts w:asciiTheme="majorHAnsi" w:hAnsiTheme="majorHAnsi"/>
                <w:szCs w:val="18"/>
              </w:rPr>
            </w:pPr>
            <w:r w:rsidRPr="00F14B0D">
              <w:rPr>
                <w:rFonts w:asciiTheme="majorHAnsi" w:hAnsiTheme="majorHAnsi"/>
                <w:szCs w:val="18"/>
              </w:rPr>
              <w:t>Vaste voet</w:t>
            </w:r>
          </w:p>
        </w:tc>
        <w:tc>
          <w:tcPr>
            <w:tcW w:w="2321" w:type="dxa"/>
          </w:tcPr>
          <w:p w:rsidRPr="00F14B0D" w:rsidR="00C42E5A" w:rsidP="00BC5E45" w:rsidRDefault="00C42E5A">
            <w:pPr>
              <w:jc w:val="right"/>
              <w:cnfStyle w:val="000000100000"/>
              <w:rPr>
                <w:rFonts w:asciiTheme="majorHAnsi" w:hAnsiTheme="majorHAnsi"/>
                <w:b/>
                <w:szCs w:val="18"/>
              </w:rPr>
            </w:pPr>
            <w:r w:rsidRPr="00F14B0D">
              <w:rPr>
                <w:rFonts w:asciiTheme="majorHAnsi" w:hAnsiTheme="majorHAnsi"/>
                <w:b/>
                <w:szCs w:val="18"/>
              </w:rPr>
              <w:t>€175</w:t>
            </w:r>
          </w:p>
        </w:tc>
        <w:tc>
          <w:tcPr>
            <w:tcW w:w="1842" w:type="dxa"/>
          </w:tcPr>
          <w:p w:rsidRPr="00F14B0D" w:rsidR="00C42E5A" w:rsidP="00BC5E45" w:rsidRDefault="00C42E5A">
            <w:pPr>
              <w:jc w:val="right"/>
              <w:cnfStyle w:val="000000100000"/>
              <w:rPr>
                <w:rFonts w:asciiTheme="majorHAnsi" w:hAnsiTheme="majorHAnsi"/>
                <w:b/>
                <w:szCs w:val="18"/>
              </w:rPr>
            </w:pPr>
            <w:r w:rsidRPr="00F14B0D">
              <w:rPr>
                <w:rFonts w:asciiTheme="majorHAnsi" w:hAnsiTheme="majorHAnsi"/>
                <w:b/>
                <w:szCs w:val="18"/>
              </w:rPr>
              <w:t>€350</w:t>
            </w:r>
          </w:p>
        </w:tc>
      </w:tr>
      <w:tr w:rsidRPr="00F14B0D" w:rsidR="00C42E5A" w:rsidTr="00BC5E45">
        <w:trPr>
          <w:cnfStyle w:val="000000010000"/>
          <w:trHeight w:val="352"/>
        </w:trPr>
        <w:tc>
          <w:tcPr>
            <w:cnfStyle w:val="001000000000"/>
            <w:tcW w:w="3883" w:type="dxa"/>
          </w:tcPr>
          <w:p w:rsidRPr="00F14B0D" w:rsidR="00C42E5A" w:rsidP="00BC5E45" w:rsidRDefault="00C42E5A">
            <w:pPr>
              <w:rPr>
                <w:rFonts w:asciiTheme="majorHAnsi" w:hAnsiTheme="majorHAnsi"/>
                <w:szCs w:val="18"/>
              </w:rPr>
            </w:pPr>
            <w:r w:rsidRPr="00F14B0D">
              <w:rPr>
                <w:rFonts w:asciiTheme="majorHAnsi" w:hAnsiTheme="majorHAnsi"/>
                <w:szCs w:val="18"/>
              </w:rPr>
              <w:t>Schijf 0</w:t>
            </w:r>
          </w:p>
        </w:tc>
        <w:tc>
          <w:tcPr>
            <w:tcW w:w="2321" w:type="dxa"/>
          </w:tcPr>
          <w:p w:rsidRPr="00F14B0D" w:rsidR="00C42E5A" w:rsidP="00BC5E45" w:rsidRDefault="00C42E5A">
            <w:pPr>
              <w:jc w:val="right"/>
              <w:cnfStyle w:val="000000010000"/>
              <w:rPr>
                <w:rFonts w:asciiTheme="majorHAnsi" w:hAnsiTheme="majorHAnsi"/>
                <w:b/>
                <w:szCs w:val="18"/>
              </w:rPr>
            </w:pPr>
            <w:r w:rsidRPr="00F14B0D">
              <w:rPr>
                <w:rFonts w:asciiTheme="majorHAnsi" w:hAnsiTheme="majorHAnsi"/>
                <w:b/>
                <w:szCs w:val="18"/>
              </w:rPr>
              <w:t>€ 6</w:t>
            </w:r>
          </w:p>
        </w:tc>
        <w:tc>
          <w:tcPr>
            <w:tcW w:w="1842" w:type="dxa"/>
          </w:tcPr>
          <w:p w:rsidRPr="00F14B0D" w:rsidR="00C42E5A" w:rsidP="00BC5E45" w:rsidRDefault="00C42E5A">
            <w:pPr>
              <w:jc w:val="right"/>
              <w:cnfStyle w:val="000000010000"/>
              <w:rPr>
                <w:rFonts w:asciiTheme="majorHAnsi" w:hAnsiTheme="majorHAnsi"/>
                <w:b/>
                <w:szCs w:val="18"/>
              </w:rPr>
            </w:pPr>
            <w:r w:rsidRPr="00F14B0D">
              <w:rPr>
                <w:rFonts w:asciiTheme="majorHAnsi" w:hAnsiTheme="majorHAnsi"/>
                <w:b/>
                <w:szCs w:val="18"/>
              </w:rPr>
              <w:t>€ 2</w:t>
            </w:r>
          </w:p>
        </w:tc>
      </w:tr>
      <w:tr w:rsidRPr="00F14B0D" w:rsidR="00C42E5A" w:rsidTr="00BC5E45">
        <w:trPr>
          <w:cnfStyle w:val="000000100000"/>
          <w:trHeight w:val="352"/>
        </w:trPr>
        <w:tc>
          <w:tcPr>
            <w:cnfStyle w:val="001000000000"/>
            <w:tcW w:w="3883" w:type="dxa"/>
          </w:tcPr>
          <w:p w:rsidRPr="00F14B0D" w:rsidR="00C42E5A" w:rsidP="00BC5E45" w:rsidRDefault="00C42E5A">
            <w:pPr>
              <w:rPr>
                <w:rFonts w:asciiTheme="majorHAnsi" w:hAnsiTheme="majorHAnsi"/>
                <w:szCs w:val="18"/>
              </w:rPr>
            </w:pPr>
            <w:r w:rsidRPr="00F14B0D">
              <w:rPr>
                <w:rFonts w:asciiTheme="majorHAnsi" w:hAnsiTheme="majorHAnsi"/>
                <w:szCs w:val="18"/>
              </w:rPr>
              <w:t>Schijf 1</w:t>
            </w:r>
          </w:p>
        </w:tc>
        <w:tc>
          <w:tcPr>
            <w:tcW w:w="2321" w:type="dxa"/>
          </w:tcPr>
          <w:p w:rsidRPr="00F14B0D" w:rsidR="00C42E5A" w:rsidP="00BC5E45" w:rsidRDefault="00C42E5A">
            <w:pPr>
              <w:jc w:val="right"/>
              <w:cnfStyle w:val="000000100000"/>
              <w:rPr>
                <w:rFonts w:asciiTheme="majorHAnsi" w:hAnsiTheme="majorHAnsi"/>
                <w:b/>
                <w:szCs w:val="18"/>
              </w:rPr>
            </w:pPr>
            <w:r w:rsidRPr="00F14B0D">
              <w:rPr>
                <w:rFonts w:asciiTheme="majorHAnsi" w:hAnsiTheme="majorHAnsi"/>
                <w:b/>
                <w:szCs w:val="18"/>
              </w:rPr>
              <w:t>€ 69</w:t>
            </w:r>
          </w:p>
        </w:tc>
        <w:tc>
          <w:tcPr>
            <w:tcW w:w="1842" w:type="dxa"/>
          </w:tcPr>
          <w:p w:rsidRPr="00F14B0D" w:rsidR="00C42E5A" w:rsidP="00BC5E45" w:rsidRDefault="00C42E5A">
            <w:pPr>
              <w:jc w:val="right"/>
              <w:cnfStyle w:val="000000100000"/>
              <w:rPr>
                <w:rFonts w:asciiTheme="majorHAnsi" w:hAnsiTheme="majorHAnsi"/>
                <w:b/>
                <w:szCs w:val="18"/>
              </w:rPr>
            </w:pPr>
            <w:r w:rsidRPr="00F14B0D">
              <w:rPr>
                <w:rFonts w:asciiTheme="majorHAnsi" w:hAnsiTheme="majorHAnsi"/>
                <w:b/>
                <w:szCs w:val="18"/>
              </w:rPr>
              <w:t>€ 66</w:t>
            </w:r>
          </w:p>
        </w:tc>
      </w:tr>
      <w:tr w:rsidRPr="00F14B0D" w:rsidR="00C42E5A" w:rsidTr="00BC5E45">
        <w:trPr>
          <w:cnfStyle w:val="000000010000"/>
          <w:trHeight w:val="352"/>
        </w:trPr>
        <w:tc>
          <w:tcPr>
            <w:cnfStyle w:val="001000000000"/>
            <w:tcW w:w="3883" w:type="dxa"/>
          </w:tcPr>
          <w:p w:rsidRPr="00F14B0D" w:rsidR="00C42E5A" w:rsidP="00BC5E45" w:rsidRDefault="00C42E5A">
            <w:pPr>
              <w:rPr>
                <w:rFonts w:asciiTheme="majorHAnsi" w:hAnsiTheme="majorHAnsi"/>
                <w:szCs w:val="18"/>
              </w:rPr>
            </w:pPr>
            <w:r w:rsidRPr="00F14B0D">
              <w:rPr>
                <w:rFonts w:asciiTheme="majorHAnsi" w:hAnsiTheme="majorHAnsi"/>
                <w:szCs w:val="18"/>
              </w:rPr>
              <w:t>Schijf 2</w:t>
            </w:r>
          </w:p>
        </w:tc>
        <w:tc>
          <w:tcPr>
            <w:tcW w:w="2321" w:type="dxa"/>
          </w:tcPr>
          <w:p w:rsidRPr="00F14B0D" w:rsidR="00C42E5A" w:rsidP="00BC5E45" w:rsidRDefault="00C42E5A">
            <w:pPr>
              <w:jc w:val="right"/>
              <w:cnfStyle w:val="000000010000"/>
              <w:rPr>
                <w:rFonts w:asciiTheme="majorHAnsi" w:hAnsiTheme="majorHAnsi"/>
                <w:b/>
                <w:szCs w:val="18"/>
              </w:rPr>
            </w:pPr>
            <w:r w:rsidRPr="00F14B0D">
              <w:rPr>
                <w:rFonts w:asciiTheme="majorHAnsi" w:hAnsiTheme="majorHAnsi"/>
                <w:b/>
                <w:szCs w:val="18"/>
              </w:rPr>
              <w:t>€ 123</w:t>
            </w:r>
          </w:p>
        </w:tc>
        <w:tc>
          <w:tcPr>
            <w:tcW w:w="1842" w:type="dxa"/>
          </w:tcPr>
          <w:p w:rsidRPr="00F14B0D" w:rsidR="00C42E5A" w:rsidP="00BC5E45" w:rsidRDefault="00C42E5A">
            <w:pPr>
              <w:jc w:val="right"/>
              <w:cnfStyle w:val="000000010000"/>
              <w:rPr>
                <w:rFonts w:asciiTheme="majorHAnsi" w:hAnsiTheme="majorHAnsi"/>
                <w:b/>
                <w:szCs w:val="18"/>
              </w:rPr>
            </w:pPr>
            <w:r w:rsidRPr="00F14B0D">
              <w:rPr>
                <w:rFonts w:asciiTheme="majorHAnsi" w:hAnsiTheme="majorHAnsi"/>
                <w:b/>
                <w:szCs w:val="18"/>
              </w:rPr>
              <w:t>€ 145</w:t>
            </w:r>
          </w:p>
        </w:tc>
      </w:tr>
      <w:tr w:rsidRPr="00F14B0D" w:rsidR="00C42E5A" w:rsidTr="00BC5E45">
        <w:trPr>
          <w:cnfStyle w:val="000000100000"/>
          <w:trHeight w:val="352"/>
        </w:trPr>
        <w:tc>
          <w:tcPr>
            <w:cnfStyle w:val="001000000000"/>
            <w:tcW w:w="3883" w:type="dxa"/>
          </w:tcPr>
          <w:p w:rsidRPr="00F14B0D" w:rsidR="00C42E5A" w:rsidP="00BC5E45" w:rsidRDefault="00C42E5A">
            <w:pPr>
              <w:rPr>
                <w:rFonts w:asciiTheme="majorHAnsi" w:hAnsiTheme="majorHAnsi"/>
                <w:szCs w:val="18"/>
              </w:rPr>
            </w:pPr>
            <w:r w:rsidRPr="00F14B0D">
              <w:rPr>
                <w:rFonts w:asciiTheme="majorHAnsi" w:hAnsiTheme="majorHAnsi"/>
                <w:szCs w:val="18"/>
              </w:rPr>
              <w:t>Schijf 3</w:t>
            </w:r>
          </w:p>
        </w:tc>
        <w:tc>
          <w:tcPr>
            <w:tcW w:w="2321" w:type="dxa"/>
          </w:tcPr>
          <w:p w:rsidRPr="00F14B0D" w:rsidR="00C42E5A" w:rsidP="00BC5E45" w:rsidRDefault="00C42E5A">
            <w:pPr>
              <w:jc w:val="right"/>
              <w:cnfStyle w:val="000000100000"/>
              <w:rPr>
                <w:rFonts w:asciiTheme="majorHAnsi" w:hAnsiTheme="majorHAnsi"/>
                <w:b/>
                <w:szCs w:val="18"/>
              </w:rPr>
            </w:pPr>
            <w:r w:rsidRPr="00F14B0D">
              <w:rPr>
                <w:rFonts w:asciiTheme="majorHAnsi" w:hAnsiTheme="majorHAnsi"/>
                <w:b/>
                <w:szCs w:val="18"/>
              </w:rPr>
              <w:t>€ 238</w:t>
            </w:r>
          </w:p>
        </w:tc>
        <w:tc>
          <w:tcPr>
            <w:tcW w:w="1842" w:type="dxa"/>
          </w:tcPr>
          <w:p w:rsidRPr="00F14B0D" w:rsidR="00C42E5A" w:rsidP="00BC5E45" w:rsidRDefault="00C42E5A">
            <w:pPr>
              <w:jc w:val="right"/>
              <w:cnfStyle w:val="000000100000"/>
              <w:rPr>
                <w:rFonts w:asciiTheme="majorHAnsi" w:hAnsiTheme="majorHAnsi"/>
                <w:b/>
                <w:szCs w:val="18"/>
              </w:rPr>
            </w:pPr>
            <w:r w:rsidRPr="00F14B0D">
              <w:rPr>
                <w:rFonts w:asciiTheme="majorHAnsi" w:hAnsiTheme="majorHAnsi"/>
                <w:b/>
                <w:szCs w:val="18"/>
              </w:rPr>
              <w:t>€ 238</w:t>
            </w:r>
          </w:p>
        </w:tc>
      </w:tr>
      <w:tr w:rsidRPr="00F14B0D" w:rsidR="00C42E5A" w:rsidTr="00BC5E45">
        <w:trPr>
          <w:cnfStyle w:val="000000010000"/>
          <w:trHeight w:val="352"/>
        </w:trPr>
        <w:tc>
          <w:tcPr>
            <w:cnfStyle w:val="001000000000"/>
            <w:tcW w:w="3883" w:type="dxa"/>
          </w:tcPr>
          <w:p w:rsidRPr="00F14B0D" w:rsidR="00C42E5A" w:rsidP="00BC5E45" w:rsidRDefault="00C42E5A">
            <w:pPr>
              <w:rPr>
                <w:rFonts w:asciiTheme="majorHAnsi" w:hAnsiTheme="majorHAnsi"/>
                <w:szCs w:val="18"/>
              </w:rPr>
            </w:pPr>
            <w:r w:rsidRPr="00F14B0D">
              <w:rPr>
                <w:rFonts w:asciiTheme="majorHAnsi" w:hAnsiTheme="majorHAnsi"/>
                <w:szCs w:val="18"/>
              </w:rPr>
              <w:t>Schijf 4</w:t>
            </w:r>
          </w:p>
        </w:tc>
        <w:tc>
          <w:tcPr>
            <w:tcW w:w="2321" w:type="dxa"/>
          </w:tcPr>
          <w:p w:rsidRPr="00F14B0D" w:rsidR="00C42E5A" w:rsidP="00BC5E45" w:rsidRDefault="00C42E5A">
            <w:pPr>
              <w:jc w:val="right"/>
              <w:cnfStyle w:val="000000010000"/>
              <w:rPr>
                <w:rFonts w:asciiTheme="majorHAnsi" w:hAnsiTheme="majorHAnsi"/>
                <w:b/>
                <w:szCs w:val="18"/>
              </w:rPr>
            </w:pPr>
            <w:r w:rsidRPr="00F14B0D">
              <w:rPr>
                <w:rFonts w:asciiTheme="majorHAnsi" w:hAnsiTheme="majorHAnsi"/>
                <w:b/>
                <w:szCs w:val="18"/>
              </w:rPr>
              <w:t>€ 476</w:t>
            </w:r>
          </w:p>
        </w:tc>
        <w:tc>
          <w:tcPr>
            <w:tcW w:w="1842" w:type="dxa"/>
          </w:tcPr>
          <w:p w:rsidRPr="00F14B0D" w:rsidR="00C42E5A" w:rsidP="00BC5E45" w:rsidRDefault="00C42E5A">
            <w:pPr>
              <w:jc w:val="right"/>
              <w:cnfStyle w:val="000000010000"/>
              <w:rPr>
                <w:rFonts w:asciiTheme="majorHAnsi" w:hAnsiTheme="majorHAnsi"/>
                <w:b/>
                <w:szCs w:val="18"/>
              </w:rPr>
            </w:pPr>
            <w:r w:rsidRPr="00F14B0D">
              <w:rPr>
                <w:rFonts w:asciiTheme="majorHAnsi" w:hAnsiTheme="majorHAnsi"/>
                <w:b/>
                <w:szCs w:val="18"/>
              </w:rPr>
              <w:t>476</w:t>
            </w:r>
          </w:p>
        </w:tc>
      </w:tr>
    </w:tbl>
    <w:p w:rsidRPr="00F14B0D" w:rsidR="00C42E5A" w:rsidP="00C42E5A" w:rsidRDefault="00C42E5A">
      <w:pPr>
        <w:rPr>
          <w:rFonts w:asciiTheme="majorHAnsi" w:hAnsiTheme="majorHAnsi"/>
          <w:szCs w:val="18"/>
        </w:rPr>
      </w:pPr>
    </w:p>
    <w:p w:rsidRPr="00F14B0D" w:rsidR="00C42E5A" w:rsidP="00C42E5A" w:rsidRDefault="00C42E5A">
      <w:pPr>
        <w:pStyle w:val="Bijschrift"/>
        <w:spacing w:line="312" w:lineRule="auto"/>
        <w:rPr>
          <w:rFonts w:asciiTheme="majorHAnsi" w:hAnsiTheme="majorHAnsi"/>
          <w:b w:val="0"/>
          <w:i/>
          <w:sz w:val="18"/>
          <w:szCs w:val="18"/>
          <w:u w:val="single"/>
          <w:lang w:val="nl-NL"/>
        </w:rPr>
      </w:pPr>
      <w:r w:rsidRPr="00F14B0D">
        <w:rPr>
          <w:rFonts w:asciiTheme="majorHAnsi" w:hAnsiTheme="majorHAnsi"/>
          <w:b w:val="0"/>
          <w:i/>
          <w:sz w:val="18"/>
          <w:szCs w:val="18"/>
          <w:u w:val="single"/>
          <w:lang w:val="nl-NL"/>
        </w:rPr>
        <w:lastRenderedPageBreak/>
        <w:t>CO</w:t>
      </w:r>
      <w:r w:rsidRPr="00F14B0D">
        <w:rPr>
          <w:rFonts w:asciiTheme="majorHAnsi" w:hAnsiTheme="majorHAnsi"/>
          <w:b w:val="0"/>
          <w:i/>
          <w:sz w:val="18"/>
          <w:szCs w:val="18"/>
          <w:u w:val="single"/>
          <w:vertAlign w:val="subscript"/>
          <w:lang w:val="nl-NL"/>
        </w:rPr>
        <w:t>2</w:t>
      </w:r>
      <w:r w:rsidRPr="00F14B0D">
        <w:rPr>
          <w:rFonts w:asciiTheme="majorHAnsi" w:hAnsiTheme="majorHAnsi"/>
          <w:b w:val="0"/>
          <w:i/>
          <w:sz w:val="18"/>
          <w:szCs w:val="18"/>
          <w:u w:val="single"/>
          <w:lang w:val="nl-NL"/>
        </w:rPr>
        <w:t xml:space="preserve">-bovengrenzen voor </w:t>
      </w:r>
      <w:proofErr w:type="spellStart"/>
      <w:r w:rsidRPr="00F14B0D">
        <w:rPr>
          <w:rFonts w:asciiTheme="majorHAnsi" w:hAnsiTheme="majorHAnsi"/>
          <w:b w:val="0"/>
          <w:i/>
          <w:sz w:val="18"/>
          <w:szCs w:val="18"/>
          <w:u w:val="single"/>
          <w:lang w:val="nl-NL"/>
        </w:rPr>
        <w:t>BPM-tariefschijven</w:t>
      </w:r>
      <w:proofErr w:type="spellEnd"/>
      <w:r w:rsidRPr="00F14B0D">
        <w:rPr>
          <w:rFonts w:asciiTheme="majorHAnsi" w:hAnsiTheme="majorHAnsi"/>
          <w:b w:val="0"/>
          <w:i/>
          <w:sz w:val="18"/>
          <w:szCs w:val="18"/>
          <w:u w:val="single"/>
          <w:lang w:val="nl-NL"/>
        </w:rPr>
        <w:t xml:space="preserve"> </w:t>
      </w:r>
    </w:p>
    <w:tbl>
      <w:tblPr>
        <w:tblStyle w:val="Gemiddeldearcering1-accent1"/>
        <w:tblW w:w="8030" w:type="dxa"/>
        <w:tblLook w:val="04A0"/>
      </w:tblPr>
      <w:tblGrid>
        <w:gridCol w:w="1390"/>
        <w:gridCol w:w="1328"/>
        <w:gridCol w:w="1328"/>
        <w:gridCol w:w="1328"/>
        <w:gridCol w:w="1328"/>
        <w:gridCol w:w="1328"/>
      </w:tblGrid>
      <w:tr w:rsidRPr="00F14B0D" w:rsidR="00C42E5A" w:rsidTr="00F14B0D">
        <w:trPr>
          <w:cnfStyle w:val="100000000000"/>
          <w:trHeight w:val="577"/>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Tariefschijf</w:t>
            </w:r>
          </w:p>
        </w:tc>
        <w:tc>
          <w:tcPr>
            <w:tcW w:w="1328"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2016</w:t>
            </w:r>
          </w:p>
        </w:tc>
        <w:tc>
          <w:tcPr>
            <w:tcW w:w="1328"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2017</w:t>
            </w:r>
          </w:p>
        </w:tc>
        <w:tc>
          <w:tcPr>
            <w:tcW w:w="1328"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2018</w:t>
            </w:r>
          </w:p>
        </w:tc>
        <w:tc>
          <w:tcPr>
            <w:tcW w:w="1328"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2019</w:t>
            </w:r>
          </w:p>
        </w:tc>
        <w:tc>
          <w:tcPr>
            <w:tcW w:w="1328"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2020</w:t>
            </w:r>
          </w:p>
        </w:tc>
      </w:tr>
      <w:tr w:rsidRPr="00F14B0D" w:rsidR="00C42E5A" w:rsidTr="00BC5E45">
        <w:trPr>
          <w:cnfStyle w:val="000000100000"/>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sz w:val="18"/>
                <w:szCs w:val="18"/>
                <w:lang w:val="nl-NL"/>
              </w:rPr>
            </w:pPr>
            <w:r w:rsidRPr="00F14B0D">
              <w:rPr>
                <w:rFonts w:asciiTheme="majorHAnsi" w:hAnsiTheme="majorHAnsi"/>
                <w:sz w:val="18"/>
                <w:szCs w:val="18"/>
                <w:lang w:val="nl-NL"/>
              </w:rPr>
              <w:t>Vrijstelling</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0</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0</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0</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0</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0</w:t>
            </w:r>
          </w:p>
        </w:tc>
      </w:tr>
      <w:tr w:rsidRPr="00F14B0D" w:rsidR="00C42E5A" w:rsidTr="00BC5E45">
        <w:trPr>
          <w:cnfStyle w:val="000000010000"/>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sz w:val="18"/>
                <w:szCs w:val="18"/>
                <w:lang w:val="nl-NL"/>
              </w:rPr>
            </w:pPr>
            <w:r w:rsidRPr="00F14B0D">
              <w:rPr>
                <w:rFonts w:asciiTheme="majorHAnsi" w:hAnsiTheme="majorHAnsi"/>
                <w:sz w:val="18"/>
                <w:szCs w:val="18"/>
                <w:lang w:val="nl-NL"/>
              </w:rPr>
              <w:t>0</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79</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76</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73</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71</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68</w:t>
            </w:r>
          </w:p>
        </w:tc>
      </w:tr>
      <w:tr w:rsidRPr="00F14B0D" w:rsidR="00C42E5A" w:rsidTr="00BC5E45">
        <w:trPr>
          <w:cnfStyle w:val="000000100000"/>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sz w:val="18"/>
                <w:szCs w:val="18"/>
                <w:lang w:val="nl-NL"/>
              </w:rPr>
            </w:pPr>
            <w:r w:rsidRPr="00F14B0D">
              <w:rPr>
                <w:rFonts w:asciiTheme="majorHAnsi" w:hAnsiTheme="majorHAnsi"/>
                <w:sz w:val="18"/>
                <w:szCs w:val="18"/>
                <w:lang w:val="nl-NL"/>
              </w:rPr>
              <w:t>1</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106</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102</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98</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95</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91</w:t>
            </w:r>
          </w:p>
        </w:tc>
      </w:tr>
      <w:tr w:rsidRPr="00F14B0D" w:rsidR="00C42E5A" w:rsidTr="00BC5E45">
        <w:trPr>
          <w:cnfStyle w:val="000000010000"/>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sz w:val="18"/>
                <w:szCs w:val="18"/>
                <w:lang w:val="nl-NL"/>
              </w:rPr>
            </w:pPr>
            <w:r w:rsidRPr="00F14B0D">
              <w:rPr>
                <w:rFonts w:asciiTheme="majorHAnsi" w:hAnsiTheme="majorHAnsi"/>
                <w:sz w:val="18"/>
                <w:szCs w:val="18"/>
                <w:lang w:val="nl-NL"/>
              </w:rPr>
              <w:t>2</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155</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150</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144</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139</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133</w:t>
            </w:r>
          </w:p>
        </w:tc>
      </w:tr>
      <w:tr w:rsidRPr="00F14B0D" w:rsidR="00C42E5A" w:rsidTr="00BC5E45">
        <w:trPr>
          <w:cnfStyle w:val="000000100000"/>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sz w:val="18"/>
                <w:szCs w:val="18"/>
                <w:lang w:val="nl-NL"/>
              </w:rPr>
            </w:pPr>
            <w:r w:rsidRPr="00F14B0D">
              <w:rPr>
                <w:rFonts w:asciiTheme="majorHAnsi" w:hAnsiTheme="majorHAnsi"/>
                <w:sz w:val="18"/>
                <w:szCs w:val="18"/>
                <w:lang w:val="nl-NL"/>
              </w:rPr>
              <w:t>3</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174</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168</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162</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156</w:t>
            </w:r>
          </w:p>
        </w:tc>
        <w:tc>
          <w:tcPr>
            <w:tcW w:w="1328"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150</w:t>
            </w:r>
          </w:p>
        </w:tc>
      </w:tr>
      <w:tr w:rsidRPr="00F14B0D" w:rsidR="00C42E5A" w:rsidTr="00BC5E45">
        <w:trPr>
          <w:cnfStyle w:val="000000010000"/>
        </w:trPr>
        <w:tc>
          <w:tcPr>
            <w:cnfStyle w:val="001000000000"/>
            <w:tcW w:w="1390" w:type="dxa"/>
          </w:tcPr>
          <w:p w:rsidRPr="00F14B0D" w:rsidR="00C42E5A" w:rsidP="00BC5E45" w:rsidRDefault="00C42E5A">
            <w:pPr>
              <w:pStyle w:val="figuur"/>
              <w:pBdr>
                <w:top w:val="none" w:color="auto" w:sz="0" w:space="0"/>
                <w:bottom w:val="none" w:color="auto" w:sz="0" w:space="0"/>
              </w:pBdr>
              <w:jc w:val="left"/>
              <w:rPr>
                <w:rFonts w:asciiTheme="majorHAnsi" w:hAnsiTheme="majorHAnsi"/>
                <w:sz w:val="18"/>
                <w:szCs w:val="18"/>
                <w:lang w:val="nl-NL"/>
              </w:rPr>
            </w:pPr>
            <w:r w:rsidRPr="00F14B0D">
              <w:rPr>
                <w:rFonts w:asciiTheme="majorHAnsi" w:hAnsiTheme="majorHAnsi"/>
                <w:sz w:val="18"/>
                <w:szCs w:val="18"/>
                <w:lang w:val="nl-NL"/>
              </w:rPr>
              <w:t>4</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&gt;174</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&gt;168</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&gt;162</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&gt;156</w:t>
            </w:r>
          </w:p>
        </w:tc>
        <w:tc>
          <w:tcPr>
            <w:tcW w:w="1328"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&gt;150</w:t>
            </w:r>
          </w:p>
        </w:tc>
      </w:tr>
    </w:tbl>
    <w:p w:rsidRPr="00F14B0D" w:rsidR="003D2107" w:rsidP="00C42E5A" w:rsidRDefault="003D2107">
      <w:pPr>
        <w:rPr>
          <w:rFonts w:asciiTheme="majorHAnsi" w:hAnsiTheme="majorHAnsi"/>
          <w:szCs w:val="18"/>
        </w:rPr>
      </w:pPr>
      <w:r w:rsidRPr="00F14B0D">
        <w:rPr>
          <w:rFonts w:asciiTheme="majorHAnsi" w:hAnsiTheme="majorHAnsi"/>
          <w:szCs w:val="18"/>
        </w:rPr>
        <w:br/>
      </w:r>
    </w:p>
    <w:tbl>
      <w:tblPr>
        <w:tblStyle w:val="Gemiddeldearcering1-accent1"/>
        <w:tblW w:w="8046" w:type="dxa"/>
        <w:tblLook w:val="04A0"/>
      </w:tblPr>
      <w:tblGrid>
        <w:gridCol w:w="2529"/>
        <w:gridCol w:w="1103"/>
        <w:gridCol w:w="1103"/>
        <w:gridCol w:w="1104"/>
        <w:gridCol w:w="1103"/>
        <w:gridCol w:w="1104"/>
      </w:tblGrid>
      <w:tr w:rsidRPr="00F14B0D" w:rsidR="00C42E5A" w:rsidTr="00F14B0D">
        <w:trPr>
          <w:cnfStyle w:val="100000000000"/>
          <w:trHeight w:val="549"/>
        </w:trPr>
        <w:tc>
          <w:tcPr>
            <w:cnfStyle w:val="001000000000"/>
            <w:tcW w:w="2529" w:type="dxa"/>
          </w:tcPr>
          <w:p w:rsidRPr="00F14B0D" w:rsidR="00C42E5A" w:rsidP="00BC5E45" w:rsidRDefault="00C42E5A">
            <w:pPr>
              <w:pStyle w:val="figuur"/>
              <w:pBdr>
                <w:top w:val="none" w:color="auto" w:sz="0" w:space="0"/>
                <w:bottom w:val="none" w:color="auto" w:sz="0" w:space="0"/>
              </w:pBdr>
              <w:jc w:val="left"/>
              <w:rPr>
                <w:rFonts w:asciiTheme="majorHAnsi" w:hAnsiTheme="majorHAnsi"/>
                <w:b w:val="0"/>
                <w:bCs w:val="0"/>
                <w:color w:val="auto"/>
                <w:sz w:val="18"/>
                <w:szCs w:val="18"/>
                <w:lang w:val="nl-NL"/>
              </w:rPr>
            </w:pPr>
            <w:proofErr w:type="spellStart"/>
            <w:r w:rsidRPr="00F14B0D">
              <w:rPr>
                <w:rFonts w:asciiTheme="majorHAnsi" w:hAnsiTheme="majorHAnsi"/>
                <w:color w:val="auto"/>
                <w:sz w:val="18"/>
                <w:szCs w:val="18"/>
                <w:lang w:val="nl-NL"/>
              </w:rPr>
              <w:t>BPM-dieseltoeslag</w:t>
            </w:r>
            <w:proofErr w:type="spellEnd"/>
          </w:p>
        </w:tc>
        <w:tc>
          <w:tcPr>
            <w:tcW w:w="1103"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2016</w:t>
            </w:r>
          </w:p>
        </w:tc>
        <w:tc>
          <w:tcPr>
            <w:tcW w:w="1103"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2017</w:t>
            </w:r>
          </w:p>
        </w:tc>
        <w:tc>
          <w:tcPr>
            <w:tcW w:w="1104"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2018</w:t>
            </w:r>
          </w:p>
        </w:tc>
        <w:tc>
          <w:tcPr>
            <w:tcW w:w="1103"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2019</w:t>
            </w:r>
          </w:p>
        </w:tc>
        <w:tc>
          <w:tcPr>
            <w:tcW w:w="1104" w:type="dxa"/>
          </w:tcPr>
          <w:p w:rsidRPr="00F14B0D" w:rsidR="00C42E5A" w:rsidP="00BC5E45" w:rsidRDefault="00C42E5A">
            <w:pPr>
              <w:pStyle w:val="figuur"/>
              <w:pBdr>
                <w:top w:val="none" w:color="auto" w:sz="0" w:space="0"/>
                <w:bottom w:val="none" w:color="auto" w:sz="0" w:space="0"/>
              </w:pBdr>
              <w:jc w:val="right"/>
              <w:cnfStyle w:val="100000000000"/>
              <w:rPr>
                <w:rFonts w:asciiTheme="majorHAnsi" w:hAnsiTheme="majorHAnsi"/>
                <w:b w:val="0"/>
                <w:bCs w:val="0"/>
                <w:color w:val="auto"/>
                <w:sz w:val="18"/>
                <w:szCs w:val="18"/>
                <w:lang w:val="nl-NL"/>
              </w:rPr>
            </w:pPr>
            <w:r w:rsidRPr="00F14B0D">
              <w:rPr>
                <w:rFonts w:asciiTheme="majorHAnsi" w:hAnsiTheme="majorHAnsi"/>
                <w:color w:val="auto"/>
                <w:sz w:val="18"/>
                <w:szCs w:val="18"/>
                <w:lang w:val="nl-NL"/>
              </w:rPr>
              <w:t>2020</w:t>
            </w:r>
          </w:p>
        </w:tc>
      </w:tr>
      <w:tr w:rsidRPr="00F14B0D" w:rsidR="00C42E5A" w:rsidTr="00BC5E45">
        <w:trPr>
          <w:cnfStyle w:val="000000100000"/>
        </w:trPr>
        <w:tc>
          <w:tcPr>
            <w:cnfStyle w:val="001000000000"/>
            <w:tcW w:w="2529" w:type="dxa"/>
          </w:tcPr>
          <w:p w:rsidRPr="00F14B0D" w:rsidR="00C42E5A" w:rsidP="00BC5E45" w:rsidRDefault="00C42E5A">
            <w:pPr>
              <w:pStyle w:val="figuur"/>
              <w:pBdr>
                <w:top w:val="none" w:color="auto" w:sz="0" w:space="0"/>
                <w:bottom w:val="none" w:color="auto" w:sz="0" w:space="0"/>
              </w:pBdr>
              <w:jc w:val="left"/>
              <w:rPr>
                <w:rFonts w:asciiTheme="majorHAnsi" w:hAnsiTheme="majorHAnsi"/>
                <w:b w:val="0"/>
                <w:sz w:val="18"/>
                <w:szCs w:val="18"/>
                <w:lang w:val="nl-NL"/>
              </w:rPr>
            </w:pPr>
            <w:r w:rsidRPr="00F14B0D">
              <w:rPr>
                <w:rFonts w:asciiTheme="majorHAnsi" w:hAnsiTheme="majorHAnsi"/>
                <w:b w:val="0"/>
                <w:sz w:val="18"/>
                <w:szCs w:val="18"/>
                <w:lang w:val="nl-NL"/>
              </w:rPr>
              <w:t>CO</w:t>
            </w:r>
            <w:r w:rsidRPr="00F14B0D">
              <w:rPr>
                <w:rFonts w:asciiTheme="majorHAnsi" w:hAnsiTheme="majorHAnsi"/>
                <w:b w:val="0"/>
                <w:sz w:val="18"/>
                <w:szCs w:val="18"/>
                <w:vertAlign w:val="subscript"/>
                <w:lang w:val="nl-NL"/>
              </w:rPr>
              <w:t>2</w:t>
            </w:r>
            <w:r w:rsidRPr="00F14B0D">
              <w:rPr>
                <w:rFonts w:asciiTheme="majorHAnsi" w:hAnsiTheme="majorHAnsi"/>
                <w:b w:val="0"/>
                <w:sz w:val="18"/>
                <w:szCs w:val="18"/>
                <w:lang w:val="nl-NL"/>
              </w:rPr>
              <w:t>-grens (startgrens)</w:t>
            </w:r>
          </w:p>
        </w:tc>
        <w:tc>
          <w:tcPr>
            <w:tcW w:w="1103"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67</w:t>
            </w:r>
          </w:p>
        </w:tc>
        <w:tc>
          <w:tcPr>
            <w:tcW w:w="1103"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65</w:t>
            </w:r>
          </w:p>
        </w:tc>
        <w:tc>
          <w:tcPr>
            <w:tcW w:w="1104"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63</w:t>
            </w:r>
          </w:p>
        </w:tc>
        <w:tc>
          <w:tcPr>
            <w:tcW w:w="1103"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61</w:t>
            </w:r>
          </w:p>
        </w:tc>
        <w:tc>
          <w:tcPr>
            <w:tcW w:w="1104" w:type="dxa"/>
          </w:tcPr>
          <w:p w:rsidRPr="00F14B0D" w:rsidR="00C42E5A" w:rsidP="00BC5E45" w:rsidRDefault="00C42E5A">
            <w:pPr>
              <w:jc w:val="right"/>
              <w:cnfStyle w:val="000000100000"/>
              <w:rPr>
                <w:rFonts w:asciiTheme="majorHAnsi" w:hAnsiTheme="majorHAnsi"/>
                <w:szCs w:val="18"/>
              </w:rPr>
            </w:pPr>
            <w:r w:rsidRPr="00F14B0D">
              <w:rPr>
                <w:rFonts w:asciiTheme="majorHAnsi" w:hAnsiTheme="majorHAnsi"/>
                <w:szCs w:val="18"/>
              </w:rPr>
              <w:t>59</w:t>
            </w:r>
          </w:p>
        </w:tc>
      </w:tr>
      <w:tr w:rsidRPr="00F14B0D" w:rsidR="00C42E5A" w:rsidTr="00BC5E45">
        <w:trPr>
          <w:cnfStyle w:val="000000010000"/>
        </w:trPr>
        <w:tc>
          <w:tcPr>
            <w:cnfStyle w:val="001000000000"/>
            <w:tcW w:w="2529" w:type="dxa"/>
          </w:tcPr>
          <w:p w:rsidRPr="00F14B0D" w:rsidR="00C42E5A" w:rsidP="00BC5E45" w:rsidRDefault="00C42E5A">
            <w:pPr>
              <w:pStyle w:val="figuur"/>
              <w:pBdr>
                <w:top w:val="none" w:color="auto" w:sz="0" w:space="0"/>
                <w:bottom w:val="none" w:color="auto" w:sz="0" w:space="0"/>
              </w:pBdr>
              <w:jc w:val="left"/>
              <w:rPr>
                <w:rFonts w:asciiTheme="majorHAnsi" w:hAnsiTheme="majorHAnsi"/>
                <w:b w:val="0"/>
                <w:sz w:val="18"/>
                <w:szCs w:val="18"/>
                <w:lang w:val="nl-NL"/>
              </w:rPr>
            </w:pPr>
            <w:r w:rsidRPr="00F14B0D">
              <w:rPr>
                <w:rFonts w:asciiTheme="majorHAnsi" w:hAnsiTheme="majorHAnsi"/>
                <w:b w:val="0"/>
                <w:sz w:val="18"/>
                <w:szCs w:val="18"/>
                <w:lang w:val="nl-NL"/>
              </w:rPr>
              <w:t xml:space="preserve">Tarief per g/km </w:t>
            </w:r>
          </w:p>
        </w:tc>
        <w:tc>
          <w:tcPr>
            <w:tcW w:w="1103"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86</w:t>
            </w:r>
          </w:p>
        </w:tc>
        <w:tc>
          <w:tcPr>
            <w:tcW w:w="1103"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86</w:t>
            </w:r>
          </w:p>
        </w:tc>
        <w:tc>
          <w:tcPr>
            <w:tcW w:w="1104"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86</w:t>
            </w:r>
          </w:p>
        </w:tc>
        <w:tc>
          <w:tcPr>
            <w:tcW w:w="1103"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86</w:t>
            </w:r>
          </w:p>
        </w:tc>
        <w:tc>
          <w:tcPr>
            <w:tcW w:w="1104" w:type="dxa"/>
          </w:tcPr>
          <w:p w:rsidRPr="00F14B0D" w:rsidR="00C42E5A" w:rsidP="00BC5E45" w:rsidRDefault="00C42E5A">
            <w:pPr>
              <w:jc w:val="right"/>
              <w:cnfStyle w:val="000000010000"/>
              <w:rPr>
                <w:rFonts w:asciiTheme="majorHAnsi" w:hAnsiTheme="majorHAnsi"/>
                <w:szCs w:val="18"/>
              </w:rPr>
            </w:pPr>
            <w:r w:rsidRPr="00F14B0D">
              <w:rPr>
                <w:rFonts w:asciiTheme="majorHAnsi" w:hAnsiTheme="majorHAnsi"/>
                <w:szCs w:val="18"/>
              </w:rPr>
              <w:t>86</w:t>
            </w:r>
          </w:p>
        </w:tc>
      </w:tr>
    </w:tbl>
    <w:p w:rsidRPr="00F14B0D" w:rsidR="00C42E5A" w:rsidP="00C42E5A" w:rsidRDefault="00C42E5A">
      <w:pPr>
        <w:rPr>
          <w:rFonts w:asciiTheme="majorHAnsi" w:hAnsiTheme="majorHAnsi"/>
          <w:szCs w:val="18"/>
        </w:rPr>
      </w:pPr>
    </w:p>
    <w:p w:rsidRPr="00F14B0D" w:rsidR="00BC5E45" w:rsidP="00BC5E45" w:rsidRDefault="00BC5E45">
      <w:pPr>
        <w:spacing w:after="0"/>
        <w:rPr>
          <w:rFonts w:asciiTheme="majorHAnsi" w:hAnsiTheme="majorHAnsi"/>
          <w:szCs w:val="18"/>
        </w:rPr>
      </w:pPr>
      <w:r w:rsidRPr="00F14B0D">
        <w:rPr>
          <w:rFonts w:asciiTheme="majorHAnsi" w:hAnsiTheme="majorHAnsi"/>
          <w:szCs w:val="18"/>
        </w:rPr>
        <w:t xml:space="preserve">De tarieven zijn prijspeil 2015 en moeten nog geïndexeerd worden. Verder is de afbouw van de BPM nog niet in deze tarieven verwerkt. Een verschil kan daarom optreden ten opzichte van onderstaande cijfers. </w:t>
      </w:r>
    </w:p>
    <w:p w:rsidRPr="00F14B0D" w:rsidR="00F2679B" w:rsidP="00C42E5A" w:rsidRDefault="00F2679B">
      <w:pPr>
        <w:rPr>
          <w:rFonts w:asciiTheme="majorHAnsi" w:hAnsiTheme="majorHAnsi"/>
          <w:szCs w:val="18"/>
        </w:rPr>
      </w:pPr>
    </w:p>
    <w:p w:rsidRPr="00F14B0D" w:rsidR="00F2679B" w:rsidP="00F2679B" w:rsidRDefault="00F2679B">
      <w:pPr>
        <w:rPr>
          <w:rFonts w:asciiTheme="majorHAnsi" w:hAnsiTheme="majorHAnsi"/>
          <w:szCs w:val="18"/>
        </w:rPr>
      </w:pPr>
    </w:p>
    <w:p w:rsidRPr="00F14B0D" w:rsidR="00F2679B" w:rsidRDefault="00F2679B">
      <w:pPr>
        <w:rPr>
          <w:rFonts w:asciiTheme="majorHAnsi" w:hAnsiTheme="majorHAnsi"/>
          <w:szCs w:val="18"/>
        </w:rPr>
      </w:pPr>
    </w:p>
    <w:sectPr w:rsidRPr="00F14B0D" w:rsidR="00F2679B"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45" w:rsidRDefault="00BC5E45" w:rsidP="00F2679B">
      <w:pPr>
        <w:spacing w:after="0" w:line="240" w:lineRule="auto"/>
      </w:pPr>
      <w:r>
        <w:separator/>
      </w:r>
    </w:p>
  </w:endnote>
  <w:endnote w:type="continuationSeparator" w:id="0">
    <w:p w:rsidR="00BC5E45" w:rsidRDefault="00BC5E45" w:rsidP="00F26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45" w:rsidRDefault="00BC5E4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45" w:rsidRDefault="00BC5E4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45" w:rsidRDefault="00BC5E4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45" w:rsidRDefault="00BC5E45" w:rsidP="00F2679B">
      <w:pPr>
        <w:spacing w:after="0" w:line="240" w:lineRule="auto"/>
      </w:pPr>
      <w:r>
        <w:separator/>
      </w:r>
    </w:p>
  </w:footnote>
  <w:footnote w:type="continuationSeparator" w:id="0">
    <w:p w:rsidR="00BC5E45" w:rsidRDefault="00BC5E45" w:rsidP="00F26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45" w:rsidRDefault="00BC5E4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45" w:rsidRDefault="00BC5E4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45" w:rsidRDefault="00BC5E45">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F2679B"/>
    <w:rsid w:val="00002DBE"/>
    <w:rsid w:val="000038F3"/>
    <w:rsid w:val="0003444B"/>
    <w:rsid w:val="000C38F6"/>
    <w:rsid w:val="00192403"/>
    <w:rsid w:val="002E6EEE"/>
    <w:rsid w:val="002F3870"/>
    <w:rsid w:val="003132F3"/>
    <w:rsid w:val="00346A91"/>
    <w:rsid w:val="003D2107"/>
    <w:rsid w:val="00407112"/>
    <w:rsid w:val="0041392D"/>
    <w:rsid w:val="00456D7F"/>
    <w:rsid w:val="00494C1A"/>
    <w:rsid w:val="005643BC"/>
    <w:rsid w:val="005B61BD"/>
    <w:rsid w:val="005E43FB"/>
    <w:rsid w:val="0061381E"/>
    <w:rsid w:val="00663B6C"/>
    <w:rsid w:val="006B5866"/>
    <w:rsid w:val="0070642B"/>
    <w:rsid w:val="007069EA"/>
    <w:rsid w:val="00756389"/>
    <w:rsid w:val="007C1337"/>
    <w:rsid w:val="00815554"/>
    <w:rsid w:val="00830498"/>
    <w:rsid w:val="00905545"/>
    <w:rsid w:val="009710AB"/>
    <w:rsid w:val="009929FC"/>
    <w:rsid w:val="00A17C6E"/>
    <w:rsid w:val="00AB2526"/>
    <w:rsid w:val="00B635F1"/>
    <w:rsid w:val="00BC5E45"/>
    <w:rsid w:val="00C42E5A"/>
    <w:rsid w:val="00C502AC"/>
    <w:rsid w:val="00D83BA3"/>
    <w:rsid w:val="00EC33A3"/>
    <w:rsid w:val="00EF189D"/>
    <w:rsid w:val="00F14B0D"/>
    <w:rsid w:val="00F22CDC"/>
    <w:rsid w:val="00F267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F267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2679B"/>
    <w:rPr>
      <w:rFonts w:ascii="Verdana" w:hAnsi="Verdana"/>
      <w:sz w:val="18"/>
    </w:rPr>
  </w:style>
  <w:style w:type="paragraph" w:styleId="Voettekst">
    <w:name w:val="footer"/>
    <w:basedOn w:val="Standaard"/>
    <w:link w:val="VoettekstChar"/>
    <w:uiPriority w:val="99"/>
    <w:semiHidden/>
    <w:unhideWhenUsed/>
    <w:rsid w:val="00F267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2679B"/>
    <w:rPr>
      <w:rFonts w:ascii="Verdana" w:hAnsi="Verdana"/>
      <w:sz w:val="18"/>
    </w:rPr>
  </w:style>
  <w:style w:type="table" w:styleId="Tabelraster">
    <w:name w:val="Table Grid"/>
    <w:basedOn w:val="Standaardtabel"/>
    <w:uiPriority w:val="59"/>
    <w:rsid w:val="00663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emiddeldearcering1-accent11">
    <w:name w:val="Gemiddelde arcering 1 - accent 11"/>
    <w:basedOn w:val="Standaardtabel"/>
    <w:uiPriority w:val="63"/>
    <w:rsid w:val="00663B6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ntekst">
    <w:name w:val="Balloon Text"/>
    <w:basedOn w:val="Standaard"/>
    <w:link w:val="BallontekstChar"/>
    <w:uiPriority w:val="99"/>
    <w:semiHidden/>
    <w:unhideWhenUsed/>
    <w:rsid w:val="00C42E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42E5A"/>
    <w:rPr>
      <w:rFonts w:ascii="Tahoma" w:hAnsi="Tahoma" w:cs="Tahoma"/>
      <w:sz w:val="16"/>
      <w:szCs w:val="16"/>
    </w:rPr>
  </w:style>
  <w:style w:type="table" w:styleId="Gemiddeldearcering1-accent1">
    <w:name w:val="Medium Shading 1 Accent 1"/>
    <w:basedOn w:val="Standaardtabel"/>
    <w:uiPriority w:val="63"/>
    <w:rsid w:val="00C42E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ijschrift">
    <w:name w:val="caption"/>
    <w:basedOn w:val="Standaard"/>
    <w:next w:val="figuur"/>
    <w:uiPriority w:val="35"/>
    <w:qFormat/>
    <w:rsid w:val="00C42E5A"/>
    <w:pPr>
      <w:keepNext/>
      <w:overflowPunct w:val="0"/>
      <w:autoSpaceDE w:val="0"/>
      <w:autoSpaceDN w:val="0"/>
      <w:adjustRightInd w:val="0"/>
      <w:spacing w:before="240" w:after="120" w:line="240" w:lineRule="auto"/>
      <w:ind w:left="1418" w:hanging="1418"/>
      <w:jc w:val="both"/>
      <w:textAlignment w:val="baseline"/>
    </w:pPr>
    <w:rPr>
      <w:rFonts w:ascii="Arial" w:eastAsia="Times New Roman" w:hAnsi="Arial" w:cs="Arial"/>
      <w:b/>
      <w:sz w:val="22"/>
      <w:szCs w:val="20"/>
      <w:lang w:val="nl-BE"/>
    </w:rPr>
  </w:style>
  <w:style w:type="paragraph" w:customStyle="1" w:styleId="figuur">
    <w:name w:val="figuur"/>
    <w:basedOn w:val="Standaard"/>
    <w:rsid w:val="00C42E5A"/>
    <w:pPr>
      <w:keepNext/>
      <w:pBdr>
        <w:top w:val="single" w:sz="6" w:space="1" w:color="auto"/>
        <w:bottom w:val="single" w:sz="6" w:space="1" w:color="auto"/>
      </w:pBdr>
      <w:overflowPunct w:val="0"/>
      <w:autoSpaceDE w:val="0"/>
      <w:autoSpaceDN w:val="0"/>
      <w:adjustRightInd w:val="0"/>
      <w:spacing w:after="0" w:line="312" w:lineRule="auto"/>
      <w:jc w:val="both"/>
      <w:textAlignment w:val="baseline"/>
    </w:pPr>
    <w:rPr>
      <w:rFonts w:ascii="Arial" w:eastAsia="Times New Roman" w:hAnsi="Arial" w:cs="Arial"/>
      <w:sz w:val="22"/>
      <w:szCs w:val="20"/>
      <w:lang w:val="nl-BE"/>
    </w:rPr>
  </w:style>
</w:styles>
</file>

<file path=word/webSettings.xml><?xml version="1.0" encoding="utf-8"?>
<w:webSettings xmlns:r="http://schemas.openxmlformats.org/officeDocument/2006/relationships" xmlns:w="http://schemas.openxmlformats.org/wordprocessingml/2006/main">
  <w:divs>
    <w:div w:id="3332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198</ap:Words>
  <ap:Characters>1091</ap:Characters>
  <ap:DocSecurity>0</ap:DocSecurity>
  <ap:Lines>9</ap:Lines>
  <ap:Paragraphs>2</ap:Paragraphs>
  <ap:ScaleCrop>false</ap:ScaleCrop>
  <ap:LinksUpToDate>false</ap:LinksUpToDate>
  <ap:CharactersWithSpaces>1287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2015-06-19T09:52:00.0000000Z</dcterms:created>
  <dcterms:modified xsi:type="dcterms:W3CDTF">2015-06-19T09:52:00.0000000Z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0x010100A435B5CAF53EBB45AF926EE6CE723C29</vt:lpwstr>
  </property>
</Properties>
</file>