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045" w:rsidP="00B007D4" w:rsidRDefault="005A1045">
      <w:pPr>
        <w:spacing w:line="360" w:lineRule="auto"/>
        <w:rPr>
          <w:b/>
          <w:lang w:val="nl-NL"/>
        </w:rPr>
      </w:pPr>
      <w:bookmarkStart w:name="_GoBack" w:id="0"/>
      <w:bookmarkEnd w:id="0"/>
    </w:p>
    <w:p w:rsidR="00B75A00" w:rsidP="00B007D4" w:rsidRDefault="00B75A00">
      <w:pPr>
        <w:spacing w:line="360" w:lineRule="auto"/>
        <w:rPr>
          <w:b/>
          <w:lang w:val="nl-NL"/>
        </w:rPr>
      </w:pPr>
      <w:r>
        <w:rPr>
          <w:b/>
          <w:lang w:val="nl-NL"/>
        </w:rPr>
        <w:t>Wijziging</w:t>
      </w:r>
      <w:r w:rsidR="0064495B">
        <w:rPr>
          <w:b/>
          <w:lang w:val="nl-NL"/>
        </w:rPr>
        <w:t xml:space="preserve">en </w:t>
      </w:r>
      <w:r w:rsidR="00A02791">
        <w:rPr>
          <w:b/>
          <w:lang w:val="nl-NL"/>
        </w:rPr>
        <w:t xml:space="preserve">van </w:t>
      </w:r>
      <w:r>
        <w:rPr>
          <w:b/>
          <w:lang w:val="nl-NL"/>
        </w:rPr>
        <w:t>het</w:t>
      </w:r>
      <w:r w:rsidRPr="00A26BD1" w:rsidR="00A26BD1">
        <w:rPr>
          <w:b/>
          <w:lang w:val="nl-NL"/>
        </w:rPr>
        <w:t xml:space="preserve"> Protocol </w:t>
      </w:r>
      <w:r w:rsidR="00534C00">
        <w:rPr>
          <w:b/>
          <w:lang w:val="nl-NL"/>
        </w:rPr>
        <w:t>van Kyoto</w:t>
      </w:r>
      <w:r w:rsidR="00A02DAC">
        <w:rPr>
          <w:b/>
          <w:lang w:val="nl-NL"/>
        </w:rPr>
        <w:t xml:space="preserve"> </w:t>
      </w:r>
      <w:r>
        <w:rPr>
          <w:b/>
          <w:lang w:val="nl-NL"/>
        </w:rPr>
        <w:t xml:space="preserve">bij het </w:t>
      </w:r>
      <w:r w:rsidR="00534C00">
        <w:rPr>
          <w:b/>
          <w:lang w:val="nl-NL"/>
        </w:rPr>
        <w:t>Raamv</w:t>
      </w:r>
      <w:r>
        <w:rPr>
          <w:b/>
          <w:lang w:val="nl-NL"/>
        </w:rPr>
        <w:t xml:space="preserve">erdrag van </w:t>
      </w:r>
      <w:r w:rsidR="00534C00">
        <w:rPr>
          <w:b/>
          <w:lang w:val="nl-NL"/>
        </w:rPr>
        <w:t>de Verenigde Naties inzake klimaatverandering</w:t>
      </w:r>
      <w:r w:rsidR="0064495B">
        <w:rPr>
          <w:b/>
          <w:lang w:val="nl-NL"/>
        </w:rPr>
        <w:t xml:space="preserve"> (Nairobi, 17 november 2006; Trb. 2007, 206 en </w:t>
      </w:r>
      <w:r w:rsidR="00534C00">
        <w:rPr>
          <w:b/>
          <w:lang w:val="nl-NL"/>
        </w:rPr>
        <w:t>Doha</w:t>
      </w:r>
      <w:r>
        <w:rPr>
          <w:b/>
          <w:lang w:val="nl-NL"/>
        </w:rPr>
        <w:t xml:space="preserve">, </w:t>
      </w:r>
      <w:r w:rsidR="00534C00">
        <w:rPr>
          <w:b/>
          <w:lang w:val="nl-NL"/>
        </w:rPr>
        <w:t>8</w:t>
      </w:r>
      <w:r w:rsidR="0064495B">
        <w:rPr>
          <w:b/>
          <w:lang w:val="nl-NL"/>
        </w:rPr>
        <w:t> </w:t>
      </w:r>
      <w:r w:rsidR="00534C00">
        <w:rPr>
          <w:b/>
          <w:lang w:val="nl-NL"/>
        </w:rPr>
        <w:t>december</w:t>
      </w:r>
      <w:r>
        <w:rPr>
          <w:b/>
          <w:lang w:val="nl-NL"/>
        </w:rPr>
        <w:t xml:space="preserve"> 2012</w:t>
      </w:r>
      <w:r w:rsidR="00B007D4">
        <w:rPr>
          <w:b/>
          <w:lang w:val="nl-NL"/>
        </w:rPr>
        <w:t xml:space="preserve">; </w:t>
      </w:r>
      <w:r>
        <w:rPr>
          <w:b/>
          <w:lang w:val="nl-NL"/>
        </w:rPr>
        <w:t xml:space="preserve">Trb. </w:t>
      </w:r>
      <w:r w:rsidR="00552939">
        <w:rPr>
          <w:b/>
          <w:lang w:val="nl-NL"/>
        </w:rPr>
        <w:t>2013, 44)</w:t>
      </w:r>
    </w:p>
    <w:p w:rsidR="00A67DC5" w:rsidP="00B007D4" w:rsidRDefault="00A67DC5">
      <w:pPr>
        <w:spacing w:line="360" w:lineRule="auto"/>
        <w:rPr>
          <w:b/>
          <w:lang w:val="nl-NL"/>
        </w:rPr>
      </w:pPr>
    </w:p>
    <w:p w:rsidRPr="00A26BD1" w:rsidR="008034F3" w:rsidP="00B007D4" w:rsidRDefault="00A26BD1">
      <w:pPr>
        <w:spacing w:line="360" w:lineRule="auto"/>
        <w:rPr>
          <w:b/>
          <w:lang w:val="nl-NL"/>
        </w:rPr>
      </w:pPr>
      <w:r w:rsidRPr="00A26BD1">
        <w:rPr>
          <w:b/>
          <w:lang w:val="nl-NL"/>
        </w:rPr>
        <w:t>TOELICHTENDE NOTA</w:t>
      </w:r>
    </w:p>
    <w:p w:rsidR="00A67DC5" w:rsidP="00B007D4" w:rsidRDefault="00A67DC5">
      <w:pPr>
        <w:spacing w:line="360" w:lineRule="auto"/>
        <w:rPr>
          <w:b/>
          <w:lang w:val="nl-NL"/>
        </w:rPr>
      </w:pPr>
    </w:p>
    <w:p w:rsidRPr="008034F3" w:rsidR="008034F3" w:rsidP="00B007D4" w:rsidRDefault="008034F3">
      <w:pPr>
        <w:spacing w:line="360" w:lineRule="auto"/>
        <w:rPr>
          <w:b/>
          <w:lang w:val="nl-NL"/>
        </w:rPr>
      </w:pPr>
      <w:r w:rsidRPr="008034F3">
        <w:rPr>
          <w:b/>
          <w:lang w:val="nl-NL"/>
        </w:rPr>
        <w:t xml:space="preserve">A. </w:t>
      </w:r>
      <w:r w:rsidRPr="008034F3">
        <w:rPr>
          <w:b/>
          <w:lang w:val="nl-NL"/>
        </w:rPr>
        <w:tab/>
        <w:t>ALGEMEEN</w:t>
      </w:r>
    </w:p>
    <w:p w:rsidR="00912417" w:rsidP="00B007D4" w:rsidRDefault="00A02791">
      <w:pPr>
        <w:spacing w:line="360" w:lineRule="auto"/>
        <w:rPr>
          <w:lang w:val="nl-NL"/>
        </w:rPr>
      </w:pPr>
      <w:r>
        <w:rPr>
          <w:lang w:val="nl-NL"/>
        </w:rPr>
        <w:t xml:space="preserve">Op 9 mei 1992 kwam te New York tot stand </w:t>
      </w:r>
      <w:r w:rsidRPr="00934DD1" w:rsidR="00934DD1">
        <w:rPr>
          <w:lang w:val="nl-NL"/>
        </w:rPr>
        <w:t>het Raamverdrag van de Verenigde Naties inzake klimaatverandering</w:t>
      </w:r>
      <w:r w:rsidR="00D0520D">
        <w:rPr>
          <w:lang w:val="nl-NL"/>
        </w:rPr>
        <w:t xml:space="preserve"> (Trb. 1992, 189; </w:t>
      </w:r>
      <w:r w:rsidR="0095606F">
        <w:rPr>
          <w:lang w:val="nl-NL"/>
        </w:rPr>
        <w:t>hierna: het Raamv</w:t>
      </w:r>
      <w:r w:rsidR="00E34D43">
        <w:rPr>
          <w:lang w:val="nl-NL"/>
        </w:rPr>
        <w:t>erdrag)</w:t>
      </w:r>
      <w:r w:rsidR="00D0520D">
        <w:rPr>
          <w:lang w:val="nl-NL"/>
        </w:rPr>
        <w:t xml:space="preserve">. </w:t>
      </w:r>
      <w:r w:rsidR="00B007D4">
        <w:rPr>
          <w:lang w:val="nl-NL"/>
        </w:rPr>
        <w:t>Bij dit verdrag is o</w:t>
      </w:r>
      <w:r w:rsidR="00F259FE">
        <w:rPr>
          <w:lang w:val="nl-NL"/>
        </w:rPr>
        <w:t>p 11</w:t>
      </w:r>
      <w:r w:rsidR="00B007D4">
        <w:rPr>
          <w:lang w:val="nl-NL"/>
        </w:rPr>
        <w:t> </w:t>
      </w:r>
      <w:r w:rsidR="00F259FE">
        <w:rPr>
          <w:lang w:val="nl-NL"/>
        </w:rPr>
        <w:t xml:space="preserve">december 1997 </w:t>
      </w:r>
      <w:r w:rsidR="00934DD1">
        <w:rPr>
          <w:lang w:val="nl-NL"/>
        </w:rPr>
        <w:t xml:space="preserve">te Kyoto </w:t>
      </w:r>
      <w:r w:rsidR="00B75A00">
        <w:rPr>
          <w:lang w:val="nl-NL"/>
        </w:rPr>
        <w:t>tot stand</w:t>
      </w:r>
      <w:r w:rsidR="00D0520D">
        <w:rPr>
          <w:lang w:val="nl-NL"/>
        </w:rPr>
        <w:t xml:space="preserve"> </w:t>
      </w:r>
      <w:r w:rsidR="00B007D4">
        <w:rPr>
          <w:lang w:val="nl-NL"/>
        </w:rPr>
        <w:t xml:space="preserve">gebracht </w:t>
      </w:r>
      <w:r w:rsidR="007E301C">
        <w:rPr>
          <w:lang w:val="nl-NL"/>
        </w:rPr>
        <w:t>h</w:t>
      </w:r>
      <w:r w:rsidR="00D0520D">
        <w:rPr>
          <w:lang w:val="nl-NL"/>
        </w:rPr>
        <w:t xml:space="preserve">et Protocol van Kyoto </w:t>
      </w:r>
      <w:r w:rsidR="00B75A00">
        <w:rPr>
          <w:lang w:val="nl-NL"/>
        </w:rPr>
        <w:t xml:space="preserve">(Trb. </w:t>
      </w:r>
      <w:r w:rsidR="00934DD1">
        <w:rPr>
          <w:lang w:val="nl-NL"/>
        </w:rPr>
        <w:t>1998, 170</w:t>
      </w:r>
      <w:r w:rsidR="00D0520D">
        <w:rPr>
          <w:lang w:val="nl-NL"/>
        </w:rPr>
        <w:t>;</w:t>
      </w:r>
      <w:r w:rsidR="004317F4">
        <w:rPr>
          <w:lang w:val="nl-NL"/>
        </w:rPr>
        <w:t xml:space="preserve"> hierna: het </w:t>
      </w:r>
      <w:r w:rsidR="00F17091">
        <w:rPr>
          <w:lang w:val="nl-NL"/>
        </w:rPr>
        <w:t xml:space="preserve">Kyoto </w:t>
      </w:r>
      <w:r w:rsidR="004317F4">
        <w:rPr>
          <w:lang w:val="nl-NL"/>
        </w:rPr>
        <w:t>Protocol</w:t>
      </w:r>
      <w:r w:rsidR="00B75A00">
        <w:rPr>
          <w:lang w:val="nl-NL"/>
        </w:rPr>
        <w:t>).</w:t>
      </w:r>
      <w:r w:rsidR="00930256">
        <w:rPr>
          <w:lang w:val="nl-NL"/>
        </w:rPr>
        <w:t xml:space="preserve"> </w:t>
      </w:r>
    </w:p>
    <w:p w:rsidR="00912417" w:rsidP="00B007D4" w:rsidRDefault="00912417">
      <w:pPr>
        <w:spacing w:line="360" w:lineRule="auto"/>
        <w:rPr>
          <w:lang w:val="nl-NL"/>
        </w:rPr>
      </w:pPr>
      <w:r>
        <w:rPr>
          <w:lang w:val="nl-NL"/>
        </w:rPr>
        <w:t>Het Raamverdrag en het Protocol zijn goedgekeurd voor het gehele Koninkrijk. Beide verdragen zijn voor het Europese deel van Nederland in werking, het Raamverdrag sinds 21 maart 1994 en het Protocol sinds 16 februari 2005.</w:t>
      </w:r>
    </w:p>
    <w:p w:rsidR="007D04C0" w:rsidP="00B007D4" w:rsidRDefault="00B007D4">
      <w:pPr>
        <w:spacing w:line="360" w:lineRule="auto"/>
        <w:rPr>
          <w:lang w:val="nl-NL"/>
        </w:rPr>
      </w:pPr>
      <w:r>
        <w:rPr>
          <w:lang w:val="nl-NL"/>
        </w:rPr>
        <w:t xml:space="preserve">Het </w:t>
      </w:r>
      <w:r w:rsidR="00D0520D">
        <w:rPr>
          <w:lang w:val="nl-NL"/>
        </w:rPr>
        <w:t>P</w:t>
      </w:r>
      <w:r w:rsidR="0095606F">
        <w:rPr>
          <w:lang w:val="nl-NL"/>
        </w:rPr>
        <w:t>rotocol</w:t>
      </w:r>
      <w:r w:rsidR="00EC45F0">
        <w:rPr>
          <w:lang w:val="nl-NL"/>
        </w:rPr>
        <w:t>, dat een Bijlage A en een Bijlage B bevat,</w:t>
      </w:r>
      <w:r w:rsidR="0095606F">
        <w:rPr>
          <w:lang w:val="nl-NL"/>
        </w:rPr>
        <w:t xml:space="preserve"> is ontwikkeld om </w:t>
      </w:r>
      <w:r w:rsidRPr="0095606F" w:rsidR="0095606F">
        <w:rPr>
          <w:lang w:val="nl-NL"/>
        </w:rPr>
        <w:t>de uiteindelijke doelstelling</w:t>
      </w:r>
      <w:r w:rsidR="0095606F">
        <w:rPr>
          <w:lang w:val="nl-NL"/>
        </w:rPr>
        <w:t xml:space="preserve"> van het Raamverdrag, de stabilisatie van de concentraties van broeikasgassen in de atmosfeer op een niveau waarop gevaarlijke antropogene verstoring van het klimaatsysteem wordt voorkomen, te realiseren</w:t>
      </w:r>
      <w:r w:rsidR="00A64EEB">
        <w:rPr>
          <w:lang w:val="nl-NL"/>
        </w:rPr>
        <w:t xml:space="preserve"> (</w:t>
      </w:r>
      <w:r w:rsidRPr="00A64EEB" w:rsidR="00A64EEB">
        <w:rPr>
          <w:lang w:val="nl-NL"/>
        </w:rPr>
        <w:t>Kamerstukken II 1999-2000, 27 089 (R1652), nr.</w:t>
      </w:r>
      <w:r w:rsidR="00A67DC5">
        <w:rPr>
          <w:lang w:val="nl-NL"/>
        </w:rPr>
        <w:t xml:space="preserve"> </w:t>
      </w:r>
      <w:r w:rsidRPr="00A64EEB" w:rsidR="00A64EEB">
        <w:rPr>
          <w:lang w:val="nl-NL"/>
        </w:rPr>
        <w:t>3</w:t>
      </w:r>
      <w:r w:rsidR="00A64EEB">
        <w:rPr>
          <w:lang w:val="nl-NL"/>
        </w:rPr>
        <w:t>)</w:t>
      </w:r>
      <w:r w:rsidR="0095606F">
        <w:rPr>
          <w:lang w:val="nl-NL"/>
        </w:rPr>
        <w:t xml:space="preserve">. </w:t>
      </w:r>
      <w:r w:rsidR="007D04C0">
        <w:rPr>
          <w:lang w:val="nl-NL"/>
        </w:rPr>
        <w:t xml:space="preserve">In het </w:t>
      </w:r>
      <w:r w:rsidR="0095606F">
        <w:rPr>
          <w:lang w:val="nl-NL"/>
        </w:rPr>
        <w:t xml:space="preserve">Protocol </w:t>
      </w:r>
      <w:r w:rsidR="00E15923">
        <w:rPr>
          <w:lang w:val="nl-NL"/>
        </w:rPr>
        <w:t xml:space="preserve">zijn partijen </w:t>
      </w:r>
      <w:r w:rsidR="007D04C0">
        <w:rPr>
          <w:lang w:val="nl-NL"/>
        </w:rPr>
        <w:t>daarom afspraken aangegaan over emissiereductie.</w:t>
      </w:r>
      <w:r w:rsidR="007E301C">
        <w:rPr>
          <w:lang w:val="nl-NL"/>
        </w:rPr>
        <w:t xml:space="preserve"> </w:t>
      </w:r>
      <w:r w:rsidR="00F628CB">
        <w:rPr>
          <w:lang w:val="nl-NL"/>
        </w:rPr>
        <w:t xml:space="preserve">Zo zijn </w:t>
      </w:r>
      <w:r w:rsidR="00D0520D">
        <w:rPr>
          <w:lang w:val="nl-NL"/>
        </w:rPr>
        <w:t>v</w:t>
      </w:r>
      <w:r w:rsidR="007D04C0">
        <w:rPr>
          <w:lang w:val="nl-NL"/>
        </w:rPr>
        <w:t>oor zes broeikasgassen (</w:t>
      </w:r>
      <w:r w:rsidR="00E15923">
        <w:rPr>
          <w:lang w:val="nl-NL"/>
        </w:rPr>
        <w:t>CO2, CH4, N20, HFCs, PFCs en SF6</w:t>
      </w:r>
      <w:r w:rsidR="00AF0B28">
        <w:rPr>
          <w:lang w:val="nl-NL"/>
        </w:rPr>
        <w:t xml:space="preserve">) </w:t>
      </w:r>
      <w:r w:rsidR="007D04C0">
        <w:rPr>
          <w:lang w:val="nl-NL"/>
        </w:rPr>
        <w:t>emissiedoelstellingen vastgesteld</w:t>
      </w:r>
      <w:r w:rsidR="00AF0B28">
        <w:rPr>
          <w:lang w:val="nl-NL"/>
        </w:rPr>
        <w:t>. Deze broeikasgasse</w:t>
      </w:r>
      <w:r w:rsidR="00CE55EC">
        <w:rPr>
          <w:lang w:val="nl-NL"/>
        </w:rPr>
        <w:t>n</w:t>
      </w:r>
      <w:r w:rsidR="00AF0B28">
        <w:rPr>
          <w:lang w:val="nl-NL"/>
        </w:rPr>
        <w:t xml:space="preserve"> zijn opgenomen in </w:t>
      </w:r>
      <w:r w:rsidR="00275F39">
        <w:rPr>
          <w:lang w:val="nl-NL"/>
        </w:rPr>
        <w:t xml:space="preserve">Bijlage </w:t>
      </w:r>
      <w:r w:rsidR="00AF0B28">
        <w:rPr>
          <w:lang w:val="nl-NL"/>
        </w:rPr>
        <w:t>A</w:t>
      </w:r>
      <w:r w:rsidR="00F04DE8">
        <w:rPr>
          <w:lang w:val="nl-NL"/>
        </w:rPr>
        <w:t xml:space="preserve"> en</w:t>
      </w:r>
      <w:r w:rsidR="00AF0B28">
        <w:rPr>
          <w:lang w:val="nl-NL"/>
        </w:rPr>
        <w:t xml:space="preserve"> </w:t>
      </w:r>
      <w:r w:rsidR="00F04DE8">
        <w:rPr>
          <w:lang w:val="nl-NL"/>
        </w:rPr>
        <w:t xml:space="preserve">de </w:t>
      </w:r>
      <w:r w:rsidR="00AF0B28">
        <w:rPr>
          <w:lang w:val="nl-NL"/>
        </w:rPr>
        <w:t xml:space="preserve">emissiedoelstellingen in </w:t>
      </w:r>
      <w:r w:rsidR="00275F39">
        <w:rPr>
          <w:lang w:val="nl-NL"/>
        </w:rPr>
        <w:t xml:space="preserve">Bijlage </w:t>
      </w:r>
      <w:r w:rsidR="00AF0B28">
        <w:rPr>
          <w:lang w:val="nl-NL"/>
        </w:rPr>
        <w:t xml:space="preserve">B. </w:t>
      </w:r>
      <w:r w:rsidR="00D0520D">
        <w:rPr>
          <w:lang w:val="nl-NL"/>
        </w:rPr>
        <w:br/>
      </w:r>
      <w:r w:rsidR="007E301C">
        <w:rPr>
          <w:lang w:val="nl-NL"/>
        </w:rPr>
        <w:br/>
      </w:r>
      <w:r w:rsidR="00F04DE8">
        <w:rPr>
          <w:lang w:val="nl-NL"/>
        </w:rPr>
        <w:t>Het Raamverdrag bevat in Bijlage I een lijst met partijen</w:t>
      </w:r>
      <w:r w:rsidR="00E15923">
        <w:rPr>
          <w:lang w:val="nl-NL"/>
        </w:rPr>
        <w:t>, waaronder Nederland en de Europese Unie (</w:t>
      </w:r>
      <w:r w:rsidR="009271AD">
        <w:rPr>
          <w:lang w:val="nl-NL"/>
        </w:rPr>
        <w:t>EU</w:t>
      </w:r>
      <w:r w:rsidR="00E107FB">
        <w:rPr>
          <w:lang w:val="nl-NL"/>
        </w:rPr>
        <w:t>)</w:t>
      </w:r>
      <w:r w:rsidR="009271AD">
        <w:rPr>
          <w:lang w:val="nl-NL"/>
        </w:rPr>
        <w:t xml:space="preserve"> </w:t>
      </w:r>
      <w:r w:rsidR="00E15923">
        <w:rPr>
          <w:lang w:val="nl-NL"/>
        </w:rPr>
        <w:t>als rechtsopvolger van de Europese Gemeenschap</w:t>
      </w:r>
      <w:r w:rsidR="00E107FB">
        <w:rPr>
          <w:lang w:val="nl-NL"/>
        </w:rPr>
        <w:t xml:space="preserve"> (</w:t>
      </w:r>
      <w:r w:rsidR="00BC0D6C">
        <w:rPr>
          <w:lang w:val="nl-NL"/>
        </w:rPr>
        <w:t>EG</w:t>
      </w:r>
      <w:r w:rsidR="00E15923">
        <w:rPr>
          <w:lang w:val="nl-NL"/>
        </w:rPr>
        <w:t>)</w:t>
      </w:r>
      <w:r w:rsidR="00096273">
        <w:rPr>
          <w:lang w:val="nl-NL"/>
        </w:rPr>
        <w:t xml:space="preserve">. Deze partijen moeten </w:t>
      </w:r>
      <w:r w:rsidR="00AF0B28">
        <w:rPr>
          <w:lang w:val="nl-NL"/>
        </w:rPr>
        <w:t>de emissiedoelstellingen afzonderlijk of gezamenlijk hebben</w:t>
      </w:r>
      <w:r w:rsidR="007D04C0">
        <w:rPr>
          <w:lang w:val="nl-NL"/>
        </w:rPr>
        <w:t xml:space="preserve"> gerealiseerd in de periode 2008-2012</w:t>
      </w:r>
      <w:r w:rsidR="00313FF9">
        <w:rPr>
          <w:lang w:val="nl-NL"/>
        </w:rPr>
        <w:t xml:space="preserve">, de </w:t>
      </w:r>
      <w:r w:rsidR="00271AB1">
        <w:rPr>
          <w:lang w:val="nl-NL"/>
        </w:rPr>
        <w:t xml:space="preserve">zogenoemde </w:t>
      </w:r>
      <w:r w:rsidR="00313FF9">
        <w:rPr>
          <w:lang w:val="nl-NL"/>
        </w:rPr>
        <w:t xml:space="preserve">eerste </w:t>
      </w:r>
      <w:r w:rsidR="0087482D">
        <w:rPr>
          <w:lang w:val="nl-NL"/>
        </w:rPr>
        <w:t>verplichtingenperiode</w:t>
      </w:r>
      <w:r w:rsidR="007D04C0">
        <w:rPr>
          <w:lang w:val="nl-NL"/>
        </w:rPr>
        <w:t xml:space="preserve">. </w:t>
      </w:r>
      <w:r w:rsidRPr="00E15923" w:rsidR="00E15923">
        <w:rPr>
          <w:lang w:val="nl-NL"/>
        </w:rPr>
        <w:t>Alleen de doelstel</w:t>
      </w:r>
      <w:r w:rsidR="00E15923">
        <w:rPr>
          <w:lang w:val="nl-NL"/>
        </w:rPr>
        <w:t xml:space="preserve">lingen voor de afzonderlijke in </w:t>
      </w:r>
      <w:r w:rsidR="00F04DE8">
        <w:rPr>
          <w:lang w:val="nl-NL"/>
        </w:rPr>
        <w:t xml:space="preserve">deze </w:t>
      </w:r>
      <w:r w:rsidR="00271AB1">
        <w:rPr>
          <w:lang w:val="nl-NL"/>
        </w:rPr>
        <w:t>B</w:t>
      </w:r>
      <w:r w:rsidRPr="00E15923" w:rsidR="00271AB1">
        <w:rPr>
          <w:lang w:val="nl-NL"/>
        </w:rPr>
        <w:t xml:space="preserve">ijlage </w:t>
      </w:r>
      <w:r w:rsidRPr="00E15923" w:rsidR="00E15923">
        <w:rPr>
          <w:lang w:val="nl-NL"/>
        </w:rPr>
        <w:t xml:space="preserve">I opgenomen </w:t>
      </w:r>
      <w:r w:rsidR="00DE4C1B">
        <w:rPr>
          <w:lang w:val="nl-NL"/>
        </w:rPr>
        <w:t>p</w:t>
      </w:r>
      <w:r w:rsidRPr="00E15923" w:rsidR="00E15923">
        <w:rPr>
          <w:lang w:val="nl-NL"/>
        </w:rPr>
        <w:t>artijen (waarb</w:t>
      </w:r>
      <w:r w:rsidR="00E15923">
        <w:rPr>
          <w:lang w:val="nl-NL"/>
        </w:rPr>
        <w:t xml:space="preserve">ij de </w:t>
      </w:r>
      <w:r w:rsidR="00BC0D6C">
        <w:rPr>
          <w:lang w:val="nl-NL"/>
        </w:rPr>
        <w:t>EG</w:t>
      </w:r>
      <w:r w:rsidR="007E35FE">
        <w:rPr>
          <w:lang w:val="nl-NL"/>
        </w:rPr>
        <w:t xml:space="preserve">/EU </w:t>
      </w:r>
      <w:r w:rsidRPr="00E15923" w:rsidR="00E15923">
        <w:rPr>
          <w:lang w:val="nl-NL"/>
        </w:rPr>
        <w:t xml:space="preserve">één </w:t>
      </w:r>
      <w:r w:rsidR="00DE4C1B">
        <w:rPr>
          <w:lang w:val="nl-NL"/>
        </w:rPr>
        <w:t>p</w:t>
      </w:r>
      <w:r w:rsidRPr="00E15923" w:rsidR="00E15923">
        <w:rPr>
          <w:lang w:val="nl-NL"/>
        </w:rPr>
        <w:t>artij is) zijn bindend.</w:t>
      </w:r>
      <w:r w:rsidR="0049525D">
        <w:rPr>
          <w:lang w:val="nl-NL"/>
        </w:rPr>
        <w:t xml:space="preserve"> </w:t>
      </w:r>
      <w:r w:rsidR="0037685B">
        <w:rPr>
          <w:lang w:val="nl-NL"/>
        </w:rPr>
        <w:t xml:space="preserve">Partijen kunnen dus, ondanks het gezamenlijk voldoen aan de afspraken, altijd worden </w:t>
      </w:r>
      <w:r w:rsidR="00C9591D">
        <w:rPr>
          <w:lang w:val="nl-NL"/>
        </w:rPr>
        <w:t>gehouden aan</w:t>
      </w:r>
      <w:r w:rsidR="0037685B">
        <w:rPr>
          <w:lang w:val="nl-NL"/>
        </w:rPr>
        <w:t xml:space="preserve"> hun individuele doelstelling.</w:t>
      </w:r>
      <w:r w:rsidR="0049000E">
        <w:rPr>
          <w:lang w:val="nl-NL"/>
        </w:rPr>
        <w:t xml:space="preserve"> Dit is echter pas aan de orde als partijen hun gezamenlijke doel niet halen.</w:t>
      </w:r>
    </w:p>
    <w:p w:rsidR="00854DBB" w:rsidP="00B007D4" w:rsidRDefault="00313FF9">
      <w:pPr>
        <w:spacing w:line="360" w:lineRule="auto"/>
        <w:rPr>
          <w:lang w:val="nl-NL"/>
        </w:rPr>
      </w:pPr>
      <w:r>
        <w:rPr>
          <w:lang w:val="nl-NL"/>
        </w:rPr>
        <w:t xml:space="preserve">De EG en de 15 </w:t>
      </w:r>
      <w:r w:rsidR="007E35FE">
        <w:rPr>
          <w:lang w:val="nl-NL"/>
        </w:rPr>
        <w:t>EG-</w:t>
      </w:r>
      <w:r>
        <w:rPr>
          <w:lang w:val="nl-NL"/>
        </w:rPr>
        <w:t xml:space="preserve">lidstaten die </w:t>
      </w:r>
      <w:r w:rsidR="007E35FE">
        <w:rPr>
          <w:lang w:val="nl-NL"/>
        </w:rPr>
        <w:t>in 1998</w:t>
      </w:r>
      <w:r w:rsidR="005937F2">
        <w:rPr>
          <w:lang w:val="nl-NL"/>
        </w:rPr>
        <w:t xml:space="preserve"> </w:t>
      </w:r>
      <w:r>
        <w:rPr>
          <w:lang w:val="nl-NL"/>
        </w:rPr>
        <w:t xml:space="preserve">het Protocol </w:t>
      </w:r>
      <w:r w:rsidR="005937F2">
        <w:rPr>
          <w:lang w:val="nl-NL"/>
        </w:rPr>
        <w:t>ondertekenden</w:t>
      </w:r>
      <w:r>
        <w:rPr>
          <w:lang w:val="nl-NL"/>
        </w:rPr>
        <w:t xml:space="preserve">, hebben, conform de mogelijkheid van artikel 4 van het Protocol, verklaard de verplichtingen gezamenlijk te willen nakomen voor de eerste </w:t>
      </w:r>
      <w:r w:rsidR="0087482D">
        <w:rPr>
          <w:lang w:val="nl-NL"/>
        </w:rPr>
        <w:t>verplichtingenperiode</w:t>
      </w:r>
      <w:r>
        <w:rPr>
          <w:lang w:val="nl-NL"/>
        </w:rPr>
        <w:t xml:space="preserve">. </w:t>
      </w:r>
      <w:r w:rsidRPr="00E15923" w:rsidR="00E15923">
        <w:rPr>
          <w:lang w:val="nl-NL"/>
        </w:rPr>
        <w:t>Voor de EG</w:t>
      </w:r>
      <w:r w:rsidR="005937F2">
        <w:rPr>
          <w:lang w:val="nl-NL"/>
        </w:rPr>
        <w:t>/EU is</w:t>
      </w:r>
      <w:r w:rsidR="009836AF">
        <w:rPr>
          <w:lang w:val="nl-NL"/>
        </w:rPr>
        <w:t xml:space="preserve"> </w:t>
      </w:r>
      <w:r w:rsidRPr="00E15923" w:rsidR="00E15923">
        <w:rPr>
          <w:lang w:val="nl-NL"/>
        </w:rPr>
        <w:t>in het Protocol een reducti</w:t>
      </w:r>
      <w:r w:rsidR="00E15923">
        <w:rPr>
          <w:lang w:val="nl-NL"/>
        </w:rPr>
        <w:t xml:space="preserve">everplichting van 8% opgenomen. </w:t>
      </w:r>
    </w:p>
    <w:p w:rsidR="00B51729" w:rsidP="00B007D4" w:rsidRDefault="00772794">
      <w:pPr>
        <w:spacing w:line="360" w:lineRule="auto"/>
        <w:rPr>
          <w:lang w:val="nl-NL"/>
        </w:rPr>
      </w:pPr>
      <w:r>
        <w:rPr>
          <w:lang w:val="nl-NL"/>
        </w:rPr>
        <w:br w:type="column"/>
      </w:r>
      <w:r w:rsidR="00361D6B">
        <w:rPr>
          <w:lang w:val="nl-NL"/>
        </w:rPr>
        <w:lastRenderedPageBreak/>
        <w:t>De EU voldoet aan deze reductieverplichting door middel van de wetgeving uit het Klimaat en Energiepakket 2020</w:t>
      </w:r>
      <w:r w:rsidR="00A2136C">
        <w:rPr>
          <w:rStyle w:val="FootnoteReference"/>
          <w:lang w:val="nl-NL"/>
        </w:rPr>
        <w:footnoteReference w:id="1"/>
      </w:r>
      <w:r w:rsidR="00A2136C">
        <w:rPr>
          <w:lang w:val="nl-NL"/>
        </w:rPr>
        <w:t>. Dit betreft de regeling voor emissiehandel (EU</w:t>
      </w:r>
      <w:r w:rsidR="00B007D4">
        <w:rPr>
          <w:lang w:val="nl-NL"/>
        </w:rPr>
        <w:t> </w:t>
      </w:r>
      <w:r w:rsidR="00A2136C">
        <w:rPr>
          <w:lang w:val="nl-NL"/>
        </w:rPr>
        <w:t xml:space="preserve">ETS) en </w:t>
      </w:r>
      <w:r w:rsidR="00F832AA">
        <w:rPr>
          <w:lang w:val="nl-NL"/>
        </w:rPr>
        <w:t xml:space="preserve">de </w:t>
      </w:r>
      <w:r w:rsidR="00A2136C">
        <w:rPr>
          <w:lang w:val="nl-NL"/>
        </w:rPr>
        <w:t xml:space="preserve">beschikking inzake de verdeling </w:t>
      </w:r>
      <w:r w:rsidR="00F832AA">
        <w:rPr>
          <w:lang w:val="nl-NL"/>
        </w:rPr>
        <w:t>over de EU</w:t>
      </w:r>
      <w:r w:rsidR="00BA4D9D">
        <w:rPr>
          <w:lang w:val="nl-NL"/>
        </w:rPr>
        <w:t>-</w:t>
      </w:r>
      <w:r w:rsidR="00F832AA">
        <w:rPr>
          <w:lang w:val="nl-NL"/>
        </w:rPr>
        <w:t xml:space="preserve">lidstaten </w:t>
      </w:r>
      <w:r w:rsidR="00A2136C">
        <w:rPr>
          <w:lang w:val="nl-NL"/>
        </w:rPr>
        <w:t>van de inspanning</w:t>
      </w:r>
      <w:r w:rsidR="00A60B9E">
        <w:rPr>
          <w:lang w:val="nl-NL"/>
        </w:rPr>
        <w:t xml:space="preserve"> voor niet ETS-sectoren</w:t>
      </w:r>
      <w:r w:rsidR="00A2136C">
        <w:rPr>
          <w:lang w:val="nl-NL"/>
        </w:rPr>
        <w:t xml:space="preserve">. </w:t>
      </w:r>
      <w:r w:rsidR="008E2DEF">
        <w:rPr>
          <w:lang w:val="nl-NL"/>
        </w:rPr>
        <w:t xml:space="preserve">Daarnaast gold </w:t>
      </w:r>
      <w:r w:rsidR="00457522">
        <w:rPr>
          <w:lang w:val="nl-NL"/>
        </w:rPr>
        <w:t xml:space="preserve">binnen de EU </w:t>
      </w:r>
      <w:r w:rsidR="008827FD">
        <w:rPr>
          <w:lang w:val="nl-NL"/>
        </w:rPr>
        <w:t xml:space="preserve">voor het rapporteren over de uitstoot van broeikasgassen </w:t>
      </w:r>
      <w:r w:rsidR="008E2DEF">
        <w:rPr>
          <w:lang w:val="nl-NL"/>
        </w:rPr>
        <w:t xml:space="preserve">sinds 2004 </w:t>
      </w:r>
      <w:r w:rsidR="00694978">
        <w:rPr>
          <w:lang w:val="nl-NL"/>
        </w:rPr>
        <w:t xml:space="preserve">de </w:t>
      </w:r>
      <w:r w:rsidR="008E2DEF">
        <w:rPr>
          <w:lang w:val="nl-NL"/>
        </w:rPr>
        <w:t xml:space="preserve">beschikking </w:t>
      </w:r>
      <w:r w:rsidRPr="008E2DEF" w:rsidR="008E2DEF">
        <w:rPr>
          <w:lang w:val="nl-NL"/>
        </w:rPr>
        <w:t>betreffende een bewakingssysteem voor de uitstoot van broeika</w:t>
      </w:r>
      <w:r w:rsidR="008E2DEF">
        <w:rPr>
          <w:lang w:val="nl-NL"/>
        </w:rPr>
        <w:t xml:space="preserve">sgassen in de Gemeenschap en de </w:t>
      </w:r>
      <w:r w:rsidRPr="008E2DEF" w:rsidR="008E2DEF">
        <w:rPr>
          <w:lang w:val="nl-NL"/>
        </w:rPr>
        <w:t xml:space="preserve">uitvoering van het </w:t>
      </w:r>
      <w:r w:rsidR="00F17091">
        <w:rPr>
          <w:lang w:val="nl-NL"/>
        </w:rPr>
        <w:t xml:space="preserve">Kyoto </w:t>
      </w:r>
      <w:r w:rsidRPr="008E2DEF" w:rsidR="008E2DEF">
        <w:rPr>
          <w:lang w:val="nl-NL"/>
        </w:rPr>
        <w:t>Protocol</w:t>
      </w:r>
      <w:r w:rsidR="008E2DEF">
        <w:rPr>
          <w:rStyle w:val="FootnoteReference"/>
          <w:lang w:val="nl-NL"/>
        </w:rPr>
        <w:footnoteReference w:id="2"/>
      </w:r>
      <w:r w:rsidR="00457522">
        <w:rPr>
          <w:lang w:val="nl-NL"/>
        </w:rPr>
        <w:t>; deze is in 2013 vervangen door Verordening</w:t>
      </w:r>
      <w:r w:rsidRPr="00457522" w:rsidR="00457522">
        <w:rPr>
          <w:lang w:val="nl-NL"/>
        </w:rPr>
        <w:t xml:space="preserve"> (EU) Nr. 525/2013 </w:t>
      </w:r>
      <w:r w:rsidR="00457522">
        <w:rPr>
          <w:lang w:val="nl-NL"/>
        </w:rPr>
        <w:t xml:space="preserve">van het Europees Parlement en de Raad </w:t>
      </w:r>
      <w:r w:rsidRPr="00457522" w:rsidR="00457522">
        <w:rPr>
          <w:lang w:val="nl-NL"/>
        </w:rPr>
        <w:t>van 21 mei 2013</w:t>
      </w:r>
      <w:r w:rsidR="00457522">
        <w:rPr>
          <w:lang w:val="nl-NL"/>
        </w:rPr>
        <w:t xml:space="preserve"> </w:t>
      </w:r>
      <w:r w:rsidRPr="00457522" w:rsidR="00457522">
        <w:rPr>
          <w:lang w:val="nl-NL"/>
        </w:rPr>
        <w:t>betreffende een bewakings- en rapportagesysteem voor de uitstoot van broeikasgassen en een rapportagemechanisme voor overige informatie op nationaal niveau en op het niveau van de unie met betrekking tot klimaatverandering</w:t>
      </w:r>
      <w:r w:rsidR="00457522">
        <w:rPr>
          <w:rStyle w:val="FootnoteReference"/>
          <w:lang w:val="nl-NL"/>
        </w:rPr>
        <w:footnoteReference w:id="3"/>
      </w:r>
      <w:r w:rsidR="00D25347">
        <w:rPr>
          <w:lang w:val="nl-NL"/>
        </w:rPr>
        <w:t>.</w:t>
      </w:r>
      <w:r w:rsidR="00275F39">
        <w:rPr>
          <w:lang w:val="nl-NL"/>
        </w:rPr>
        <w:t xml:space="preserve"> </w:t>
      </w:r>
      <w:r w:rsidR="007B0F1A">
        <w:rPr>
          <w:lang w:val="nl-NL"/>
        </w:rPr>
        <w:t xml:space="preserve">In Nederland is dit geïmplementeerd in </w:t>
      </w:r>
      <w:r w:rsidR="00ED5CF9">
        <w:rPr>
          <w:lang w:val="nl-NL"/>
        </w:rPr>
        <w:t xml:space="preserve">onder meer de </w:t>
      </w:r>
      <w:r w:rsidR="007B0F1A">
        <w:rPr>
          <w:lang w:val="nl-NL"/>
        </w:rPr>
        <w:t>Wet milieubeheer</w:t>
      </w:r>
      <w:r w:rsidR="00056706">
        <w:rPr>
          <w:lang w:val="nl-NL"/>
        </w:rPr>
        <w:t>. Daarnaast zijn om aan de verplichtingen te voldoen</w:t>
      </w:r>
      <w:r w:rsidR="007B0F1A">
        <w:rPr>
          <w:lang w:val="nl-NL"/>
        </w:rPr>
        <w:t xml:space="preserve"> beleidsmaatregelen </w:t>
      </w:r>
      <w:r w:rsidR="00056706">
        <w:rPr>
          <w:lang w:val="nl-NL"/>
        </w:rPr>
        <w:t xml:space="preserve">getroffen, </w:t>
      </w:r>
      <w:r w:rsidR="007B0F1A">
        <w:rPr>
          <w:lang w:val="nl-NL"/>
        </w:rPr>
        <w:t>zoals de Klimaatagenda</w:t>
      </w:r>
      <w:r w:rsidR="00824C82">
        <w:rPr>
          <w:rStyle w:val="FootnoteReference"/>
          <w:lang w:val="nl-NL"/>
        </w:rPr>
        <w:footnoteReference w:id="4"/>
      </w:r>
      <w:r w:rsidR="007B0F1A">
        <w:rPr>
          <w:lang w:val="nl-NL"/>
        </w:rPr>
        <w:t xml:space="preserve">. </w:t>
      </w:r>
    </w:p>
    <w:p w:rsidR="00B007D4" w:rsidP="00B007D4" w:rsidRDefault="00096273">
      <w:pPr>
        <w:spacing w:line="360" w:lineRule="auto"/>
        <w:rPr>
          <w:b/>
          <w:lang w:val="nl-NL"/>
        </w:rPr>
      </w:pPr>
      <w:r w:rsidRPr="00B007D4">
        <w:rPr>
          <w:b/>
          <w:lang w:val="nl-NL"/>
        </w:rPr>
        <w:t xml:space="preserve">B. </w:t>
      </w:r>
      <w:r w:rsidR="00B007D4">
        <w:rPr>
          <w:b/>
          <w:lang w:val="nl-NL"/>
        </w:rPr>
        <w:t>De wijzigingen</w:t>
      </w:r>
      <w:r w:rsidR="00C7694F">
        <w:rPr>
          <w:b/>
          <w:lang w:val="nl-NL"/>
        </w:rPr>
        <w:t xml:space="preserve"> van het Kyoto Protocol</w:t>
      </w:r>
    </w:p>
    <w:p w:rsidR="00EC45F0" w:rsidP="00B007D4" w:rsidRDefault="00C7694F">
      <w:pPr>
        <w:spacing w:line="360" w:lineRule="auto"/>
        <w:rPr>
          <w:lang w:val="nl-NL"/>
        </w:rPr>
      </w:pPr>
      <w:r>
        <w:rPr>
          <w:lang w:val="nl-NL"/>
        </w:rPr>
        <w:t>De wijziging</w:t>
      </w:r>
      <w:r w:rsidR="00717296">
        <w:rPr>
          <w:lang w:val="nl-NL"/>
        </w:rPr>
        <w:t>en</w:t>
      </w:r>
      <w:r>
        <w:rPr>
          <w:lang w:val="nl-NL"/>
        </w:rPr>
        <w:t xml:space="preserve"> va</w:t>
      </w:r>
      <w:r w:rsidR="00EC45F0">
        <w:rPr>
          <w:lang w:val="nl-NL"/>
        </w:rPr>
        <w:t>n het Kyoto Protocol en van de B</w:t>
      </w:r>
      <w:r>
        <w:rPr>
          <w:lang w:val="nl-NL"/>
        </w:rPr>
        <w:t>ijlagen behoeven goedkeuring van de Staten-Generaal</w:t>
      </w:r>
      <w:r>
        <w:rPr>
          <w:rStyle w:val="FootnoteReference"/>
          <w:lang w:val="nl-NL"/>
        </w:rPr>
        <w:footnoteReference w:id="5"/>
      </w:r>
      <w:r>
        <w:rPr>
          <w:lang w:val="nl-NL"/>
        </w:rPr>
        <w:t xml:space="preserve">. </w:t>
      </w:r>
      <w:r w:rsidR="003F6945">
        <w:rPr>
          <w:lang w:val="nl-NL"/>
        </w:rPr>
        <w:t>Er wordt voor het gehele Koninkrijk goedgekeurd.</w:t>
      </w:r>
    </w:p>
    <w:p w:rsidR="00B007D4" w:rsidP="00B007D4" w:rsidRDefault="00B007D4">
      <w:pPr>
        <w:spacing w:line="360" w:lineRule="auto"/>
        <w:rPr>
          <w:lang w:val="nl-NL"/>
        </w:rPr>
      </w:pPr>
      <w:r w:rsidRPr="00B007D4">
        <w:rPr>
          <w:lang w:val="nl-NL"/>
        </w:rPr>
        <w:t>Hierbij word</w:t>
      </w:r>
      <w:r>
        <w:rPr>
          <w:lang w:val="nl-NL"/>
        </w:rPr>
        <w:t xml:space="preserve">t </w:t>
      </w:r>
      <w:r w:rsidR="005D294A">
        <w:rPr>
          <w:lang w:val="nl-NL"/>
        </w:rPr>
        <w:t xml:space="preserve">ten eerste </w:t>
      </w:r>
      <w:r w:rsidRPr="00B007D4">
        <w:rPr>
          <w:lang w:val="nl-NL"/>
        </w:rPr>
        <w:t>t</w:t>
      </w:r>
      <w:r>
        <w:rPr>
          <w:lang w:val="nl-NL"/>
        </w:rPr>
        <w:t xml:space="preserve">er goedkeuring </w:t>
      </w:r>
      <w:r w:rsidR="00C561BE">
        <w:rPr>
          <w:lang w:val="nl-NL"/>
        </w:rPr>
        <w:t xml:space="preserve">voorgelegd </w:t>
      </w:r>
      <w:r>
        <w:rPr>
          <w:lang w:val="nl-NL"/>
        </w:rPr>
        <w:t>een wijziging van Bijlage B bij het Protocol</w:t>
      </w:r>
      <w:r w:rsidR="0064495B">
        <w:rPr>
          <w:lang w:val="nl-NL"/>
        </w:rPr>
        <w:t xml:space="preserve"> (zie Trb. 2007, 206)</w:t>
      </w:r>
      <w:r>
        <w:rPr>
          <w:lang w:val="nl-NL"/>
        </w:rPr>
        <w:t xml:space="preserve">. </w:t>
      </w:r>
      <w:r w:rsidR="00516463">
        <w:rPr>
          <w:lang w:val="nl-NL"/>
        </w:rPr>
        <w:t xml:space="preserve">Deze </w:t>
      </w:r>
      <w:r w:rsidR="00C7694F">
        <w:rPr>
          <w:lang w:val="nl-NL"/>
        </w:rPr>
        <w:t>wijziging</w:t>
      </w:r>
      <w:r w:rsidR="00237B2A">
        <w:rPr>
          <w:lang w:val="nl-NL"/>
        </w:rPr>
        <w:t xml:space="preserve"> die op 17 november 2006 te Nairobi is overeengekomen,</w:t>
      </w:r>
      <w:r w:rsidR="00C7694F">
        <w:rPr>
          <w:lang w:val="nl-NL"/>
        </w:rPr>
        <w:t xml:space="preserve"> </w:t>
      </w:r>
      <w:r>
        <w:rPr>
          <w:lang w:val="nl-NL"/>
        </w:rPr>
        <w:t>voorziet</w:t>
      </w:r>
      <w:r w:rsidR="00D64442">
        <w:rPr>
          <w:lang w:val="nl-NL"/>
        </w:rPr>
        <w:t xml:space="preserve"> uitsluitend </w:t>
      </w:r>
      <w:r>
        <w:rPr>
          <w:lang w:val="nl-NL"/>
        </w:rPr>
        <w:t xml:space="preserve">in </w:t>
      </w:r>
      <w:r w:rsidR="0090459F">
        <w:rPr>
          <w:lang w:val="nl-NL"/>
        </w:rPr>
        <w:t xml:space="preserve">een </w:t>
      </w:r>
      <w:r>
        <w:rPr>
          <w:lang w:val="nl-NL"/>
        </w:rPr>
        <w:t xml:space="preserve">toevoeging van </w:t>
      </w:r>
      <w:r w:rsidR="0090459F">
        <w:rPr>
          <w:lang w:val="nl-NL"/>
        </w:rPr>
        <w:t xml:space="preserve">Belarus </w:t>
      </w:r>
      <w:r w:rsidR="00EC45F0">
        <w:rPr>
          <w:lang w:val="nl-NL"/>
        </w:rPr>
        <w:t xml:space="preserve">aan </w:t>
      </w:r>
      <w:r>
        <w:rPr>
          <w:lang w:val="nl-NL"/>
        </w:rPr>
        <w:t>de lijst van landen</w:t>
      </w:r>
      <w:r w:rsidR="00C561BE">
        <w:rPr>
          <w:lang w:val="nl-NL"/>
        </w:rPr>
        <w:t xml:space="preserve"> en de desbetreffende emissiedoestellingen</w:t>
      </w:r>
      <w:r>
        <w:rPr>
          <w:lang w:val="nl-NL"/>
        </w:rPr>
        <w:t>.</w:t>
      </w:r>
      <w:r w:rsidR="00EC45F0">
        <w:rPr>
          <w:lang w:val="nl-NL"/>
        </w:rPr>
        <w:t xml:space="preserve"> </w:t>
      </w:r>
      <w:r w:rsidR="00D6503F">
        <w:rPr>
          <w:lang w:val="nl-NL"/>
        </w:rPr>
        <w:t xml:space="preserve">Het gaat </w:t>
      </w:r>
      <w:r w:rsidR="00516463">
        <w:rPr>
          <w:lang w:val="nl-NL"/>
        </w:rPr>
        <w:t>slechts om een wijziging van technische aard</w:t>
      </w:r>
      <w:r w:rsidR="00EC45F0">
        <w:rPr>
          <w:lang w:val="nl-NL"/>
        </w:rPr>
        <w:t>.</w:t>
      </w:r>
      <w:r>
        <w:rPr>
          <w:lang w:val="nl-NL"/>
        </w:rPr>
        <w:t xml:space="preserve"> </w:t>
      </w:r>
    </w:p>
    <w:p w:rsidR="00A35422" w:rsidP="00B007D4" w:rsidRDefault="00B007D4">
      <w:pPr>
        <w:spacing w:line="360" w:lineRule="auto"/>
        <w:rPr>
          <w:lang w:val="nl-NL"/>
        </w:rPr>
      </w:pPr>
      <w:r>
        <w:rPr>
          <w:lang w:val="nl-NL"/>
        </w:rPr>
        <w:t xml:space="preserve">Verder </w:t>
      </w:r>
      <w:r w:rsidR="00396A8D">
        <w:rPr>
          <w:lang w:val="nl-NL"/>
        </w:rPr>
        <w:t xml:space="preserve">worden </w:t>
      </w:r>
      <w:r>
        <w:rPr>
          <w:lang w:val="nl-NL"/>
        </w:rPr>
        <w:t xml:space="preserve">ter goedkeuring </w:t>
      </w:r>
      <w:r w:rsidR="00C561BE">
        <w:rPr>
          <w:lang w:val="nl-NL"/>
        </w:rPr>
        <w:t xml:space="preserve">voorgelegd </w:t>
      </w:r>
      <w:r w:rsidR="00C7694F">
        <w:rPr>
          <w:lang w:val="nl-NL"/>
        </w:rPr>
        <w:t>de wijzigingen van Doha</w:t>
      </w:r>
      <w:r w:rsidR="00EC45F0">
        <w:rPr>
          <w:lang w:val="nl-NL"/>
        </w:rPr>
        <w:t xml:space="preserve"> (zie hier</w:t>
      </w:r>
      <w:r w:rsidR="00C561BE">
        <w:rPr>
          <w:lang w:val="nl-NL"/>
        </w:rPr>
        <w:t>na de</w:t>
      </w:r>
      <w:r w:rsidR="00EC45F0">
        <w:rPr>
          <w:lang w:val="nl-NL"/>
        </w:rPr>
        <w:t xml:space="preserve"> artikelsgewijze toelichting)</w:t>
      </w:r>
      <w:r w:rsidR="00C7694F">
        <w:rPr>
          <w:lang w:val="nl-NL"/>
        </w:rPr>
        <w:t xml:space="preserve">. </w:t>
      </w:r>
      <w:r w:rsidR="0049525D">
        <w:rPr>
          <w:lang w:val="nl-NL"/>
        </w:rPr>
        <w:t xml:space="preserve">Op 8 december 2012, tijdens de </w:t>
      </w:r>
      <w:r w:rsidR="00FD434C">
        <w:rPr>
          <w:lang w:val="nl-NL"/>
        </w:rPr>
        <w:t>VN</w:t>
      </w:r>
      <w:r w:rsidR="00D64442">
        <w:rPr>
          <w:lang w:val="nl-NL"/>
        </w:rPr>
        <w:t>-</w:t>
      </w:r>
      <w:r w:rsidR="0049525D">
        <w:rPr>
          <w:lang w:val="nl-NL"/>
        </w:rPr>
        <w:t xml:space="preserve">klimaatconferentie van Doha, </w:t>
      </w:r>
      <w:r w:rsidR="008A31E5">
        <w:rPr>
          <w:lang w:val="nl-NL"/>
        </w:rPr>
        <w:t>zijn</w:t>
      </w:r>
      <w:r w:rsidR="0049525D">
        <w:rPr>
          <w:lang w:val="nl-NL"/>
        </w:rPr>
        <w:t xml:space="preserve"> </w:t>
      </w:r>
      <w:r w:rsidR="002155FA">
        <w:rPr>
          <w:lang w:val="nl-NL"/>
        </w:rPr>
        <w:t xml:space="preserve">bij Besluit </w:t>
      </w:r>
      <w:r w:rsidRPr="002155FA" w:rsidR="002155FA">
        <w:rPr>
          <w:lang w:val="nl-NL"/>
        </w:rPr>
        <w:t>1/CMP.8</w:t>
      </w:r>
      <w:r w:rsidR="002155FA">
        <w:rPr>
          <w:lang w:val="nl-NL"/>
        </w:rPr>
        <w:t xml:space="preserve"> </w:t>
      </w:r>
      <w:r w:rsidRPr="002155FA" w:rsidR="002155FA">
        <w:rPr>
          <w:lang w:val="nl-NL"/>
        </w:rPr>
        <w:t>(</w:t>
      </w:r>
      <w:r w:rsidR="00C561BE">
        <w:rPr>
          <w:lang w:val="nl-NL"/>
        </w:rPr>
        <w:t xml:space="preserve">zie </w:t>
      </w:r>
      <w:r w:rsidRPr="002155FA" w:rsidR="002155FA">
        <w:rPr>
          <w:lang w:val="nl-NL"/>
        </w:rPr>
        <w:t>Trb. 2013, 44)</w:t>
      </w:r>
      <w:r w:rsidR="002155FA">
        <w:rPr>
          <w:lang w:val="nl-NL"/>
        </w:rPr>
        <w:t xml:space="preserve"> </w:t>
      </w:r>
      <w:r w:rsidRPr="002155FA" w:rsidR="0049525D">
        <w:rPr>
          <w:lang w:val="nl-NL"/>
        </w:rPr>
        <w:t>d</w:t>
      </w:r>
      <w:r w:rsidR="0049525D">
        <w:rPr>
          <w:lang w:val="nl-NL"/>
        </w:rPr>
        <w:t xml:space="preserve">e 192 partijen bij het Protocol een wijziging van het Protocol </w:t>
      </w:r>
      <w:r w:rsidR="00040C61">
        <w:rPr>
          <w:lang w:val="nl-NL"/>
        </w:rPr>
        <w:t xml:space="preserve">en de </w:t>
      </w:r>
      <w:r w:rsidR="002F1210">
        <w:rPr>
          <w:lang w:val="nl-NL"/>
        </w:rPr>
        <w:t>B</w:t>
      </w:r>
      <w:r w:rsidR="00040C61">
        <w:rPr>
          <w:lang w:val="nl-NL"/>
        </w:rPr>
        <w:t xml:space="preserve">ijlagen </w:t>
      </w:r>
      <w:r w:rsidR="008A31E5">
        <w:rPr>
          <w:lang w:val="nl-NL"/>
        </w:rPr>
        <w:t>overeengekome</w:t>
      </w:r>
      <w:r w:rsidR="008E2DEF">
        <w:rPr>
          <w:lang w:val="nl-NL"/>
        </w:rPr>
        <w:t>n</w:t>
      </w:r>
      <w:r w:rsidR="0049525D">
        <w:rPr>
          <w:lang w:val="nl-NL"/>
        </w:rPr>
        <w:t>.</w:t>
      </w:r>
      <w:r w:rsidR="00F65406">
        <w:rPr>
          <w:lang w:val="nl-NL"/>
        </w:rPr>
        <w:t xml:space="preserve"> </w:t>
      </w:r>
      <w:r w:rsidR="00FD434C">
        <w:rPr>
          <w:lang w:val="nl-NL"/>
        </w:rPr>
        <w:t>De Tweede Kamer is over de resultaten van de klimaatconferentie geïnformeerd bij brief van 11</w:t>
      </w:r>
      <w:r w:rsidR="00096273">
        <w:rPr>
          <w:lang w:val="nl-NL"/>
        </w:rPr>
        <w:t> </w:t>
      </w:r>
      <w:r w:rsidR="00FD434C">
        <w:rPr>
          <w:lang w:val="nl-NL"/>
        </w:rPr>
        <w:t>december 2012</w:t>
      </w:r>
      <w:r w:rsidR="00FD434C">
        <w:rPr>
          <w:rStyle w:val="FootnoteReference"/>
          <w:lang w:val="nl-NL"/>
        </w:rPr>
        <w:footnoteReference w:id="6"/>
      </w:r>
      <w:r w:rsidR="00FD434C">
        <w:rPr>
          <w:lang w:val="nl-NL"/>
        </w:rPr>
        <w:t xml:space="preserve">. </w:t>
      </w:r>
    </w:p>
    <w:p w:rsidR="002F1210" w:rsidP="00B007D4" w:rsidRDefault="00772794">
      <w:pPr>
        <w:spacing w:line="360" w:lineRule="auto"/>
        <w:rPr>
          <w:lang w:val="nl-NL"/>
        </w:rPr>
      </w:pPr>
      <w:r>
        <w:rPr>
          <w:lang w:val="nl-NL"/>
        </w:rPr>
        <w:br w:type="column"/>
      </w:r>
      <w:r w:rsidR="00630EAF">
        <w:rPr>
          <w:lang w:val="nl-NL"/>
        </w:rPr>
        <w:lastRenderedPageBreak/>
        <w:t xml:space="preserve">De belangrijkste wijzigingen </w:t>
      </w:r>
      <w:r w:rsidR="00A0303D">
        <w:rPr>
          <w:lang w:val="nl-NL"/>
        </w:rPr>
        <w:t xml:space="preserve">van Doha </w:t>
      </w:r>
      <w:r w:rsidR="00630EAF">
        <w:rPr>
          <w:lang w:val="nl-NL"/>
        </w:rPr>
        <w:t xml:space="preserve">zoals overeengekomen in het </w:t>
      </w:r>
      <w:r w:rsidR="00EC45F0">
        <w:rPr>
          <w:lang w:val="nl-NL"/>
        </w:rPr>
        <w:t xml:space="preserve">Besluit </w:t>
      </w:r>
      <w:r w:rsidR="00630EAF">
        <w:rPr>
          <w:lang w:val="nl-NL"/>
        </w:rPr>
        <w:t>zijn:</w:t>
      </w:r>
    </w:p>
    <w:p w:rsidR="002F1210" w:rsidP="002F1210" w:rsidRDefault="00630EAF">
      <w:pPr>
        <w:pStyle w:val="ListParagraph"/>
        <w:numPr>
          <w:ilvl w:val="0"/>
          <w:numId w:val="7"/>
        </w:numPr>
        <w:spacing w:line="360" w:lineRule="auto"/>
        <w:rPr>
          <w:lang w:val="nl-NL"/>
        </w:rPr>
      </w:pPr>
      <w:r w:rsidRPr="002F1210">
        <w:rPr>
          <w:lang w:val="nl-NL"/>
        </w:rPr>
        <w:t xml:space="preserve">Er is een </w:t>
      </w:r>
      <w:r w:rsidRPr="002F1210" w:rsidR="00C95CD9">
        <w:rPr>
          <w:lang w:val="nl-NL"/>
        </w:rPr>
        <w:t xml:space="preserve">tweede verplichtingenperiode </w:t>
      </w:r>
      <w:r w:rsidRPr="002F1210" w:rsidR="00763362">
        <w:rPr>
          <w:lang w:val="nl-NL"/>
        </w:rPr>
        <w:t>afgesproken</w:t>
      </w:r>
      <w:r w:rsidRPr="002F1210" w:rsidR="00645A56">
        <w:rPr>
          <w:lang w:val="nl-NL"/>
        </w:rPr>
        <w:t>, die ingaat op 1 januari 2013 en afloopt op 31</w:t>
      </w:r>
      <w:r w:rsidRPr="002F1210" w:rsidR="00096273">
        <w:rPr>
          <w:lang w:val="nl-NL"/>
        </w:rPr>
        <w:t> </w:t>
      </w:r>
      <w:r w:rsidRPr="002F1210" w:rsidR="00645A56">
        <w:rPr>
          <w:lang w:val="nl-NL"/>
        </w:rPr>
        <w:t>december 2020.</w:t>
      </w:r>
      <w:r w:rsidRPr="002F1210" w:rsidR="00FC4248">
        <w:rPr>
          <w:lang w:val="nl-NL"/>
        </w:rPr>
        <w:t xml:space="preserve"> </w:t>
      </w:r>
      <w:r w:rsidRPr="002F1210" w:rsidR="00F65406">
        <w:rPr>
          <w:lang w:val="nl-NL"/>
        </w:rPr>
        <w:t xml:space="preserve">Voor deze tweede </w:t>
      </w:r>
      <w:r w:rsidRPr="002F1210" w:rsidR="0087482D">
        <w:rPr>
          <w:lang w:val="nl-NL"/>
        </w:rPr>
        <w:t>verplichtingenperiode</w:t>
      </w:r>
      <w:r w:rsidRPr="002F1210" w:rsidR="00F65406">
        <w:rPr>
          <w:lang w:val="nl-NL"/>
        </w:rPr>
        <w:t xml:space="preserve"> zijn voor partijen in </w:t>
      </w:r>
      <w:r w:rsidRPr="002F1210" w:rsidR="00C10670">
        <w:rPr>
          <w:lang w:val="nl-NL"/>
        </w:rPr>
        <w:t>B</w:t>
      </w:r>
      <w:r w:rsidRPr="002F1210" w:rsidR="00F65406">
        <w:rPr>
          <w:lang w:val="nl-NL"/>
        </w:rPr>
        <w:t xml:space="preserve">ijlage B </w:t>
      </w:r>
      <w:r w:rsidRPr="002F1210" w:rsidR="00C10670">
        <w:rPr>
          <w:lang w:val="nl-NL"/>
        </w:rPr>
        <w:t xml:space="preserve">bij het Protocol </w:t>
      </w:r>
      <w:r w:rsidRPr="002F1210" w:rsidR="00F65406">
        <w:rPr>
          <w:lang w:val="nl-NL"/>
        </w:rPr>
        <w:t>nieuwe verplichtingen inzake emissiereductie opgenomen.</w:t>
      </w:r>
      <w:r w:rsidRPr="002F1210" w:rsidR="006C3A88">
        <w:rPr>
          <w:lang w:val="nl-NL"/>
        </w:rPr>
        <w:t xml:space="preserve"> </w:t>
      </w:r>
      <w:r w:rsidRPr="002F1210" w:rsidR="005B371A">
        <w:rPr>
          <w:lang w:val="nl-NL"/>
        </w:rPr>
        <w:t xml:space="preserve">De EU en </w:t>
      </w:r>
      <w:r w:rsidRPr="002F1210" w:rsidR="00271AB1">
        <w:rPr>
          <w:lang w:val="nl-NL"/>
        </w:rPr>
        <w:t xml:space="preserve">haar </w:t>
      </w:r>
      <w:r w:rsidRPr="002F1210" w:rsidR="005B371A">
        <w:rPr>
          <w:lang w:val="nl-NL"/>
        </w:rPr>
        <w:t>lidstaten hebben een reductie van 20%</w:t>
      </w:r>
      <w:r w:rsidR="00790731">
        <w:rPr>
          <w:rStyle w:val="FootnoteReference"/>
          <w:lang w:val="nl-NL"/>
        </w:rPr>
        <w:footnoteReference w:id="7"/>
      </w:r>
      <w:r w:rsidRPr="002F1210" w:rsidR="005B371A">
        <w:rPr>
          <w:lang w:val="nl-NL"/>
        </w:rPr>
        <w:t xml:space="preserve"> afgesproken.</w:t>
      </w:r>
      <w:r w:rsidRPr="002F1210" w:rsidR="00D1391F">
        <w:rPr>
          <w:lang w:val="nl-NL"/>
        </w:rPr>
        <w:t xml:space="preserve"> Hieraan kan worden voldaan met bestaande regelgeving en maatregelen.</w:t>
      </w:r>
    </w:p>
    <w:p w:rsidR="002F1210" w:rsidP="002F1210" w:rsidRDefault="00630EAF">
      <w:pPr>
        <w:pStyle w:val="ListParagraph"/>
        <w:numPr>
          <w:ilvl w:val="0"/>
          <w:numId w:val="7"/>
        </w:numPr>
        <w:spacing w:line="360" w:lineRule="auto"/>
        <w:rPr>
          <w:lang w:val="nl-NL"/>
        </w:rPr>
      </w:pPr>
      <w:r w:rsidRPr="002F1210">
        <w:rPr>
          <w:lang w:val="nl-NL"/>
        </w:rPr>
        <w:t xml:space="preserve">Er is een broeikasgas aan </w:t>
      </w:r>
      <w:r w:rsidRPr="002F1210" w:rsidR="00C10670">
        <w:rPr>
          <w:lang w:val="nl-NL"/>
        </w:rPr>
        <w:t>B</w:t>
      </w:r>
      <w:r w:rsidRPr="002F1210">
        <w:rPr>
          <w:lang w:val="nl-NL"/>
        </w:rPr>
        <w:t>ijlage A</w:t>
      </w:r>
      <w:r w:rsidRPr="002F1210" w:rsidR="00C10670">
        <w:rPr>
          <w:lang w:val="nl-NL"/>
        </w:rPr>
        <w:t xml:space="preserve"> bij het Protocol</w:t>
      </w:r>
      <w:r w:rsidRPr="002F1210">
        <w:rPr>
          <w:lang w:val="nl-NL"/>
        </w:rPr>
        <w:t xml:space="preserve"> toegevoegd, namelijk NF3 (stikstoftrifluoride). De emissies van dit broeikasgas tellen mee voor </w:t>
      </w:r>
      <w:r w:rsidR="0070400D">
        <w:rPr>
          <w:lang w:val="nl-NL"/>
        </w:rPr>
        <w:t xml:space="preserve">de </w:t>
      </w:r>
      <w:r w:rsidRPr="002F1210">
        <w:rPr>
          <w:lang w:val="nl-NL"/>
        </w:rPr>
        <w:t>totale uitstoot.</w:t>
      </w:r>
    </w:p>
    <w:p w:rsidR="002F1210" w:rsidP="002F1210" w:rsidRDefault="00624FAD">
      <w:pPr>
        <w:pStyle w:val="ListParagraph"/>
        <w:numPr>
          <w:ilvl w:val="0"/>
          <w:numId w:val="7"/>
        </w:numPr>
        <w:spacing w:line="360" w:lineRule="auto"/>
        <w:rPr>
          <w:lang w:val="nl-NL"/>
        </w:rPr>
      </w:pPr>
      <w:r w:rsidRPr="002F1210">
        <w:rPr>
          <w:lang w:val="nl-NL"/>
        </w:rPr>
        <w:t>Er is een vereenvoudigde procedure afgesproken voor partijen die hun ambitie van emissiereductie willen verhogen.</w:t>
      </w:r>
    </w:p>
    <w:p w:rsidR="00AC26EC" w:rsidP="002F1210" w:rsidRDefault="00AC26EC">
      <w:pPr>
        <w:spacing w:line="360" w:lineRule="auto"/>
        <w:rPr>
          <w:lang w:val="nl-NL"/>
        </w:rPr>
      </w:pPr>
      <w:r w:rsidRPr="008B046A">
        <w:rPr>
          <w:lang w:val="nl-NL"/>
        </w:rPr>
        <w:t xml:space="preserve">Ten aanzien van de tweede verplichtingenperiode zijn de EU en haar lidstaten voornemens </w:t>
      </w:r>
      <w:r w:rsidRPr="008B046A" w:rsidR="00ED72C5">
        <w:rPr>
          <w:lang w:val="nl-NL"/>
        </w:rPr>
        <w:t xml:space="preserve">om, conform de mogelijkheid van artikel 4 van het Kyoto Protocol, samen te werken met IJsland. Voor deze samenwerking worden </w:t>
      </w:r>
      <w:r w:rsidRPr="008B046A" w:rsidR="0098630A">
        <w:rPr>
          <w:lang w:val="nl-NL"/>
        </w:rPr>
        <w:t xml:space="preserve">op dit moment </w:t>
      </w:r>
      <w:r w:rsidRPr="008B046A" w:rsidR="00ED72C5">
        <w:rPr>
          <w:lang w:val="nl-NL"/>
        </w:rPr>
        <w:t>technische uitvoeringsbepalingen opgesteld.</w:t>
      </w:r>
      <w:r>
        <w:rPr>
          <w:lang w:val="nl-NL"/>
        </w:rPr>
        <w:t xml:space="preserve"> Om dit mogelijk te maken wordt de eerdergenoemde Verordening (EU) Nr. 525/2013 van het Europees Parlement en de Raad van 21 mei 2013 betreffende een bewakings- en rapportagesysteem voor de uitstoot van broeikasgassen en een rapportagemechanisme gewijzigd</w:t>
      </w:r>
      <w:r>
        <w:rPr>
          <w:rStyle w:val="FootnoteReference"/>
          <w:lang w:val="nl-NL"/>
        </w:rPr>
        <w:footnoteReference w:id="8"/>
      </w:r>
      <w:r>
        <w:rPr>
          <w:lang w:val="nl-NL"/>
        </w:rPr>
        <w:t>.</w:t>
      </w:r>
    </w:p>
    <w:p w:rsidR="002F1210" w:rsidP="002F1210" w:rsidRDefault="006C3A88">
      <w:pPr>
        <w:spacing w:line="360" w:lineRule="auto"/>
        <w:rPr>
          <w:lang w:val="nl-NL"/>
        </w:rPr>
      </w:pPr>
      <w:r w:rsidRPr="002F1210">
        <w:rPr>
          <w:lang w:val="nl-NL"/>
        </w:rPr>
        <w:t>De wijziging</w:t>
      </w:r>
      <w:r w:rsidRPr="002F1210" w:rsidR="00624FAD">
        <w:rPr>
          <w:lang w:val="nl-NL"/>
        </w:rPr>
        <w:t>en</w:t>
      </w:r>
      <w:r w:rsidRPr="002F1210">
        <w:rPr>
          <w:lang w:val="nl-NL"/>
        </w:rPr>
        <w:t xml:space="preserve"> </w:t>
      </w:r>
      <w:r w:rsidR="00A0303D">
        <w:rPr>
          <w:lang w:val="nl-NL"/>
        </w:rPr>
        <w:t xml:space="preserve">van </w:t>
      </w:r>
      <w:r w:rsidRPr="002F1210">
        <w:rPr>
          <w:lang w:val="nl-NL"/>
        </w:rPr>
        <w:t>Doha</w:t>
      </w:r>
      <w:r w:rsidRPr="002F1210" w:rsidR="006175A2">
        <w:rPr>
          <w:lang w:val="nl-NL"/>
        </w:rPr>
        <w:t xml:space="preserve"> </w:t>
      </w:r>
      <w:r w:rsidRPr="002F1210" w:rsidR="00624FAD">
        <w:rPr>
          <w:lang w:val="nl-NL"/>
        </w:rPr>
        <w:t>treden</w:t>
      </w:r>
      <w:r w:rsidRPr="002F1210">
        <w:rPr>
          <w:lang w:val="nl-NL"/>
        </w:rPr>
        <w:t>, volgens artikel 21, zevende lid, van het Protocol in werking volgens de procedure die is vastgelegd in artikel 20 van het Protocol, dat wil zeggen</w:t>
      </w:r>
      <w:r w:rsidRPr="002F1210" w:rsidR="006175A2">
        <w:rPr>
          <w:lang w:val="nl-NL"/>
        </w:rPr>
        <w:t xml:space="preserve">: </w:t>
      </w:r>
      <w:r w:rsidRPr="002F1210">
        <w:rPr>
          <w:lang w:val="nl-NL"/>
        </w:rPr>
        <w:t xml:space="preserve">90 dagen nadat drie vierde van de partijen </w:t>
      </w:r>
      <w:r w:rsidR="003B161B">
        <w:rPr>
          <w:lang w:val="nl-NL"/>
        </w:rPr>
        <w:t xml:space="preserve">bij </w:t>
      </w:r>
      <w:r w:rsidRPr="002F1210">
        <w:rPr>
          <w:lang w:val="nl-NL"/>
        </w:rPr>
        <w:t xml:space="preserve">het Protocol de wijziging aanvaard hebben. Op dit moment (stand van zaken </w:t>
      </w:r>
      <w:r w:rsidR="00E514D7">
        <w:rPr>
          <w:lang w:val="nl-NL"/>
        </w:rPr>
        <w:t xml:space="preserve">april </w:t>
      </w:r>
      <w:r w:rsidR="001F00A9">
        <w:rPr>
          <w:lang w:val="nl-NL"/>
        </w:rPr>
        <w:t>2015</w:t>
      </w:r>
      <w:r w:rsidRPr="002F1210">
        <w:rPr>
          <w:lang w:val="nl-NL"/>
        </w:rPr>
        <w:t xml:space="preserve">) is de wijziging aanvaard door </w:t>
      </w:r>
      <w:r w:rsidR="005E69B4">
        <w:rPr>
          <w:lang w:val="nl-NL"/>
        </w:rPr>
        <w:t>2</w:t>
      </w:r>
      <w:r w:rsidR="00E514D7">
        <w:rPr>
          <w:lang w:val="nl-NL"/>
        </w:rPr>
        <w:t>7</w:t>
      </w:r>
      <w:r w:rsidRPr="002F1210" w:rsidR="005E69B4">
        <w:rPr>
          <w:lang w:val="nl-NL"/>
        </w:rPr>
        <w:t xml:space="preserve"> </w:t>
      </w:r>
      <w:r w:rsidRPr="002F1210" w:rsidR="00A8498A">
        <w:rPr>
          <w:lang w:val="nl-NL"/>
        </w:rPr>
        <w:t xml:space="preserve">van de 193 </w:t>
      </w:r>
      <w:r w:rsidRPr="002F1210">
        <w:rPr>
          <w:lang w:val="nl-NL"/>
        </w:rPr>
        <w:t>partijen</w:t>
      </w:r>
      <w:r w:rsidR="003B4B9E">
        <w:rPr>
          <w:rStyle w:val="FootnoteReference"/>
          <w:lang w:val="nl-NL"/>
        </w:rPr>
        <w:footnoteReference w:id="9"/>
      </w:r>
      <w:r w:rsidRPr="002F1210">
        <w:rPr>
          <w:lang w:val="nl-NL"/>
        </w:rPr>
        <w:t>.</w:t>
      </w:r>
      <w:r w:rsidRPr="002F1210" w:rsidR="008E38D3">
        <w:rPr>
          <w:lang w:val="nl-NL"/>
        </w:rPr>
        <w:t xml:space="preserve"> </w:t>
      </w:r>
      <w:r w:rsidRPr="002F1210" w:rsidR="00433C80">
        <w:rPr>
          <w:lang w:val="nl-NL"/>
        </w:rPr>
        <w:t>De EU en haar lidstaten streven ernaar hun aktes van aanvaarding van de wijziging gelijktijdig te deponeren. Dit sluit aan bij het vereiste van eenheid in het internationale optreden van de EU.</w:t>
      </w:r>
    </w:p>
    <w:p w:rsidR="002A2CF8" w:rsidP="002A2CF8" w:rsidRDefault="00BA6598">
      <w:pPr>
        <w:spacing w:line="360" w:lineRule="auto"/>
        <w:rPr>
          <w:lang w:val="nl-NL"/>
        </w:rPr>
      </w:pPr>
      <w:r w:rsidRPr="0040425C">
        <w:rPr>
          <w:lang w:val="nl-NL"/>
        </w:rPr>
        <w:t xml:space="preserve">Omdat de in </w:t>
      </w:r>
      <w:r w:rsidR="00D6503F">
        <w:rPr>
          <w:lang w:val="nl-NL"/>
        </w:rPr>
        <w:t xml:space="preserve">het </w:t>
      </w:r>
      <w:r w:rsidR="00EC45F0">
        <w:rPr>
          <w:lang w:val="nl-NL"/>
        </w:rPr>
        <w:t xml:space="preserve">Europese deel van </w:t>
      </w:r>
      <w:r w:rsidRPr="0040425C">
        <w:rPr>
          <w:lang w:val="nl-NL"/>
        </w:rPr>
        <w:t xml:space="preserve">Nederland geldende wet- en regelgeving al voldoet aan de eisen van het gewijzigde Protocol en de </w:t>
      </w:r>
      <w:r w:rsidR="00A0303D">
        <w:rPr>
          <w:lang w:val="nl-NL"/>
        </w:rPr>
        <w:t>B</w:t>
      </w:r>
      <w:r w:rsidRPr="0040425C" w:rsidR="00A0303D">
        <w:rPr>
          <w:lang w:val="nl-NL"/>
        </w:rPr>
        <w:t>ijlagen</w:t>
      </w:r>
      <w:r w:rsidRPr="0040425C">
        <w:rPr>
          <w:lang w:val="nl-NL"/>
        </w:rPr>
        <w:t xml:space="preserve">, </w:t>
      </w:r>
      <w:r w:rsidR="00A0303D">
        <w:rPr>
          <w:lang w:val="nl-NL"/>
        </w:rPr>
        <w:t xml:space="preserve">zal </w:t>
      </w:r>
      <w:r w:rsidR="00BD22B5">
        <w:rPr>
          <w:lang w:val="nl-NL"/>
        </w:rPr>
        <w:t xml:space="preserve">nadat de </w:t>
      </w:r>
      <w:r w:rsidR="00A0303D">
        <w:rPr>
          <w:lang w:val="nl-NL"/>
        </w:rPr>
        <w:t xml:space="preserve">goedkeuring </w:t>
      </w:r>
      <w:r w:rsidR="00BD22B5">
        <w:rPr>
          <w:lang w:val="nl-NL"/>
        </w:rPr>
        <w:t xml:space="preserve">daartoe van </w:t>
      </w:r>
      <w:r w:rsidR="00A0303D">
        <w:rPr>
          <w:lang w:val="nl-NL"/>
        </w:rPr>
        <w:t>de Staten-Generaal</w:t>
      </w:r>
      <w:r w:rsidR="00BD22B5">
        <w:rPr>
          <w:lang w:val="nl-NL"/>
        </w:rPr>
        <w:t xml:space="preserve"> is verkregen,</w:t>
      </w:r>
      <w:r w:rsidRPr="0040425C">
        <w:rPr>
          <w:lang w:val="nl-NL"/>
        </w:rPr>
        <w:t xml:space="preserve"> </w:t>
      </w:r>
      <w:r w:rsidR="00A0303D">
        <w:rPr>
          <w:lang w:val="nl-NL"/>
        </w:rPr>
        <w:t xml:space="preserve">kunnen </w:t>
      </w:r>
      <w:r w:rsidRPr="0040425C">
        <w:rPr>
          <w:lang w:val="nl-NL"/>
        </w:rPr>
        <w:t xml:space="preserve">worden overgegaan tot </w:t>
      </w:r>
      <w:r w:rsidR="00A0303D">
        <w:rPr>
          <w:lang w:val="nl-NL"/>
        </w:rPr>
        <w:t xml:space="preserve">aanvaarding van de wijzigingen </w:t>
      </w:r>
      <w:r w:rsidR="00C10670">
        <w:rPr>
          <w:lang w:val="nl-NL"/>
        </w:rPr>
        <w:t xml:space="preserve">voor </w:t>
      </w:r>
      <w:r w:rsidR="00A0303D">
        <w:rPr>
          <w:lang w:val="nl-NL"/>
        </w:rPr>
        <w:t xml:space="preserve">het Europese </w:t>
      </w:r>
      <w:r w:rsidR="00C10670">
        <w:rPr>
          <w:lang w:val="nl-NL"/>
        </w:rPr>
        <w:t>deel</w:t>
      </w:r>
      <w:r w:rsidR="00A0303D">
        <w:rPr>
          <w:lang w:val="nl-NL"/>
        </w:rPr>
        <w:t xml:space="preserve"> van Nederland</w:t>
      </w:r>
      <w:r w:rsidRPr="0040425C">
        <w:rPr>
          <w:lang w:val="nl-NL"/>
        </w:rPr>
        <w:t>.</w:t>
      </w:r>
      <w:r w:rsidR="00C10670">
        <w:rPr>
          <w:lang w:val="nl-NL"/>
        </w:rPr>
        <w:t xml:space="preserve"> </w:t>
      </w:r>
    </w:p>
    <w:p w:rsidR="00E514D7" w:rsidP="00E514D7" w:rsidRDefault="00E514D7">
      <w:pPr>
        <w:spacing w:line="360" w:lineRule="auto"/>
        <w:rPr>
          <w:lang w:val="nl-NL"/>
        </w:rPr>
      </w:pPr>
      <w:r w:rsidRPr="00FE5BC9">
        <w:rPr>
          <w:lang w:val="nl-NL"/>
        </w:rPr>
        <w:t xml:space="preserve">Er is niet voorzien in een uitbreiding van de toepassing van de wijzigingen tot het Caribische deel van Nederland (Bonaire, Sint Eustatius en Saba), omdat de EU-afspraak over het behalen van de doelstellingen onder het voornoemde Klimaat en Energiepakket 2020 alleen betrekking heeft op het Europese deel van Nederland. </w:t>
      </w:r>
    </w:p>
    <w:p w:rsidR="00E514D7" w:rsidP="00E514D7" w:rsidRDefault="00E514D7">
      <w:pPr>
        <w:spacing w:line="360" w:lineRule="auto"/>
        <w:rPr>
          <w:lang w:val="nl-NL"/>
        </w:rPr>
      </w:pPr>
      <w:r>
        <w:rPr>
          <w:lang w:val="nl-NL"/>
        </w:rPr>
        <w:t xml:space="preserve">Het Raamverdrag en het Kyoto Protocol zijn voor het hele Koninkrijk goedgekeurd, maar een bekrachtiging voor het Caribische deel van Nederland is (nog) niet voorzien. Voor deze verdragen geldt, evenals voor andere milieuverdragen waar Nederland partij bij is, dat zij binnen de kaders van </w:t>
      </w:r>
      <w:r>
        <w:rPr>
          <w:lang w:val="nl-NL"/>
        </w:rPr>
        <w:lastRenderedPageBreak/>
        <w:t>de ter zake gemaakte afspraken ook kunnen gaan gelden voor het Caribische deel van Nederland. Hiervoor moet de noodzakelijke uitvoeringswetgeving zijn getroffen. Dat is op dit moment nog niet het geval. Het opstellen van dergelijke wetgeving voor Bonaire, Sint Eustatius en Saba kost tijd.</w:t>
      </w:r>
    </w:p>
    <w:p w:rsidR="00E514D7" w:rsidP="00E514D7" w:rsidRDefault="00E514D7">
      <w:pPr>
        <w:spacing w:line="360" w:lineRule="auto"/>
        <w:rPr>
          <w:lang w:val="nl-NL"/>
        </w:rPr>
      </w:pPr>
      <w:r>
        <w:rPr>
          <w:lang w:val="nl-NL"/>
        </w:rPr>
        <w:t xml:space="preserve">De tweede verplichtingenperiode van het Protocol eindigt in 2020.  Met de tijd die gemoeid is met het afronden van het wetgevingsproces waarbij ook aandacht besteed moet worden aan de implementatie specifiek voor Bonaire, Sint Eustatius en Saba, wordt echter al dicht tegen het jaar 2020 aangezeten. Dit is dus het moment waarop de verplichtingen van Kyoto Protocol aflopen. </w:t>
      </w:r>
    </w:p>
    <w:p w:rsidR="00E514D7" w:rsidP="00E514D7" w:rsidRDefault="00E514D7">
      <w:pPr>
        <w:spacing w:line="360" w:lineRule="auto"/>
        <w:rPr>
          <w:lang w:val="nl-NL"/>
        </w:rPr>
      </w:pPr>
      <w:r>
        <w:rPr>
          <w:lang w:val="nl-NL"/>
        </w:rPr>
        <w:t>Een derde verplichtingenperiode zal er niet komen. Momenteel wordt, conform de in december 2011 (17</w:t>
      </w:r>
      <w:r w:rsidRPr="00336663">
        <w:rPr>
          <w:vertAlign w:val="superscript"/>
          <w:lang w:val="nl-NL"/>
        </w:rPr>
        <w:t>e</w:t>
      </w:r>
      <w:r>
        <w:rPr>
          <w:lang w:val="nl-NL"/>
        </w:rPr>
        <w:t xml:space="preserve"> sessie van de Vergadering van de Partijen, “COP 17”) in Durban, Zuid Afrika, gemaakte afspraken, onderhandeld over een nieuw juridisch instrument onder het Raamverdrag dat vanaf 2020 moet gaan gelden.</w:t>
      </w:r>
    </w:p>
    <w:p w:rsidR="00276E14" w:rsidP="009109E6" w:rsidRDefault="00E514D7">
      <w:pPr>
        <w:spacing w:line="360" w:lineRule="auto"/>
        <w:rPr>
          <w:lang w:val="nl-NL"/>
        </w:rPr>
      </w:pPr>
      <w:r>
        <w:rPr>
          <w:lang w:val="nl-NL"/>
        </w:rPr>
        <w:t>Het uitgangspunt bij het nieuwe, post-2020, instrument zal zijn dat dit ook voor het Caribische deel van Nederland zal gelden. Zodra met in achtneming van het nieuwe instrument de daarvoor benodigde uitvoeringswetgeving gereed is, kunnen de milieuverdragen in kwestie eveneens voor dat deel van Nederland worden bekrachtigd.</w:t>
      </w:r>
    </w:p>
    <w:p w:rsidR="00E46572" w:rsidP="009109E6" w:rsidRDefault="00EA4EC2">
      <w:pPr>
        <w:spacing w:line="360" w:lineRule="auto"/>
        <w:rPr>
          <w:b/>
          <w:lang w:val="nl-NL"/>
        </w:rPr>
      </w:pPr>
      <w:r>
        <w:rPr>
          <w:b/>
          <w:lang w:val="nl-NL"/>
        </w:rPr>
        <w:t>C</w:t>
      </w:r>
      <w:r w:rsidR="00E46572">
        <w:rPr>
          <w:b/>
          <w:lang w:val="nl-NL"/>
        </w:rPr>
        <w:t xml:space="preserve">. </w:t>
      </w:r>
      <w:r w:rsidR="00EC45F0">
        <w:rPr>
          <w:b/>
          <w:lang w:val="nl-NL"/>
        </w:rPr>
        <w:t>ARTIKELSGEWIJZE TOELICHTING</w:t>
      </w:r>
    </w:p>
    <w:p w:rsidRPr="00F628CB" w:rsidR="009F7DAB" w:rsidP="00B007D4" w:rsidRDefault="004C2495">
      <w:pPr>
        <w:spacing w:line="360" w:lineRule="auto"/>
        <w:rPr>
          <w:lang w:val="nl-NL"/>
        </w:rPr>
      </w:pPr>
      <w:r w:rsidRPr="004C2495">
        <w:rPr>
          <w:lang w:val="nl-NL"/>
        </w:rPr>
        <w:t xml:space="preserve">Besluit </w:t>
      </w:r>
      <w:r w:rsidRPr="002155FA" w:rsidR="00CA0606">
        <w:rPr>
          <w:szCs w:val="18"/>
          <w:lang w:val="nl-NL"/>
        </w:rPr>
        <w:t>1/CMP.8</w:t>
      </w:r>
      <w:r>
        <w:rPr>
          <w:lang w:val="nl-NL"/>
        </w:rPr>
        <w:t xml:space="preserve"> </w:t>
      </w:r>
      <w:r w:rsidR="00AC26EC">
        <w:rPr>
          <w:lang w:val="nl-NL"/>
        </w:rPr>
        <w:t xml:space="preserve">van 8 december 2012 </w:t>
      </w:r>
      <w:r>
        <w:rPr>
          <w:lang w:val="nl-NL"/>
        </w:rPr>
        <w:t xml:space="preserve">wijzigt </w:t>
      </w:r>
      <w:r w:rsidR="0095464A">
        <w:rPr>
          <w:lang w:val="nl-NL"/>
        </w:rPr>
        <w:t xml:space="preserve">de artikelen 3 en 4 van </w:t>
      </w:r>
      <w:r>
        <w:rPr>
          <w:lang w:val="nl-NL"/>
        </w:rPr>
        <w:t>het Protocol</w:t>
      </w:r>
      <w:r w:rsidR="00877D46">
        <w:rPr>
          <w:lang w:val="nl-NL"/>
        </w:rPr>
        <w:t xml:space="preserve"> (</w:t>
      </w:r>
      <w:r w:rsidR="0095464A">
        <w:rPr>
          <w:lang w:val="nl-NL"/>
        </w:rPr>
        <w:t xml:space="preserve">zie </w:t>
      </w:r>
      <w:r w:rsidR="00877D46">
        <w:rPr>
          <w:lang w:val="nl-NL"/>
        </w:rPr>
        <w:t>artikel 1, onderdelen C tot en met L</w:t>
      </w:r>
      <w:r w:rsidR="0095464A">
        <w:rPr>
          <w:lang w:val="nl-NL"/>
        </w:rPr>
        <w:t xml:space="preserve"> van het Besluit</w:t>
      </w:r>
      <w:r w:rsidR="00877D46">
        <w:rPr>
          <w:lang w:val="nl-NL"/>
        </w:rPr>
        <w:t>)</w:t>
      </w:r>
      <w:r w:rsidR="00F628CB">
        <w:rPr>
          <w:lang w:val="nl-NL"/>
        </w:rPr>
        <w:t>,</w:t>
      </w:r>
      <w:r w:rsidR="00A0303D">
        <w:rPr>
          <w:lang w:val="nl-NL"/>
        </w:rPr>
        <w:t xml:space="preserve"> </w:t>
      </w:r>
      <w:r w:rsidR="00877D46">
        <w:rPr>
          <w:lang w:val="nl-NL"/>
        </w:rPr>
        <w:t>B</w:t>
      </w:r>
      <w:r>
        <w:rPr>
          <w:lang w:val="nl-NL"/>
        </w:rPr>
        <w:t>ijlage A</w:t>
      </w:r>
      <w:r w:rsidR="00877D46">
        <w:rPr>
          <w:lang w:val="nl-NL"/>
        </w:rPr>
        <w:t xml:space="preserve"> (</w:t>
      </w:r>
      <w:r w:rsidR="0095464A">
        <w:rPr>
          <w:lang w:val="nl-NL"/>
        </w:rPr>
        <w:t xml:space="preserve">zie </w:t>
      </w:r>
      <w:r w:rsidR="00877D46">
        <w:rPr>
          <w:lang w:val="nl-NL"/>
        </w:rPr>
        <w:t>artikel 1, onderdeel B</w:t>
      </w:r>
      <w:r w:rsidR="0095464A">
        <w:rPr>
          <w:lang w:val="nl-NL"/>
        </w:rPr>
        <w:t>, van het Besluit</w:t>
      </w:r>
      <w:r w:rsidR="00877D46">
        <w:rPr>
          <w:lang w:val="nl-NL"/>
        </w:rPr>
        <w:t>)</w:t>
      </w:r>
      <w:r>
        <w:rPr>
          <w:lang w:val="nl-NL"/>
        </w:rPr>
        <w:t xml:space="preserve"> en </w:t>
      </w:r>
      <w:r w:rsidR="00A0303D">
        <w:rPr>
          <w:lang w:val="nl-NL"/>
        </w:rPr>
        <w:t xml:space="preserve">Bijlage </w:t>
      </w:r>
      <w:r>
        <w:rPr>
          <w:lang w:val="nl-NL"/>
        </w:rPr>
        <w:t>B</w:t>
      </w:r>
      <w:r w:rsidR="00877D46">
        <w:rPr>
          <w:lang w:val="nl-NL"/>
        </w:rPr>
        <w:t xml:space="preserve"> (</w:t>
      </w:r>
      <w:r w:rsidR="0095464A">
        <w:rPr>
          <w:lang w:val="nl-NL"/>
        </w:rPr>
        <w:t xml:space="preserve">zie </w:t>
      </w:r>
      <w:r w:rsidR="00877D46">
        <w:rPr>
          <w:lang w:val="nl-NL"/>
        </w:rPr>
        <w:t>artikel 1, onderdeel A</w:t>
      </w:r>
      <w:r w:rsidR="0095464A">
        <w:rPr>
          <w:lang w:val="nl-NL"/>
        </w:rPr>
        <w:t>, van het Besluit</w:t>
      </w:r>
      <w:r w:rsidR="00877D46">
        <w:rPr>
          <w:lang w:val="nl-NL"/>
        </w:rPr>
        <w:t>)</w:t>
      </w:r>
      <w:r>
        <w:rPr>
          <w:lang w:val="nl-NL"/>
        </w:rPr>
        <w:t>. Op de belangrijkste wijzigingen wordt hieronder nader ingegaan.</w:t>
      </w:r>
      <w:r w:rsidRPr="00F628CB" w:rsidR="00F628CB">
        <w:rPr>
          <w:rFonts w:cs="Univers"/>
          <w:sz w:val="20"/>
          <w:szCs w:val="20"/>
          <w:lang w:val="nl-NL"/>
        </w:rPr>
        <w:t xml:space="preserve"> Daar waar in het onderstaande wordt gesproken van Nederland wordt gedoeld op het Europese deel van Nederland.</w:t>
      </w:r>
    </w:p>
    <w:p w:rsidRPr="00C5333E" w:rsidR="00256165" w:rsidP="00B007D4" w:rsidRDefault="004C2495">
      <w:pPr>
        <w:spacing w:line="360" w:lineRule="auto"/>
        <w:rPr>
          <w:b/>
          <w:u w:val="single"/>
          <w:lang w:val="nl-NL"/>
        </w:rPr>
      </w:pPr>
      <w:r w:rsidRPr="00C5333E">
        <w:rPr>
          <w:b/>
          <w:u w:val="single"/>
          <w:lang w:val="nl-NL"/>
        </w:rPr>
        <w:t>Het Protocol</w:t>
      </w:r>
    </w:p>
    <w:p w:rsidR="009A7D01" w:rsidP="00B007D4" w:rsidRDefault="009A7D01">
      <w:pPr>
        <w:spacing w:line="360" w:lineRule="auto"/>
        <w:rPr>
          <w:i/>
          <w:lang w:val="nl-NL"/>
        </w:rPr>
      </w:pPr>
      <w:r>
        <w:rPr>
          <w:i/>
          <w:lang w:val="nl-NL"/>
        </w:rPr>
        <w:t>Reductiepercentages voor de tweede verplichtingenperiode</w:t>
      </w:r>
      <w:r w:rsidR="00AC7151">
        <w:rPr>
          <w:i/>
          <w:lang w:val="nl-NL"/>
        </w:rPr>
        <w:t xml:space="preserve"> </w:t>
      </w:r>
      <w:r>
        <w:rPr>
          <w:i/>
          <w:lang w:val="nl-NL"/>
        </w:rPr>
        <w:t>(</w:t>
      </w:r>
      <w:r w:rsidR="00877D46">
        <w:rPr>
          <w:i/>
          <w:lang w:val="nl-NL"/>
        </w:rPr>
        <w:t xml:space="preserve">toevoeging lid 1 bis aan </w:t>
      </w:r>
      <w:r>
        <w:rPr>
          <w:i/>
          <w:lang w:val="nl-NL"/>
        </w:rPr>
        <w:t>artikel 3)</w:t>
      </w:r>
      <w:r>
        <w:rPr>
          <w:i/>
          <w:lang w:val="nl-NL"/>
        </w:rPr>
        <w:br/>
      </w:r>
      <w:r>
        <w:rPr>
          <w:lang w:val="nl-NL"/>
        </w:rPr>
        <w:t>In d</w:t>
      </w:r>
      <w:r w:rsidRPr="00FB4779" w:rsidR="00FB4779">
        <w:rPr>
          <w:lang w:val="nl-NL"/>
        </w:rPr>
        <w:t>eze bepaling</w:t>
      </w:r>
      <w:r>
        <w:rPr>
          <w:lang w:val="nl-NL"/>
        </w:rPr>
        <w:t xml:space="preserve">, die wordt toegevoegd aan </w:t>
      </w:r>
      <w:r w:rsidR="0095464A">
        <w:rPr>
          <w:lang w:val="nl-NL"/>
        </w:rPr>
        <w:t xml:space="preserve">het eerste </w:t>
      </w:r>
      <w:r w:rsidR="007C4798">
        <w:rPr>
          <w:lang w:val="nl-NL"/>
        </w:rPr>
        <w:t>lid</w:t>
      </w:r>
      <w:r>
        <w:rPr>
          <w:lang w:val="nl-NL"/>
        </w:rPr>
        <w:t xml:space="preserve"> </w:t>
      </w:r>
      <w:r w:rsidR="00A8498A">
        <w:rPr>
          <w:lang w:val="nl-NL"/>
        </w:rPr>
        <w:t>van artikel 3</w:t>
      </w:r>
      <w:r>
        <w:rPr>
          <w:lang w:val="nl-NL"/>
        </w:rPr>
        <w:t xml:space="preserve">, worden, in combinatie met </w:t>
      </w:r>
      <w:r w:rsidR="00884787">
        <w:rPr>
          <w:lang w:val="nl-NL"/>
        </w:rPr>
        <w:t xml:space="preserve">de derde kolom in </w:t>
      </w:r>
      <w:r>
        <w:rPr>
          <w:lang w:val="nl-NL"/>
        </w:rPr>
        <w:t xml:space="preserve">Bijlage B, de vastgestelde reductiepercentages aangegeven voor de tweede verplichtingenperiode. </w:t>
      </w:r>
      <w:r w:rsidR="0095464A">
        <w:rPr>
          <w:lang w:val="nl-NL"/>
        </w:rPr>
        <w:t>Het eerste l</w:t>
      </w:r>
      <w:r w:rsidR="007C4798">
        <w:rPr>
          <w:lang w:val="nl-NL"/>
        </w:rPr>
        <w:t>id</w:t>
      </w:r>
      <w:r>
        <w:rPr>
          <w:lang w:val="nl-NL"/>
        </w:rPr>
        <w:t xml:space="preserve"> zag alleen op de eerste verplichtingenperiode.</w:t>
      </w:r>
      <w:r w:rsidR="000A1875">
        <w:rPr>
          <w:lang w:val="nl-NL"/>
        </w:rPr>
        <w:t xml:space="preserve"> Gemiddeld zullen de emissies van alle in Bijlage I </w:t>
      </w:r>
      <w:r w:rsidR="0095464A">
        <w:rPr>
          <w:lang w:val="nl-NL"/>
        </w:rPr>
        <w:t xml:space="preserve">bij het Verdrag </w:t>
      </w:r>
      <w:r w:rsidR="0029255B">
        <w:rPr>
          <w:lang w:val="nl-NL"/>
        </w:rPr>
        <w:t>opgenomen</w:t>
      </w:r>
      <w:r w:rsidR="000A1875">
        <w:rPr>
          <w:lang w:val="nl-NL"/>
        </w:rPr>
        <w:t xml:space="preserve"> partijen</w:t>
      </w:r>
      <w:r w:rsidR="0029255B">
        <w:rPr>
          <w:lang w:val="nl-NL"/>
        </w:rPr>
        <w:t xml:space="preserve"> gezamenlijk met 18% moeten worden gereduceerd ten opzichte van 1990.</w:t>
      </w:r>
    </w:p>
    <w:p w:rsidRPr="00C561BE" w:rsidR="00823966" w:rsidP="00B007D4" w:rsidRDefault="006A245C">
      <w:pPr>
        <w:spacing w:line="360" w:lineRule="auto"/>
        <w:rPr>
          <w:lang w:val="nl-NL"/>
        </w:rPr>
      </w:pPr>
      <w:r>
        <w:rPr>
          <w:i/>
          <w:lang w:val="nl-NL"/>
        </w:rPr>
        <w:t xml:space="preserve">Tussentijdse </w:t>
      </w:r>
      <w:r w:rsidR="00963A7B">
        <w:rPr>
          <w:i/>
          <w:lang w:val="nl-NL"/>
        </w:rPr>
        <w:t>verlaging van het reductiepercentage/</w:t>
      </w:r>
      <w:r>
        <w:rPr>
          <w:i/>
          <w:lang w:val="nl-NL"/>
        </w:rPr>
        <w:t xml:space="preserve">verhoging van de ambitie </w:t>
      </w:r>
      <w:r w:rsidR="007C4798">
        <w:rPr>
          <w:i/>
          <w:lang w:val="nl-NL"/>
        </w:rPr>
        <w:t>(</w:t>
      </w:r>
      <w:r w:rsidR="00877D46">
        <w:rPr>
          <w:i/>
          <w:lang w:val="nl-NL"/>
        </w:rPr>
        <w:t xml:space="preserve">toevoeging lid 1 ter aan </w:t>
      </w:r>
      <w:r w:rsidR="007C4798">
        <w:rPr>
          <w:i/>
          <w:lang w:val="nl-NL"/>
        </w:rPr>
        <w:t>artikel 3)</w:t>
      </w:r>
      <w:r w:rsidR="00823966">
        <w:rPr>
          <w:i/>
          <w:lang w:val="nl-NL"/>
        </w:rPr>
        <w:br/>
      </w:r>
      <w:r w:rsidR="0095464A">
        <w:rPr>
          <w:lang w:val="nl-NL"/>
        </w:rPr>
        <w:t xml:space="preserve">Lid 1 ter betreft </w:t>
      </w:r>
      <w:r w:rsidR="00823966">
        <w:rPr>
          <w:lang w:val="nl-NL"/>
        </w:rPr>
        <w:t xml:space="preserve">een nieuwe bepaling </w:t>
      </w:r>
      <w:r w:rsidR="00DB3BE0">
        <w:rPr>
          <w:lang w:val="nl-NL"/>
        </w:rPr>
        <w:t>na</w:t>
      </w:r>
      <w:r w:rsidR="00823966">
        <w:rPr>
          <w:lang w:val="nl-NL"/>
        </w:rPr>
        <w:t xml:space="preserve"> artikel </w:t>
      </w:r>
      <w:r w:rsidR="00DB3BE0">
        <w:rPr>
          <w:lang w:val="nl-NL"/>
        </w:rPr>
        <w:t>3</w:t>
      </w:r>
      <w:r w:rsidR="00823966">
        <w:rPr>
          <w:lang w:val="nl-NL"/>
        </w:rPr>
        <w:t xml:space="preserve">, </w:t>
      </w:r>
      <w:r w:rsidR="00B81FFA">
        <w:rPr>
          <w:lang w:val="nl-NL"/>
        </w:rPr>
        <w:t>lid 1</w:t>
      </w:r>
      <w:r w:rsidR="00823966">
        <w:rPr>
          <w:lang w:val="nl-NL"/>
        </w:rPr>
        <w:t xml:space="preserve"> bis. D</w:t>
      </w:r>
      <w:r w:rsidR="0095464A">
        <w:rPr>
          <w:lang w:val="nl-NL"/>
        </w:rPr>
        <w:t xml:space="preserve">it </w:t>
      </w:r>
      <w:r w:rsidR="00823966">
        <w:rPr>
          <w:lang w:val="nl-NL"/>
        </w:rPr>
        <w:t xml:space="preserve">nieuwe </w:t>
      </w:r>
      <w:r w:rsidR="0095464A">
        <w:rPr>
          <w:lang w:val="nl-NL"/>
        </w:rPr>
        <w:t xml:space="preserve">lid </w:t>
      </w:r>
      <w:r w:rsidR="00823966">
        <w:rPr>
          <w:lang w:val="nl-NL"/>
        </w:rPr>
        <w:t>maakt het mogelijk voor een partij die in Bijlage B is opgenomen om een voorstel in te dienen om zijn percentage in de derde kolom van Bijlage B te verlagen</w:t>
      </w:r>
      <w:r w:rsidR="007C63A6">
        <w:rPr>
          <w:lang w:val="nl-NL"/>
        </w:rPr>
        <w:t xml:space="preserve">, en daarmee de ambitie </w:t>
      </w:r>
      <w:r w:rsidR="00DB3BE0">
        <w:rPr>
          <w:lang w:val="nl-NL"/>
        </w:rPr>
        <w:t xml:space="preserve">te </w:t>
      </w:r>
      <w:r w:rsidR="007C63A6">
        <w:rPr>
          <w:lang w:val="nl-NL"/>
        </w:rPr>
        <w:t>verhogen (want een verlaging van het percentage van 80% naar 70% bijvoorbeeld, betekent een verhoging van de ambitie doordat er meer gereduceerd moet worden (van 20% naar 30%)</w:t>
      </w:r>
      <w:r w:rsidR="00823966">
        <w:rPr>
          <w:lang w:val="nl-NL"/>
        </w:rPr>
        <w:t xml:space="preserve">. Een dergelijk voorstel kan worden aangenomen </w:t>
      </w:r>
      <w:r w:rsidR="00823966">
        <w:rPr>
          <w:lang w:val="nl-NL"/>
        </w:rPr>
        <w:lastRenderedPageBreak/>
        <w:t xml:space="preserve">tijdens een Conferentie van Partijen. </w:t>
      </w:r>
      <w:r w:rsidR="00B81FFA">
        <w:rPr>
          <w:lang w:val="nl-NL"/>
        </w:rPr>
        <w:br/>
      </w:r>
      <w:r w:rsidR="00363874">
        <w:rPr>
          <w:lang w:val="nl-NL"/>
        </w:rPr>
        <w:t xml:space="preserve">Het nieuwe artikel 3, lid 1, quater (zie hieronder) heeft een versnelde procedure </w:t>
      </w:r>
      <w:r w:rsidR="00B81FFA">
        <w:rPr>
          <w:lang w:val="nl-NL"/>
        </w:rPr>
        <w:t>voor aanvaarding van een dergelijke tussentijdse verlaging van het percentage in</w:t>
      </w:r>
      <w:r w:rsidR="00363874">
        <w:rPr>
          <w:lang w:val="nl-NL"/>
        </w:rPr>
        <w:t xml:space="preserve"> het leven geroepen.</w:t>
      </w:r>
      <w:r w:rsidR="00B81FFA">
        <w:rPr>
          <w:lang w:val="nl-NL"/>
        </w:rPr>
        <w:t xml:space="preserve"> </w:t>
      </w:r>
    </w:p>
    <w:p w:rsidRPr="006944B5" w:rsidR="000A38B2" w:rsidP="00B007D4" w:rsidRDefault="007F676C">
      <w:pPr>
        <w:spacing w:line="360" w:lineRule="auto"/>
        <w:rPr>
          <w:lang w:val="nl-NL"/>
        </w:rPr>
      </w:pPr>
      <w:r w:rsidRPr="0005434A">
        <w:rPr>
          <w:i/>
          <w:lang w:val="nl-NL"/>
        </w:rPr>
        <w:t>Ambitiemechanisme (</w:t>
      </w:r>
      <w:r w:rsidR="0095464A">
        <w:rPr>
          <w:i/>
          <w:lang w:val="nl-NL"/>
        </w:rPr>
        <w:t xml:space="preserve">toevoeging lid 1 quater aan </w:t>
      </w:r>
      <w:r w:rsidRPr="0005434A">
        <w:rPr>
          <w:i/>
          <w:lang w:val="nl-NL"/>
        </w:rPr>
        <w:t>artikel 3)</w:t>
      </w:r>
      <w:r w:rsidRPr="0005434A">
        <w:rPr>
          <w:i/>
          <w:lang w:val="nl-NL"/>
        </w:rPr>
        <w:br/>
      </w:r>
      <w:r>
        <w:rPr>
          <w:lang w:val="nl-NL"/>
        </w:rPr>
        <w:t xml:space="preserve">Artikel 3, eerste lid, van het Protocol bevat de reductieverplichting voor partijen opgenomen in </w:t>
      </w:r>
      <w:r w:rsidR="00D6503F">
        <w:rPr>
          <w:lang w:val="nl-NL"/>
        </w:rPr>
        <w:t xml:space="preserve">Bijlage </w:t>
      </w:r>
      <w:r>
        <w:rPr>
          <w:lang w:val="nl-NL"/>
        </w:rPr>
        <w:t xml:space="preserve">I, waaronder Nederland en de EU. Deze partijen verplichten zich tot het verminderen van emissies van de in </w:t>
      </w:r>
      <w:r w:rsidR="00D6503F">
        <w:rPr>
          <w:lang w:val="nl-NL"/>
        </w:rPr>
        <w:t xml:space="preserve">Bijlage </w:t>
      </w:r>
      <w:r>
        <w:rPr>
          <w:lang w:val="nl-NL"/>
        </w:rPr>
        <w:t xml:space="preserve">A genoemde broeikasgassen gezamenlijk, met de percentages genoemd in </w:t>
      </w:r>
      <w:r w:rsidR="00D6503F">
        <w:rPr>
          <w:lang w:val="nl-NL"/>
        </w:rPr>
        <w:t xml:space="preserve">Bijlage </w:t>
      </w:r>
      <w:r>
        <w:rPr>
          <w:lang w:val="nl-NL"/>
        </w:rPr>
        <w:t xml:space="preserve">B. </w:t>
      </w:r>
      <w:r>
        <w:rPr>
          <w:lang w:val="nl-NL"/>
        </w:rPr>
        <w:br/>
        <w:t>Het nieuwe onderdeel quater van het eerste lid voorziet in een vereenvoudigde procedure waardoor een partij haar verplichtingen kan aanpassen en haar ambitie tussentijds –tijdens een verplichtingenperiode- kan ophogen. Onder het Protocol is dat –</w:t>
      </w:r>
      <w:r w:rsidR="00441FDF">
        <w:rPr>
          <w:lang w:val="nl-NL"/>
        </w:rPr>
        <w:t xml:space="preserve"> </w:t>
      </w:r>
      <w:r>
        <w:rPr>
          <w:lang w:val="nl-NL"/>
        </w:rPr>
        <w:t>nu nog</w:t>
      </w:r>
      <w:r w:rsidR="00441FDF">
        <w:rPr>
          <w:lang w:val="nl-NL"/>
        </w:rPr>
        <w:t xml:space="preserve"> </w:t>
      </w:r>
      <w:r>
        <w:rPr>
          <w:lang w:val="nl-NL"/>
        </w:rPr>
        <w:t xml:space="preserve">- slechts mogelijk via een aanpassing van </w:t>
      </w:r>
      <w:r w:rsidR="00D6503F">
        <w:rPr>
          <w:lang w:val="nl-NL"/>
        </w:rPr>
        <w:t xml:space="preserve">Bijlage </w:t>
      </w:r>
      <w:r>
        <w:rPr>
          <w:lang w:val="nl-NL"/>
        </w:rPr>
        <w:t>B, die volgens de procedure van artikel 20 en artikel 21 tot stand kan komen en in werking kan treden</w:t>
      </w:r>
      <w:r w:rsidR="00D6503F">
        <w:rPr>
          <w:lang w:val="nl-NL"/>
        </w:rPr>
        <w:t>. D</w:t>
      </w:r>
      <w:r>
        <w:rPr>
          <w:lang w:val="nl-NL"/>
        </w:rPr>
        <w:t xml:space="preserve">at wil zeggen dat alle partijen bij het Protocol de wijziging bij consensus moeten aannemen en dat vervolgens drie vierde van die partijen de wijziging moeten bekrachtigen voor </w:t>
      </w:r>
      <w:r w:rsidR="00DB3BE0">
        <w:rPr>
          <w:lang w:val="nl-NL"/>
        </w:rPr>
        <w:t xml:space="preserve">de wijziging </w:t>
      </w:r>
      <w:r>
        <w:rPr>
          <w:lang w:val="nl-NL"/>
        </w:rPr>
        <w:t>in</w:t>
      </w:r>
      <w:r w:rsidR="00DB3BE0">
        <w:rPr>
          <w:lang w:val="nl-NL"/>
        </w:rPr>
        <w:t xml:space="preserve"> </w:t>
      </w:r>
      <w:r>
        <w:rPr>
          <w:lang w:val="nl-NL"/>
        </w:rPr>
        <w:t>werking</w:t>
      </w:r>
      <w:r w:rsidR="00DB3BE0">
        <w:rPr>
          <w:lang w:val="nl-NL"/>
        </w:rPr>
        <w:t xml:space="preserve"> kan </w:t>
      </w:r>
      <w:r>
        <w:rPr>
          <w:lang w:val="nl-NL"/>
        </w:rPr>
        <w:t>tred</w:t>
      </w:r>
      <w:r w:rsidR="00DB3BE0">
        <w:rPr>
          <w:lang w:val="nl-NL"/>
        </w:rPr>
        <w:t>en</w:t>
      </w:r>
      <w:r>
        <w:rPr>
          <w:lang w:val="nl-NL"/>
        </w:rPr>
        <w:t xml:space="preserve">. </w:t>
      </w:r>
      <w:r w:rsidR="00E430ED">
        <w:rPr>
          <w:lang w:val="nl-NL"/>
        </w:rPr>
        <w:t>Met</w:t>
      </w:r>
      <w:r>
        <w:rPr>
          <w:lang w:val="nl-NL"/>
        </w:rPr>
        <w:t xml:space="preserve"> de wijziging is de procedure om de ambitie te verhogen aanzienlijk vereenvoudigd. Een voorstel van een partij tot verhoging van haar eigen ambitie wordt geacht te zijn aangenomen </w:t>
      </w:r>
      <w:r w:rsidR="00DB3BE0">
        <w:rPr>
          <w:lang w:val="nl-NL"/>
        </w:rPr>
        <w:t xml:space="preserve">door de </w:t>
      </w:r>
      <w:r w:rsidR="00256165">
        <w:rPr>
          <w:lang w:val="nl-NL"/>
        </w:rPr>
        <w:t>C</w:t>
      </w:r>
      <w:r w:rsidR="00DB3BE0">
        <w:rPr>
          <w:lang w:val="nl-NL"/>
        </w:rPr>
        <w:t xml:space="preserve">onferentie van </w:t>
      </w:r>
      <w:r w:rsidR="00256165">
        <w:rPr>
          <w:lang w:val="nl-NL"/>
        </w:rPr>
        <w:t xml:space="preserve">Partijen </w:t>
      </w:r>
      <w:r>
        <w:rPr>
          <w:lang w:val="nl-NL"/>
        </w:rPr>
        <w:t xml:space="preserve">behoudens bezwaar van drie vierde van de partijen. </w:t>
      </w:r>
      <w:r w:rsidR="00DB3BE0">
        <w:rPr>
          <w:lang w:val="nl-NL"/>
        </w:rPr>
        <w:t>Dat besluit van de conferentie is bindend voor alle partijen</w:t>
      </w:r>
      <w:r w:rsidRPr="00A346B1">
        <w:rPr>
          <w:lang w:val="nl-NL"/>
        </w:rPr>
        <w:t>.</w:t>
      </w:r>
      <w:r>
        <w:rPr>
          <w:lang w:val="nl-NL"/>
        </w:rPr>
        <w:t xml:space="preserve"> </w:t>
      </w:r>
      <w:r w:rsidR="000A38B2">
        <w:rPr>
          <w:lang w:val="nl-NL"/>
        </w:rPr>
        <w:br/>
      </w:r>
      <w:r w:rsidR="00FB0017">
        <w:rPr>
          <w:lang w:val="nl-NL"/>
        </w:rPr>
        <w:t xml:space="preserve">Onder het huidige regime van het Kyoto Protocol </w:t>
      </w:r>
      <w:r w:rsidR="00AD28A1">
        <w:rPr>
          <w:lang w:val="nl-NL"/>
        </w:rPr>
        <w:t>komen</w:t>
      </w:r>
      <w:r w:rsidR="000A38B2">
        <w:rPr>
          <w:lang w:val="nl-NL"/>
        </w:rPr>
        <w:t xml:space="preserve"> wijzigingen van de Bijlagen </w:t>
      </w:r>
      <w:r w:rsidR="00AD28A1">
        <w:rPr>
          <w:lang w:val="nl-NL"/>
        </w:rPr>
        <w:t xml:space="preserve">tot stand middels een verdrag voor welk verdrag </w:t>
      </w:r>
      <w:r w:rsidR="000A38B2">
        <w:rPr>
          <w:lang w:val="nl-NL"/>
        </w:rPr>
        <w:t>parlementaire goedkeuring nodig</w:t>
      </w:r>
      <w:r w:rsidR="00B657CA">
        <w:rPr>
          <w:lang w:val="nl-NL"/>
        </w:rPr>
        <w:t xml:space="preserve"> </w:t>
      </w:r>
      <w:r w:rsidR="00AD28A1">
        <w:rPr>
          <w:lang w:val="nl-NL"/>
        </w:rPr>
        <w:t xml:space="preserve">is. </w:t>
      </w:r>
      <w:r w:rsidR="00A948B9">
        <w:rPr>
          <w:lang w:val="nl-NL"/>
        </w:rPr>
        <w:t>H</w:t>
      </w:r>
      <w:r w:rsidR="00B657CA">
        <w:rPr>
          <w:lang w:val="nl-NL"/>
        </w:rPr>
        <w:t xml:space="preserve">et </w:t>
      </w:r>
      <w:r w:rsidR="000A38B2">
        <w:rPr>
          <w:lang w:val="nl-NL"/>
        </w:rPr>
        <w:t>nieuwe artikel 3, lid 1, quater</w:t>
      </w:r>
      <w:r w:rsidR="00B657CA">
        <w:rPr>
          <w:lang w:val="nl-NL"/>
        </w:rPr>
        <w:t xml:space="preserve"> </w:t>
      </w:r>
      <w:r w:rsidR="00A948B9">
        <w:rPr>
          <w:lang w:val="nl-NL"/>
        </w:rPr>
        <w:t xml:space="preserve">maakt daarop dus een uitzondering: de bevoegdheid om </w:t>
      </w:r>
      <w:r w:rsidR="00D6503F">
        <w:rPr>
          <w:lang w:val="nl-NL"/>
        </w:rPr>
        <w:t xml:space="preserve">Bijlage </w:t>
      </w:r>
      <w:r w:rsidR="00A948B9">
        <w:rPr>
          <w:lang w:val="nl-NL"/>
        </w:rPr>
        <w:t>B aan te passen conform artikel 3, lid</w:t>
      </w:r>
      <w:r w:rsidR="006944B5">
        <w:rPr>
          <w:lang w:val="nl-NL"/>
        </w:rPr>
        <w:t> </w:t>
      </w:r>
      <w:r w:rsidR="00A948B9">
        <w:rPr>
          <w:lang w:val="nl-NL"/>
        </w:rPr>
        <w:t xml:space="preserve">1, ter komt bij de </w:t>
      </w:r>
      <w:r w:rsidR="00256165">
        <w:rPr>
          <w:lang w:val="nl-NL"/>
        </w:rPr>
        <w:t xml:space="preserve">Conferentie </w:t>
      </w:r>
      <w:r w:rsidR="00A948B9">
        <w:rPr>
          <w:lang w:val="nl-NL"/>
        </w:rPr>
        <w:t xml:space="preserve">van </w:t>
      </w:r>
      <w:r w:rsidR="00256165">
        <w:rPr>
          <w:lang w:val="nl-NL"/>
        </w:rPr>
        <w:t xml:space="preserve">Partijen </w:t>
      </w:r>
      <w:r w:rsidR="00A948B9">
        <w:rPr>
          <w:lang w:val="nl-NL"/>
        </w:rPr>
        <w:t>te liggen die daartoe kan besluiten</w:t>
      </w:r>
      <w:r w:rsidR="00B657CA">
        <w:rPr>
          <w:lang w:val="nl-NL"/>
        </w:rPr>
        <w:t>.</w:t>
      </w:r>
      <w:r w:rsidR="000A38B2">
        <w:rPr>
          <w:lang w:val="nl-NL"/>
        </w:rPr>
        <w:t xml:space="preserve"> </w:t>
      </w:r>
      <w:r w:rsidR="00AD28A1">
        <w:rPr>
          <w:lang w:val="nl-NL"/>
        </w:rPr>
        <w:t>O</w:t>
      </w:r>
      <w:r w:rsidR="000A38B2">
        <w:rPr>
          <w:lang w:val="nl-NL"/>
        </w:rPr>
        <w:t xml:space="preserve">mdat </w:t>
      </w:r>
      <w:r w:rsidR="00AC26EC">
        <w:rPr>
          <w:lang w:val="nl-NL"/>
        </w:rPr>
        <w:t xml:space="preserve">in de tweede verplichtingenperiode </w:t>
      </w:r>
      <w:r w:rsidR="000A38B2">
        <w:rPr>
          <w:lang w:val="nl-NL"/>
        </w:rPr>
        <w:t xml:space="preserve">Nederland samen met de EU (en IJsland) </w:t>
      </w:r>
      <w:r w:rsidR="00AC26EC">
        <w:rPr>
          <w:lang w:val="nl-NL"/>
        </w:rPr>
        <w:t xml:space="preserve">reeds </w:t>
      </w:r>
      <w:r w:rsidR="000A38B2">
        <w:rPr>
          <w:lang w:val="nl-NL"/>
        </w:rPr>
        <w:t xml:space="preserve">aan de verplichtingen </w:t>
      </w:r>
      <w:r w:rsidR="00FB0017">
        <w:rPr>
          <w:lang w:val="nl-NL"/>
        </w:rPr>
        <w:t xml:space="preserve">uit het Protocol </w:t>
      </w:r>
      <w:r w:rsidR="000A38B2">
        <w:rPr>
          <w:lang w:val="nl-NL"/>
        </w:rPr>
        <w:t>voldoet</w:t>
      </w:r>
      <w:r w:rsidR="00AD28A1">
        <w:rPr>
          <w:lang w:val="nl-NL"/>
        </w:rPr>
        <w:t>,</w:t>
      </w:r>
      <w:r w:rsidR="000A38B2">
        <w:rPr>
          <w:lang w:val="nl-NL"/>
        </w:rPr>
        <w:t xml:space="preserve"> </w:t>
      </w:r>
      <w:r w:rsidR="00AD28A1">
        <w:rPr>
          <w:lang w:val="nl-NL"/>
        </w:rPr>
        <w:t>zie</w:t>
      </w:r>
      <w:r w:rsidR="0095464A">
        <w:rPr>
          <w:lang w:val="nl-NL"/>
        </w:rPr>
        <w:t xml:space="preserve"> </w:t>
      </w:r>
      <w:r w:rsidR="000A38B2">
        <w:rPr>
          <w:lang w:val="nl-NL"/>
        </w:rPr>
        <w:t>het algemen</w:t>
      </w:r>
      <w:r w:rsidR="00AD28A1">
        <w:rPr>
          <w:lang w:val="nl-NL"/>
        </w:rPr>
        <w:t>e</w:t>
      </w:r>
      <w:r w:rsidR="000A38B2">
        <w:rPr>
          <w:lang w:val="nl-NL"/>
        </w:rPr>
        <w:t xml:space="preserve"> deel van deze toelichting </w:t>
      </w:r>
      <w:r w:rsidR="00AD28A1">
        <w:rPr>
          <w:lang w:val="nl-NL"/>
        </w:rPr>
        <w:t>waar wordt verwezen naar de betreffende EU-regelgeving, zal</w:t>
      </w:r>
      <w:r w:rsidR="000A38B2">
        <w:rPr>
          <w:lang w:val="nl-NL"/>
        </w:rPr>
        <w:t xml:space="preserve"> </w:t>
      </w:r>
      <w:r w:rsidR="00A948B9">
        <w:rPr>
          <w:lang w:val="nl-NL"/>
        </w:rPr>
        <w:t xml:space="preserve">Nederland niet zelfstandig zo’n voorstel </w:t>
      </w:r>
      <w:r w:rsidR="00D74203">
        <w:rPr>
          <w:lang w:val="nl-NL"/>
        </w:rPr>
        <w:t xml:space="preserve">kunnen </w:t>
      </w:r>
      <w:r w:rsidR="00A948B9">
        <w:rPr>
          <w:lang w:val="nl-NL"/>
        </w:rPr>
        <w:t xml:space="preserve">doen conform </w:t>
      </w:r>
      <w:r w:rsidR="0095464A">
        <w:rPr>
          <w:lang w:val="nl-NL"/>
        </w:rPr>
        <w:t xml:space="preserve">de nieuwe bepaling, lid 1 ter, die aan </w:t>
      </w:r>
      <w:r w:rsidR="00A948B9">
        <w:rPr>
          <w:lang w:val="nl-NL"/>
        </w:rPr>
        <w:t>artikel 3</w:t>
      </w:r>
      <w:r w:rsidR="0095464A">
        <w:rPr>
          <w:lang w:val="nl-NL"/>
        </w:rPr>
        <w:t xml:space="preserve"> wordt toegevoegd</w:t>
      </w:r>
      <w:r w:rsidR="00A948B9">
        <w:rPr>
          <w:lang w:val="nl-NL"/>
        </w:rPr>
        <w:t xml:space="preserve">. </w:t>
      </w:r>
      <w:r w:rsidR="000A38B2">
        <w:rPr>
          <w:lang w:val="nl-NL"/>
        </w:rPr>
        <w:t xml:space="preserve">Een eventuele verhoging van de ambitie </w:t>
      </w:r>
      <w:r w:rsidR="00D74203">
        <w:rPr>
          <w:lang w:val="nl-NL"/>
        </w:rPr>
        <w:t xml:space="preserve">is een collectieve EU-aangelegenheid; er bestaat immers </w:t>
      </w:r>
      <w:r w:rsidR="00374363">
        <w:rPr>
          <w:lang w:val="nl-NL"/>
        </w:rPr>
        <w:t xml:space="preserve">onder het Kyoto Protocol </w:t>
      </w:r>
      <w:r w:rsidR="00D74203">
        <w:rPr>
          <w:lang w:val="nl-NL"/>
        </w:rPr>
        <w:t xml:space="preserve">alleen een collectieve </w:t>
      </w:r>
      <w:r w:rsidR="00374363">
        <w:rPr>
          <w:lang w:val="nl-NL"/>
        </w:rPr>
        <w:t>EU-</w:t>
      </w:r>
      <w:r w:rsidR="00D74203">
        <w:rPr>
          <w:lang w:val="nl-NL"/>
        </w:rPr>
        <w:t>doelstelling en geen gedifferentieerde naar lidstaat. Een verhoging van d</w:t>
      </w:r>
      <w:r w:rsidR="00B906DE">
        <w:rPr>
          <w:lang w:val="nl-NL"/>
        </w:rPr>
        <w:t>i</w:t>
      </w:r>
      <w:r w:rsidR="00D74203">
        <w:rPr>
          <w:lang w:val="nl-NL"/>
        </w:rPr>
        <w:t xml:space="preserve">e collectieve ambitie </w:t>
      </w:r>
      <w:r w:rsidR="000A38B2">
        <w:rPr>
          <w:lang w:val="nl-NL"/>
        </w:rPr>
        <w:t xml:space="preserve">zal in </w:t>
      </w:r>
      <w:r w:rsidR="00CE37D4">
        <w:rPr>
          <w:lang w:val="nl-NL"/>
        </w:rPr>
        <w:t xml:space="preserve">de </w:t>
      </w:r>
      <w:r w:rsidR="000A38B2">
        <w:rPr>
          <w:lang w:val="nl-NL"/>
        </w:rPr>
        <w:t xml:space="preserve">Europese context worden besproken en </w:t>
      </w:r>
      <w:r w:rsidR="00A948B9">
        <w:rPr>
          <w:lang w:val="nl-NL"/>
        </w:rPr>
        <w:t xml:space="preserve">daartoe zal in Europees verband worden </w:t>
      </w:r>
      <w:r w:rsidR="000A38B2">
        <w:rPr>
          <w:lang w:val="nl-NL"/>
        </w:rPr>
        <w:t>besloten</w:t>
      </w:r>
      <w:r w:rsidR="00B657CA">
        <w:rPr>
          <w:lang w:val="nl-NL"/>
        </w:rPr>
        <w:t>, waarbij he</w:t>
      </w:r>
      <w:r w:rsidR="00AD00BE">
        <w:rPr>
          <w:lang w:val="nl-NL"/>
        </w:rPr>
        <w:t xml:space="preserve">t </w:t>
      </w:r>
      <w:r w:rsidR="00CE37D4">
        <w:rPr>
          <w:lang w:val="nl-NL"/>
        </w:rPr>
        <w:t>nationale p</w:t>
      </w:r>
      <w:r w:rsidR="00AD00BE">
        <w:rPr>
          <w:lang w:val="nl-NL"/>
        </w:rPr>
        <w:t xml:space="preserve">arlement </w:t>
      </w:r>
      <w:r w:rsidR="00FD754A">
        <w:rPr>
          <w:lang w:val="nl-NL"/>
        </w:rPr>
        <w:t xml:space="preserve">via de reguliere wijze bij de Europese besluitvorming </w:t>
      </w:r>
      <w:r w:rsidR="00605A1A">
        <w:rPr>
          <w:lang w:val="nl-NL"/>
        </w:rPr>
        <w:t xml:space="preserve">wordt </w:t>
      </w:r>
      <w:r w:rsidR="00AD00BE">
        <w:rPr>
          <w:lang w:val="nl-NL"/>
        </w:rPr>
        <w:t>betrokken</w:t>
      </w:r>
      <w:r w:rsidR="00B906DE">
        <w:rPr>
          <w:lang w:val="nl-NL"/>
        </w:rPr>
        <w:t>.</w:t>
      </w:r>
      <w:r w:rsidR="006010EA">
        <w:rPr>
          <w:lang w:val="nl-NL"/>
        </w:rPr>
        <w:t xml:space="preserve"> </w:t>
      </w:r>
      <w:r w:rsidR="00D74203">
        <w:rPr>
          <w:lang w:val="nl-NL"/>
        </w:rPr>
        <w:br/>
      </w:r>
      <w:r w:rsidR="006010EA">
        <w:rPr>
          <w:lang w:val="nl-NL"/>
        </w:rPr>
        <w:t xml:space="preserve">Nederland kan wel </w:t>
      </w:r>
      <w:r w:rsidR="007429E7">
        <w:rPr>
          <w:lang w:val="nl-NL"/>
        </w:rPr>
        <w:t>besluiten</w:t>
      </w:r>
      <w:r w:rsidR="006010EA">
        <w:rPr>
          <w:lang w:val="nl-NL"/>
        </w:rPr>
        <w:t xml:space="preserve"> </w:t>
      </w:r>
      <w:r w:rsidR="00B95F5D">
        <w:rPr>
          <w:lang w:val="nl-NL"/>
        </w:rPr>
        <w:t xml:space="preserve">feitelijk </w:t>
      </w:r>
      <w:r w:rsidR="006010EA">
        <w:rPr>
          <w:lang w:val="nl-NL"/>
        </w:rPr>
        <w:t xml:space="preserve">zijn </w:t>
      </w:r>
      <w:r w:rsidR="00D74203">
        <w:rPr>
          <w:lang w:val="nl-NL"/>
        </w:rPr>
        <w:t xml:space="preserve">individuele </w:t>
      </w:r>
      <w:r w:rsidR="006010EA">
        <w:rPr>
          <w:lang w:val="nl-NL"/>
        </w:rPr>
        <w:t xml:space="preserve">ambitie te verhogen door </w:t>
      </w:r>
      <w:r w:rsidR="00FF26EA">
        <w:rPr>
          <w:lang w:val="nl-NL"/>
        </w:rPr>
        <w:t xml:space="preserve">toegewezen </w:t>
      </w:r>
      <w:r w:rsidR="006010EA">
        <w:rPr>
          <w:lang w:val="nl-NL"/>
        </w:rPr>
        <w:t xml:space="preserve">eenheden </w:t>
      </w:r>
      <w:r w:rsidR="00EA6B89">
        <w:rPr>
          <w:lang w:val="nl-NL"/>
        </w:rPr>
        <w:t xml:space="preserve">of rechten </w:t>
      </w:r>
      <w:r w:rsidR="006010EA">
        <w:rPr>
          <w:lang w:val="nl-NL"/>
        </w:rPr>
        <w:t>te annuleren.</w:t>
      </w:r>
      <w:r w:rsidR="00D74203">
        <w:rPr>
          <w:lang w:val="nl-NL"/>
        </w:rPr>
        <w:t xml:space="preserve"> Dit is </w:t>
      </w:r>
      <w:r w:rsidR="00B95F5D">
        <w:rPr>
          <w:lang w:val="nl-NL"/>
        </w:rPr>
        <w:t xml:space="preserve">geen juridische verhoging van het afgesproken doel, maar </w:t>
      </w:r>
      <w:r w:rsidR="00D74203">
        <w:rPr>
          <w:lang w:val="nl-NL"/>
        </w:rPr>
        <w:t xml:space="preserve">een administratieve handeling door het schrappen </w:t>
      </w:r>
      <w:r w:rsidR="00D6503F">
        <w:rPr>
          <w:lang w:val="nl-NL"/>
        </w:rPr>
        <w:t xml:space="preserve">van </w:t>
      </w:r>
      <w:r w:rsidR="00D74203">
        <w:rPr>
          <w:lang w:val="nl-NL"/>
        </w:rPr>
        <w:t>toegewezen eenheden in het nationale register</w:t>
      </w:r>
      <w:r w:rsidR="00760EB7">
        <w:rPr>
          <w:lang w:val="nl-NL"/>
        </w:rPr>
        <w:t xml:space="preserve">, dat wordt beheerd door de Nederlandse emissie autoriteit. </w:t>
      </w:r>
      <w:r w:rsidR="00B95F5D">
        <w:rPr>
          <w:lang w:val="nl-NL"/>
        </w:rPr>
        <w:t>H</w:t>
      </w:r>
      <w:r w:rsidR="00D74203">
        <w:rPr>
          <w:lang w:val="nl-NL"/>
        </w:rPr>
        <w:t xml:space="preserve">ier komt geen besluit van de </w:t>
      </w:r>
      <w:r w:rsidR="00256165">
        <w:rPr>
          <w:lang w:val="nl-NL"/>
        </w:rPr>
        <w:t>C</w:t>
      </w:r>
      <w:r w:rsidR="00D74203">
        <w:rPr>
          <w:lang w:val="nl-NL"/>
        </w:rPr>
        <w:t xml:space="preserve">onferentie van </w:t>
      </w:r>
      <w:r w:rsidR="00256165">
        <w:rPr>
          <w:lang w:val="nl-NL"/>
        </w:rPr>
        <w:t>P</w:t>
      </w:r>
      <w:r w:rsidR="00D74203">
        <w:rPr>
          <w:lang w:val="nl-NL"/>
        </w:rPr>
        <w:t xml:space="preserve">artijen aan te pas. </w:t>
      </w:r>
      <w:r w:rsidR="00B95F5D">
        <w:rPr>
          <w:lang w:val="nl-NL"/>
        </w:rPr>
        <w:t xml:space="preserve">Een dergelijk besluit tot schrappen van rechten </w:t>
      </w:r>
      <w:r w:rsidR="00D6503F">
        <w:rPr>
          <w:lang w:val="nl-NL"/>
        </w:rPr>
        <w:t>zou</w:t>
      </w:r>
      <w:r w:rsidR="00B95F5D">
        <w:rPr>
          <w:lang w:val="nl-NL"/>
        </w:rPr>
        <w:t xml:space="preserve"> aan de Tweede Kamer </w:t>
      </w:r>
      <w:r w:rsidR="00D6503F">
        <w:rPr>
          <w:lang w:val="nl-NL"/>
        </w:rPr>
        <w:t xml:space="preserve">worden </w:t>
      </w:r>
      <w:r w:rsidR="00B95F5D">
        <w:rPr>
          <w:lang w:val="nl-NL"/>
        </w:rPr>
        <w:t xml:space="preserve">gemeld. </w:t>
      </w:r>
    </w:p>
    <w:p w:rsidR="007554E3" w:rsidP="008548CA" w:rsidRDefault="00486B10">
      <w:pPr>
        <w:spacing w:line="360" w:lineRule="auto"/>
        <w:rPr>
          <w:lang w:val="nl-NL"/>
        </w:rPr>
      </w:pPr>
      <w:r>
        <w:rPr>
          <w:i/>
          <w:lang w:val="nl-NL"/>
        </w:rPr>
        <w:t>Toegewezen eenheden tweede verplichtingenperiode</w:t>
      </w:r>
      <w:r w:rsidR="00A00BD8">
        <w:rPr>
          <w:i/>
          <w:lang w:val="nl-NL"/>
        </w:rPr>
        <w:t xml:space="preserve"> (</w:t>
      </w:r>
      <w:r w:rsidR="00C561BE">
        <w:rPr>
          <w:i/>
          <w:lang w:val="nl-NL"/>
        </w:rPr>
        <w:t xml:space="preserve">toevoeging lid 7 bis aan </w:t>
      </w:r>
      <w:r w:rsidR="00A00BD8">
        <w:rPr>
          <w:i/>
          <w:lang w:val="nl-NL"/>
        </w:rPr>
        <w:t>artikel 3)</w:t>
      </w:r>
      <w:r>
        <w:rPr>
          <w:i/>
          <w:lang w:val="nl-NL"/>
        </w:rPr>
        <w:br/>
      </w:r>
      <w:r w:rsidR="001471A4">
        <w:rPr>
          <w:lang w:val="nl-NL"/>
        </w:rPr>
        <w:t xml:space="preserve">Artikel 3, lid 7, bevat een regeling voor de toegewezen eenheden van partijen uit Bijlage I bij het Kyoto Protocol voor de eerste verplichtingenperiode van 2008-2012. Er is een nieuw </w:t>
      </w:r>
      <w:r>
        <w:rPr>
          <w:lang w:val="nl-NL"/>
        </w:rPr>
        <w:t xml:space="preserve">onderdeel bis aan artikel 3, lid 7, toegevoegd, </w:t>
      </w:r>
      <w:r w:rsidR="001471A4">
        <w:rPr>
          <w:lang w:val="nl-NL"/>
        </w:rPr>
        <w:t>dat</w:t>
      </w:r>
      <w:r>
        <w:rPr>
          <w:lang w:val="nl-NL"/>
        </w:rPr>
        <w:t xml:space="preserve"> de toegewezen eenheden voor de tweede verplichtingenperiode</w:t>
      </w:r>
      <w:r w:rsidR="001471A4">
        <w:rPr>
          <w:lang w:val="nl-NL"/>
        </w:rPr>
        <w:t xml:space="preserve"> van </w:t>
      </w:r>
      <w:r w:rsidR="001471A4">
        <w:rPr>
          <w:lang w:val="nl-NL"/>
        </w:rPr>
        <w:lastRenderedPageBreak/>
        <w:t>2013-2020 regelt</w:t>
      </w:r>
      <w:r>
        <w:rPr>
          <w:lang w:val="nl-NL"/>
        </w:rPr>
        <w:t xml:space="preserve">. </w:t>
      </w:r>
      <w:r w:rsidR="00E16586">
        <w:rPr>
          <w:i/>
          <w:lang w:val="nl-NL"/>
        </w:rPr>
        <w:br/>
      </w:r>
      <w:r w:rsidR="00717296">
        <w:rPr>
          <w:i/>
          <w:lang w:val="nl-NL"/>
        </w:rPr>
        <w:br/>
      </w:r>
      <w:r w:rsidRPr="00EB0DAA" w:rsidR="007F676C">
        <w:rPr>
          <w:i/>
          <w:lang w:val="nl-NL"/>
        </w:rPr>
        <w:t>Aanpassing van de toegewezen hoeveelheden (</w:t>
      </w:r>
      <w:r w:rsidR="00C561BE">
        <w:rPr>
          <w:i/>
          <w:lang w:val="nl-NL"/>
        </w:rPr>
        <w:t xml:space="preserve">toevoeging lid 7 ter aan </w:t>
      </w:r>
      <w:r w:rsidRPr="00EB0DAA" w:rsidR="007F676C">
        <w:rPr>
          <w:i/>
          <w:lang w:val="nl-NL"/>
        </w:rPr>
        <w:t>artikel 3)</w:t>
      </w:r>
      <w:r w:rsidR="007F676C">
        <w:rPr>
          <w:lang w:val="nl-NL"/>
        </w:rPr>
        <w:br/>
        <w:t>De wijziging</w:t>
      </w:r>
      <w:r w:rsidR="006944B5">
        <w:rPr>
          <w:lang w:val="nl-NL"/>
        </w:rPr>
        <w:t>en</w:t>
      </w:r>
      <w:r w:rsidR="007F676C">
        <w:rPr>
          <w:lang w:val="nl-NL"/>
        </w:rPr>
        <w:t xml:space="preserve"> van Doha </w:t>
      </w:r>
      <w:r w:rsidR="0000642B">
        <w:rPr>
          <w:lang w:val="nl-NL"/>
        </w:rPr>
        <w:t>maakt het mogelijk</w:t>
      </w:r>
      <w:r w:rsidR="00190DDA">
        <w:rPr>
          <w:lang w:val="nl-NL"/>
        </w:rPr>
        <w:t xml:space="preserve"> </w:t>
      </w:r>
      <w:r w:rsidR="00AF4A46">
        <w:rPr>
          <w:lang w:val="nl-NL"/>
        </w:rPr>
        <w:t>automa</w:t>
      </w:r>
      <w:r w:rsidR="007F676C">
        <w:rPr>
          <w:lang w:val="nl-NL"/>
        </w:rPr>
        <w:t>tisch de toegewezen eenheden van een partij</w:t>
      </w:r>
      <w:r w:rsidR="008D7FD7">
        <w:rPr>
          <w:lang w:val="nl-NL"/>
        </w:rPr>
        <w:t xml:space="preserve"> te annuleren</w:t>
      </w:r>
      <w:r w:rsidR="007C0159">
        <w:rPr>
          <w:lang w:val="nl-NL"/>
        </w:rPr>
        <w:t>,</w:t>
      </w:r>
      <w:r w:rsidR="007F676C">
        <w:rPr>
          <w:lang w:val="nl-NL"/>
        </w:rPr>
        <w:t xml:space="preserve"> voor zover haar toegewezen hoeveelheid voor de tweede verplichtingenperiode meer bedraagt dan haar gemiddelde emissies in de eerste drie jaar van de voorgaande verplichtingenperiode vermenigvuldigd met acht (het aantal jaren in de tweede verplichtingenperiode). Dit betekent dat de wijziging</w:t>
      </w:r>
      <w:r w:rsidR="006944B5">
        <w:rPr>
          <w:lang w:val="nl-NL"/>
        </w:rPr>
        <w:t>en</w:t>
      </w:r>
      <w:r w:rsidR="007F676C">
        <w:rPr>
          <w:lang w:val="nl-NL"/>
        </w:rPr>
        <w:t xml:space="preserve"> van Doha de doelstelling van een partij automatisch aanpast om te voorkomen dat haar emissies in de periode 2013-202</w:t>
      </w:r>
      <w:r w:rsidR="00131310">
        <w:rPr>
          <w:lang w:val="nl-NL"/>
        </w:rPr>
        <w:t>0</w:t>
      </w:r>
      <w:r w:rsidR="007F676C">
        <w:rPr>
          <w:lang w:val="nl-NL"/>
        </w:rPr>
        <w:t xml:space="preserve"> stijgen tot boven de gemiddelde emissies voor de periode 2008-2010. Deze automatische aanpassing is geregeld in het nieuwe onderdeel ter van artikel 3, zevende lid. </w:t>
      </w:r>
      <w:r w:rsidR="00AF4A46">
        <w:rPr>
          <w:lang w:val="nl-NL"/>
        </w:rPr>
        <w:t>Het d</w:t>
      </w:r>
      <w:r w:rsidR="00906D54">
        <w:rPr>
          <w:lang w:val="nl-NL"/>
        </w:rPr>
        <w:t xml:space="preserve">oel </w:t>
      </w:r>
      <w:r w:rsidR="00AF4A46">
        <w:rPr>
          <w:lang w:val="nl-NL"/>
        </w:rPr>
        <w:t>hier</w:t>
      </w:r>
      <w:r w:rsidR="00906D54">
        <w:rPr>
          <w:lang w:val="nl-NL"/>
        </w:rPr>
        <w:t xml:space="preserve">van is </w:t>
      </w:r>
      <w:r w:rsidR="00F650C1">
        <w:rPr>
          <w:lang w:val="nl-NL"/>
        </w:rPr>
        <w:t xml:space="preserve">te voorkomen dat er </w:t>
      </w:r>
      <w:r w:rsidR="00906D54">
        <w:rPr>
          <w:lang w:val="nl-NL"/>
        </w:rPr>
        <w:t>opnieuw overschotten aan emissie eenheden</w:t>
      </w:r>
      <w:r w:rsidR="00A339DD">
        <w:rPr>
          <w:lang w:val="nl-NL"/>
        </w:rPr>
        <w:t xml:space="preserve"> </w:t>
      </w:r>
      <w:r w:rsidR="00F650C1">
        <w:rPr>
          <w:lang w:val="nl-NL"/>
        </w:rPr>
        <w:t>ontstaan</w:t>
      </w:r>
      <w:r w:rsidR="00F2238E">
        <w:rPr>
          <w:lang w:val="nl-NL"/>
        </w:rPr>
        <w:t>, zoals in de eerste verplichtingenperiode gebeurde doordat sommige landen</w:t>
      </w:r>
      <w:r w:rsidR="005C6CD7">
        <w:rPr>
          <w:lang w:val="nl-NL"/>
        </w:rPr>
        <w:t xml:space="preserve"> </w:t>
      </w:r>
      <w:r w:rsidR="00F2238E">
        <w:rPr>
          <w:lang w:val="nl-NL"/>
        </w:rPr>
        <w:t xml:space="preserve">door een economische crisis </w:t>
      </w:r>
      <w:r w:rsidR="009A04A5">
        <w:rPr>
          <w:lang w:val="nl-NL"/>
        </w:rPr>
        <w:t>die ook</w:t>
      </w:r>
      <w:r w:rsidR="00F2238E">
        <w:rPr>
          <w:lang w:val="nl-NL"/>
        </w:rPr>
        <w:t xml:space="preserve"> de zware industrie</w:t>
      </w:r>
      <w:r w:rsidR="009A04A5">
        <w:rPr>
          <w:lang w:val="nl-NL"/>
        </w:rPr>
        <w:t xml:space="preserve"> trof</w:t>
      </w:r>
      <w:r w:rsidR="00F2238E">
        <w:rPr>
          <w:lang w:val="nl-NL"/>
        </w:rPr>
        <w:t>, veel minder uitstootten dan zij aan rechten hadden.</w:t>
      </w:r>
    </w:p>
    <w:p w:rsidRPr="00C5333E" w:rsidR="007554E3" w:rsidRDefault="004C2495">
      <w:pPr>
        <w:spacing w:line="360" w:lineRule="auto"/>
        <w:rPr>
          <w:b/>
          <w:u w:val="single"/>
          <w:lang w:val="nl-NL"/>
        </w:rPr>
      </w:pPr>
      <w:r w:rsidRPr="00C5333E">
        <w:rPr>
          <w:b/>
          <w:u w:val="single"/>
          <w:lang w:val="nl-NL"/>
        </w:rPr>
        <w:t>Bijlage A</w:t>
      </w:r>
    </w:p>
    <w:p w:rsidR="00CD4C8F" w:rsidRDefault="004C2495">
      <w:pPr>
        <w:spacing w:line="360" w:lineRule="auto"/>
        <w:rPr>
          <w:lang w:val="nl-NL"/>
        </w:rPr>
      </w:pPr>
      <w:r w:rsidRPr="0005434A">
        <w:rPr>
          <w:i/>
          <w:lang w:val="nl-NL"/>
        </w:rPr>
        <w:t>Toevoeging van een nieuw broeikasgas: NF3</w:t>
      </w:r>
      <w:r w:rsidRPr="0005434A">
        <w:rPr>
          <w:i/>
          <w:lang w:val="nl-NL"/>
        </w:rPr>
        <w:br/>
      </w:r>
      <w:r>
        <w:rPr>
          <w:lang w:val="nl-NL"/>
        </w:rPr>
        <w:t xml:space="preserve">Aan </w:t>
      </w:r>
      <w:r w:rsidR="007554E3">
        <w:rPr>
          <w:lang w:val="nl-NL"/>
        </w:rPr>
        <w:t xml:space="preserve">Bijlage </w:t>
      </w:r>
      <w:r>
        <w:rPr>
          <w:lang w:val="nl-NL"/>
        </w:rPr>
        <w:t>A, waarin de broeikasgassen zijn opgesomd, wordt een nieuw broeikasgas toegevoegd: stikstoftrifluoride (NF3).</w:t>
      </w:r>
      <w:r w:rsidRPr="00B719B2" w:rsidR="00B719B2">
        <w:rPr>
          <w:rFonts w:cs="Arial"/>
          <w:color w:val="333333"/>
          <w:lang w:val="nl-NL"/>
        </w:rPr>
        <w:t xml:space="preserve"> </w:t>
      </w:r>
      <w:r w:rsidRPr="00CA0606" w:rsidR="00CA0606">
        <w:rPr>
          <w:rFonts w:cs="Arial"/>
          <w:color w:val="333333"/>
          <w:lang w:val="nl-NL"/>
        </w:rPr>
        <w:t>NF3 is een sterk broeikasgas, met momenteel slechts geringe maar toenemende emissies, en heeft een aardopwarmingsvermogen van 17 200 (één ton NF3 die in de atmosfeer komt, staat gelijk aan 17 200 ton kooldioxide).</w:t>
      </w:r>
      <w:r w:rsidR="006944B5">
        <w:rPr>
          <w:rFonts w:cs="Arial"/>
          <w:color w:val="333333"/>
          <w:lang w:val="nl-NL"/>
        </w:rPr>
        <w:t xml:space="preserve"> </w:t>
      </w:r>
      <w:r>
        <w:rPr>
          <w:lang w:val="nl-NL"/>
        </w:rPr>
        <w:t xml:space="preserve">Omdat partijen worden afgerekend op de emissies van alle in bijlage A genoemde broeikasgassen, telt NF3 mee voor de totale emissies van een partij. </w:t>
      </w:r>
    </w:p>
    <w:p w:rsidR="0049675F" w:rsidP="00B007D4" w:rsidRDefault="004C2495">
      <w:pPr>
        <w:autoSpaceDE w:val="0"/>
        <w:autoSpaceDN w:val="0"/>
        <w:adjustRightInd w:val="0"/>
        <w:spacing w:after="0" w:line="360" w:lineRule="auto"/>
        <w:rPr>
          <w:rFonts w:cs="TimesNewRoman"/>
          <w:szCs w:val="18"/>
          <w:lang w:val="nl-NL"/>
        </w:rPr>
      </w:pPr>
      <w:r w:rsidRPr="006068F8">
        <w:rPr>
          <w:lang w:val="nl-NL"/>
        </w:rPr>
        <w:t xml:space="preserve">In de EU en </w:t>
      </w:r>
      <w:r w:rsidRPr="006068F8" w:rsidR="00B04AFC">
        <w:rPr>
          <w:lang w:val="nl-NL"/>
        </w:rPr>
        <w:t>Nederland</w:t>
      </w:r>
      <w:r w:rsidRPr="006068F8">
        <w:rPr>
          <w:lang w:val="nl-NL"/>
        </w:rPr>
        <w:t xml:space="preserve"> zijn de emissies van NF3 verwaarloosbaar</w:t>
      </w:r>
      <w:r w:rsidRPr="006068F8" w:rsidR="00B04AFC">
        <w:rPr>
          <w:rStyle w:val="FootnoteReference"/>
          <w:lang w:val="nl-NL"/>
        </w:rPr>
        <w:footnoteReference w:id="10"/>
      </w:r>
      <w:r w:rsidRPr="006068F8" w:rsidR="00B04AFC">
        <w:rPr>
          <w:lang w:val="nl-NL"/>
        </w:rPr>
        <w:t>.</w:t>
      </w:r>
      <w:r w:rsidR="00EB785C">
        <w:rPr>
          <w:lang w:val="nl-NL"/>
        </w:rPr>
        <w:t xml:space="preserve"> </w:t>
      </w:r>
      <w:r w:rsidRPr="00EB785C" w:rsidR="00B04AFC">
        <w:rPr>
          <w:rFonts w:cs="TimesNewRoman"/>
          <w:szCs w:val="18"/>
          <w:lang w:val="nl-NL"/>
        </w:rPr>
        <w:t>In Neder</w:t>
      </w:r>
      <w:r w:rsidR="00B04AFC">
        <w:rPr>
          <w:rFonts w:cs="TimesNewRoman"/>
          <w:szCs w:val="18"/>
          <w:lang w:val="nl-NL"/>
        </w:rPr>
        <w:t>land wordt NF3 toegepast in onder andere reinigings- en etsprocessen in de halfgeleider industrie als alternatief voor gefluoreerde broeikasgassen met een veel groter aardopwarmingsvermogen. Bij deze processen komen emissies vrij. De omvang van de NF3 emissies op de totale broeikasgasuitstoot in Nederland is zeer gering. Naar verwachting heeft het opnemen van NF3 dan ook geen gevolgen voor het halen van de reductiedoelstelling voor Nederland.</w:t>
      </w:r>
    </w:p>
    <w:p w:rsidR="007E35FE" w:rsidP="00B007D4" w:rsidRDefault="00B04AFC">
      <w:pPr>
        <w:autoSpaceDE w:val="0"/>
        <w:autoSpaceDN w:val="0"/>
        <w:adjustRightInd w:val="0"/>
        <w:spacing w:after="0" w:line="360" w:lineRule="auto"/>
        <w:rPr>
          <w:rFonts w:cs="TimesNewRoman"/>
          <w:szCs w:val="18"/>
          <w:lang w:val="nl-NL"/>
        </w:rPr>
      </w:pPr>
      <w:r>
        <w:rPr>
          <w:rFonts w:cs="TimesNewRoman"/>
          <w:szCs w:val="18"/>
          <w:lang w:val="nl-NL"/>
        </w:rPr>
        <w:t xml:space="preserve"> </w:t>
      </w:r>
    </w:p>
    <w:p w:rsidRPr="00C5333E" w:rsidR="007554E3" w:rsidP="00B007D4" w:rsidRDefault="004C2495">
      <w:pPr>
        <w:spacing w:line="360" w:lineRule="auto"/>
        <w:rPr>
          <w:b/>
          <w:u w:val="single"/>
          <w:lang w:val="nl-NL"/>
        </w:rPr>
      </w:pPr>
      <w:r w:rsidRPr="00C5333E">
        <w:rPr>
          <w:b/>
          <w:u w:val="single"/>
          <w:lang w:val="nl-NL"/>
        </w:rPr>
        <w:t>Bijlage B</w:t>
      </w:r>
    </w:p>
    <w:p w:rsidR="007F676C" w:rsidP="00B007D4" w:rsidRDefault="00330DAA">
      <w:pPr>
        <w:spacing w:line="360" w:lineRule="auto"/>
        <w:rPr>
          <w:lang w:val="nl-NL"/>
        </w:rPr>
      </w:pPr>
      <w:r w:rsidRPr="0005434A">
        <w:rPr>
          <w:i/>
          <w:lang w:val="nl-NL"/>
        </w:rPr>
        <w:t xml:space="preserve">Mitigatieverplichtingen voor de tweede </w:t>
      </w:r>
      <w:r w:rsidR="0087482D">
        <w:rPr>
          <w:i/>
          <w:lang w:val="nl-NL"/>
        </w:rPr>
        <w:t>verplichtingenperiode</w:t>
      </w:r>
      <w:r w:rsidR="002E31CC">
        <w:rPr>
          <w:lang w:val="nl-NL"/>
        </w:rPr>
        <w:br/>
      </w:r>
      <w:r w:rsidR="001647C5">
        <w:rPr>
          <w:lang w:val="nl-NL"/>
        </w:rPr>
        <w:t xml:space="preserve">Artikel 3, negende lid, van het Protocol voorziet in afspraken voor een nieuwe verplichtingenperiode. </w:t>
      </w:r>
      <w:r w:rsidR="002E31CC">
        <w:rPr>
          <w:lang w:val="nl-NL"/>
        </w:rPr>
        <w:t>Bijlage B bij het Protocol wordt</w:t>
      </w:r>
      <w:r w:rsidR="0028360B">
        <w:rPr>
          <w:lang w:val="nl-NL"/>
        </w:rPr>
        <w:t xml:space="preserve"> door de wijziging</w:t>
      </w:r>
      <w:r w:rsidR="002E31CC">
        <w:rPr>
          <w:lang w:val="nl-NL"/>
        </w:rPr>
        <w:t xml:space="preserve"> in zijn geheel vervangen door een nieuwe bijlage B. Hierin is een aanvullende, derde, kolom opgenomen met mitigatieverplichtingen voor de tweede </w:t>
      </w:r>
      <w:r w:rsidR="0087482D">
        <w:rPr>
          <w:lang w:val="nl-NL"/>
        </w:rPr>
        <w:t>verplichtingenperiode</w:t>
      </w:r>
      <w:r w:rsidR="002E31CC">
        <w:rPr>
          <w:lang w:val="nl-NL"/>
        </w:rPr>
        <w:t xml:space="preserve"> van 2013 tot en met 2020. Voor Nederland en voor de EU in zijn geheel is dit 80%, dat wil zeggen een reductie van 20%. </w:t>
      </w:r>
      <w:r w:rsidR="00906D54">
        <w:rPr>
          <w:lang w:val="nl-NL"/>
        </w:rPr>
        <w:t xml:space="preserve">In een voetnoot heeft de EU haar voorwaardelijke aanbod </w:t>
      </w:r>
      <w:r w:rsidR="00906D54">
        <w:rPr>
          <w:lang w:val="nl-NL"/>
        </w:rPr>
        <w:lastRenderedPageBreak/>
        <w:t xml:space="preserve">herhaald om haar reductiedoelstelling te zullen ophogen naar 30% indien ontwikkelde landen zich verplichten tot vergelijkbare reducties en ontwikkelingslanden adequaat bijdragen op basis van hun verantwoordelijkheid en respectievelijke mogelijkheden. </w:t>
      </w:r>
      <w:r w:rsidR="00E23BE3">
        <w:rPr>
          <w:lang w:val="nl-NL"/>
        </w:rPr>
        <w:br/>
      </w:r>
      <w:r w:rsidR="00433C80">
        <w:rPr>
          <w:lang w:val="nl-NL"/>
        </w:rPr>
        <w:br/>
        <w:t>De wetgeving van de EU om de doelstelling van de tweede verplichtingenperiode, 20% reductie tegen 2020, te halen, is er al</w:t>
      </w:r>
      <w:r w:rsidR="00433C80">
        <w:rPr>
          <w:rStyle w:val="FootnoteReference"/>
          <w:lang w:val="nl-NL"/>
        </w:rPr>
        <w:footnoteReference w:id="11"/>
      </w:r>
      <w:r w:rsidR="00433C80">
        <w:rPr>
          <w:lang w:val="nl-NL"/>
        </w:rPr>
        <w:t>. Daarom zijn de EU en de</w:t>
      </w:r>
      <w:r w:rsidR="007554E3">
        <w:rPr>
          <w:lang w:val="nl-NL"/>
        </w:rPr>
        <w:t xml:space="preserve"> EU-</w:t>
      </w:r>
      <w:r w:rsidR="00433C80">
        <w:rPr>
          <w:lang w:val="nl-NL"/>
        </w:rPr>
        <w:t>lidstaten in Doha overeengekomen om hun verplichtingen en verantwoordelijkheden in de tweede verplichtingenperiode op 1 januari 2013 onmiddellijk ten uitvoer te leggen. Uit de meest recente voorspellingen van het Europees Milieuagentschap van broeikasgasemissies van de lidstaten en uitgaande van de bestaande beleidsinitiatieven en maatregelen volgt dat de EU op dit moment al een reductie van 18% haalt en verwacht wordt dat, omdat emissies verder dalen, een reductie van 21% zal worden behaald in 2020</w:t>
      </w:r>
      <w:r w:rsidR="00433C80">
        <w:rPr>
          <w:rStyle w:val="FootnoteReference"/>
          <w:lang w:val="nl-NL"/>
        </w:rPr>
        <w:footnoteReference w:id="12"/>
      </w:r>
      <w:r w:rsidR="00433C80">
        <w:rPr>
          <w:lang w:val="nl-NL"/>
        </w:rPr>
        <w:t>.</w:t>
      </w:r>
      <w:r w:rsidR="00433C80">
        <w:rPr>
          <w:lang w:val="nl-NL"/>
        </w:rPr>
        <w:br/>
      </w:r>
      <w:r w:rsidR="00433C80">
        <w:rPr>
          <w:lang w:val="nl-NL"/>
        </w:rPr>
        <w:br/>
      </w:r>
      <w:r w:rsidR="00905DE1">
        <w:rPr>
          <w:lang w:val="nl-NL"/>
        </w:rPr>
        <w:t xml:space="preserve">Zoals eerder aangegeven hebben de </w:t>
      </w:r>
      <w:r w:rsidR="00433C80">
        <w:rPr>
          <w:lang w:val="nl-NL"/>
        </w:rPr>
        <w:t xml:space="preserve">EU en haar lidstaten het voornemen uitgesproken de verplichtingen opnieuw gezamenlijk na te komen, </w:t>
      </w:r>
      <w:r w:rsidR="00905DE1">
        <w:rPr>
          <w:lang w:val="nl-NL"/>
        </w:rPr>
        <w:t xml:space="preserve">maar </w:t>
      </w:r>
      <w:r w:rsidR="00433C80">
        <w:rPr>
          <w:lang w:val="nl-NL"/>
        </w:rPr>
        <w:t>dit keer gezamenlijk met IJsland. De Europese Commissie heeft in november 2013 voorstellen</w:t>
      </w:r>
      <w:r w:rsidR="00433C80">
        <w:rPr>
          <w:rStyle w:val="FootnoteReference"/>
          <w:lang w:val="nl-NL"/>
        </w:rPr>
        <w:footnoteReference w:id="13"/>
      </w:r>
      <w:r w:rsidR="00433C80">
        <w:rPr>
          <w:lang w:val="nl-NL"/>
        </w:rPr>
        <w:t xml:space="preserve"> gepresenteerd die hier verder vorm aan moeten geven: een voorstel voor bekrachtiging van de tweede verplichtingenperiode en een voorstel voor aanpassing van Verordening (EU) </w:t>
      </w:r>
      <w:r w:rsidRPr="003B02C0" w:rsidR="00433C80">
        <w:rPr>
          <w:lang w:val="nl-NL"/>
        </w:rPr>
        <w:t>Nr.</w:t>
      </w:r>
      <w:r w:rsidR="00EA4EC2">
        <w:rPr>
          <w:lang w:val="nl-NL"/>
        </w:rPr>
        <w:t> </w:t>
      </w:r>
      <w:r w:rsidRPr="003B02C0" w:rsidR="00433C80">
        <w:rPr>
          <w:lang w:val="nl-NL"/>
        </w:rPr>
        <w:t xml:space="preserve">525/2013 </w:t>
      </w:r>
      <w:r w:rsidR="00433C80">
        <w:rPr>
          <w:lang w:val="nl-NL"/>
        </w:rPr>
        <w:t xml:space="preserve">van het Europees Parlement en de Raad van 21 mei 2013 </w:t>
      </w:r>
      <w:r w:rsidR="00433C80">
        <w:rPr>
          <w:rStyle w:val="FootnoteReference"/>
          <w:lang w:val="nl-NL"/>
        </w:rPr>
        <w:footnoteReference w:id="14"/>
      </w:r>
      <w:r w:rsidR="00433C80">
        <w:rPr>
          <w:lang w:val="nl-NL"/>
        </w:rPr>
        <w:t xml:space="preserve"> in verband met de technische implementatie van het Protocol. De besluitvorming over deze voorstellen zal naar verwachting </w:t>
      </w:r>
      <w:r w:rsidR="009404C2">
        <w:rPr>
          <w:lang w:val="nl-NL"/>
        </w:rPr>
        <w:t>in 2014</w:t>
      </w:r>
      <w:r w:rsidR="00433C80">
        <w:rPr>
          <w:lang w:val="nl-NL"/>
        </w:rPr>
        <w:t xml:space="preserve"> zijn afgerond. </w:t>
      </w:r>
    </w:p>
    <w:p w:rsidRPr="00B124BF" w:rsidR="0014185E" w:rsidP="00B007D4" w:rsidRDefault="00EA4EC2">
      <w:pPr>
        <w:spacing w:line="360" w:lineRule="auto"/>
        <w:rPr>
          <w:b/>
          <w:lang w:val="nl-NL"/>
        </w:rPr>
      </w:pPr>
      <w:r>
        <w:rPr>
          <w:b/>
          <w:lang w:val="nl-NL"/>
        </w:rPr>
        <w:t>D</w:t>
      </w:r>
      <w:r w:rsidRPr="00B124BF" w:rsidR="0014185E">
        <w:rPr>
          <w:b/>
          <w:lang w:val="nl-NL"/>
        </w:rPr>
        <w:t xml:space="preserve">. </w:t>
      </w:r>
      <w:r w:rsidRPr="00B124BF" w:rsidR="00097376">
        <w:rPr>
          <w:b/>
          <w:lang w:val="nl-NL"/>
        </w:rPr>
        <w:t>VERHOUDING TOT EU-REGELGEVING</w:t>
      </w:r>
    </w:p>
    <w:p w:rsidR="0014185E" w:rsidP="00B007D4" w:rsidRDefault="0014185E">
      <w:pPr>
        <w:spacing w:line="360" w:lineRule="auto"/>
        <w:rPr>
          <w:lang w:val="nl-NL"/>
        </w:rPr>
      </w:pPr>
      <w:r w:rsidRPr="00B124BF">
        <w:rPr>
          <w:lang w:val="nl-NL"/>
        </w:rPr>
        <w:t xml:space="preserve">De EU is, evenals </w:t>
      </w:r>
      <w:r w:rsidR="00506359">
        <w:rPr>
          <w:lang w:val="nl-NL"/>
        </w:rPr>
        <w:t>haar</w:t>
      </w:r>
      <w:r w:rsidRPr="00B124BF" w:rsidR="00506359">
        <w:rPr>
          <w:lang w:val="nl-NL"/>
        </w:rPr>
        <w:t xml:space="preserve"> </w:t>
      </w:r>
      <w:r w:rsidRPr="00B124BF">
        <w:rPr>
          <w:lang w:val="nl-NL"/>
        </w:rPr>
        <w:t xml:space="preserve">lidstaten, partij bij het </w:t>
      </w:r>
      <w:r w:rsidRPr="00B124BF" w:rsidR="00B124BF">
        <w:rPr>
          <w:lang w:val="nl-NL"/>
        </w:rPr>
        <w:t>Kyoto</w:t>
      </w:r>
      <w:r w:rsidRPr="00B124BF">
        <w:rPr>
          <w:lang w:val="nl-NL"/>
        </w:rPr>
        <w:t xml:space="preserve"> Protocol. Het Protocol draagt bij tot het bereiken van de doelstellingen van het milieubeleid van de EU (artikel 191 van het op 25 maart 1957 te Rome tot stand gekomen Verdrag betreffende de werking van de Europese Unie</w:t>
      </w:r>
      <w:r w:rsidR="00506359">
        <w:rPr>
          <w:lang w:val="nl-NL"/>
        </w:rPr>
        <w:t>; zie Trb 2008, 51</w:t>
      </w:r>
      <w:r w:rsidRPr="00B124BF">
        <w:rPr>
          <w:lang w:val="nl-NL"/>
        </w:rPr>
        <w:t xml:space="preserve">). Volgens het vierde lid van dit artikel zijn zowel de EU als de lidstaten bevoegd internationale </w:t>
      </w:r>
      <w:r w:rsidR="00506359">
        <w:rPr>
          <w:lang w:val="nl-NL"/>
        </w:rPr>
        <w:t>overeenkomsten</w:t>
      </w:r>
      <w:r w:rsidRPr="00B124BF" w:rsidR="00506359">
        <w:rPr>
          <w:lang w:val="nl-NL"/>
        </w:rPr>
        <w:t xml:space="preserve"> </w:t>
      </w:r>
      <w:r w:rsidRPr="00B124BF">
        <w:rPr>
          <w:lang w:val="nl-NL"/>
        </w:rPr>
        <w:t xml:space="preserve">te sluiten op milieuterrein. </w:t>
      </w:r>
      <w:r w:rsidR="00506359">
        <w:rPr>
          <w:lang w:val="nl-NL"/>
        </w:rPr>
        <w:t xml:space="preserve">De wijzigingen van Doha </w:t>
      </w:r>
      <w:r w:rsidRPr="00B124BF">
        <w:rPr>
          <w:lang w:val="nl-NL"/>
        </w:rPr>
        <w:t>z</w:t>
      </w:r>
      <w:r w:rsidR="00506359">
        <w:rPr>
          <w:lang w:val="nl-NL"/>
        </w:rPr>
        <w:t>u</w:t>
      </w:r>
      <w:r w:rsidRPr="00B124BF">
        <w:rPr>
          <w:lang w:val="nl-NL"/>
        </w:rPr>
        <w:t>l</w:t>
      </w:r>
      <w:r w:rsidR="00506359">
        <w:rPr>
          <w:lang w:val="nl-NL"/>
        </w:rPr>
        <w:t>len</w:t>
      </w:r>
      <w:r w:rsidRPr="00B124BF">
        <w:rPr>
          <w:lang w:val="nl-NL"/>
        </w:rPr>
        <w:t xml:space="preserve"> dan ook zowel door de lidstaten als door de </w:t>
      </w:r>
      <w:r w:rsidR="00B124BF">
        <w:rPr>
          <w:lang w:val="nl-NL"/>
        </w:rPr>
        <w:t>EU</w:t>
      </w:r>
      <w:r w:rsidRPr="00B124BF">
        <w:rPr>
          <w:lang w:val="nl-NL"/>
        </w:rPr>
        <w:t xml:space="preserve"> worden geratificeerd.</w:t>
      </w:r>
    </w:p>
    <w:p w:rsidR="00993924" w:rsidP="00B007D4" w:rsidRDefault="00361CCE">
      <w:pPr>
        <w:spacing w:line="360" w:lineRule="auto"/>
        <w:rPr>
          <w:lang w:val="nl-NL"/>
        </w:rPr>
      </w:pPr>
      <w:r>
        <w:rPr>
          <w:lang w:val="nl-NL"/>
        </w:rPr>
        <w:lastRenderedPageBreak/>
        <w:t>De</w:t>
      </w:r>
      <w:r w:rsidR="00EF0175">
        <w:rPr>
          <w:lang w:val="nl-NL"/>
        </w:rPr>
        <w:t xml:space="preserve"> emissiereductie</w:t>
      </w:r>
      <w:r>
        <w:rPr>
          <w:lang w:val="nl-NL"/>
        </w:rPr>
        <w:t xml:space="preserve">verplichtingen voor de EU, de lidstaten en IJsland uit de tweede verplichtingenperiode zijn gebaseerd op de emissiereductiedoelstellingen van het </w:t>
      </w:r>
      <w:r w:rsidR="00506359">
        <w:rPr>
          <w:lang w:val="nl-NL"/>
        </w:rPr>
        <w:t>Klimaat</w:t>
      </w:r>
      <w:r>
        <w:rPr>
          <w:lang w:val="nl-NL"/>
        </w:rPr>
        <w:t xml:space="preserve">- en </w:t>
      </w:r>
      <w:r w:rsidR="00506359">
        <w:rPr>
          <w:lang w:val="nl-NL"/>
        </w:rPr>
        <w:t xml:space="preserve">Energiepakket 2020 </w:t>
      </w:r>
      <w:r>
        <w:rPr>
          <w:lang w:val="nl-NL"/>
        </w:rPr>
        <w:t>dat in 2009 is aangenomen, met name op de EU-regeling voor de emissiehandel (EU-ETS) en de beschikking inzake de verdeling van de inspanning</w:t>
      </w:r>
      <w:r w:rsidR="00E85757">
        <w:rPr>
          <w:rStyle w:val="FootnoteReference"/>
          <w:lang w:val="nl-NL"/>
        </w:rPr>
        <w:footnoteReference w:id="15"/>
      </w:r>
      <w:r>
        <w:rPr>
          <w:lang w:val="nl-NL"/>
        </w:rPr>
        <w:t xml:space="preserve">. Dit is in lijn met de conclusies van de Europese Raad in 2012, </w:t>
      </w:r>
      <w:r w:rsidR="00EF0175">
        <w:rPr>
          <w:lang w:val="nl-NL"/>
        </w:rPr>
        <w:t>w</w:t>
      </w:r>
      <w:r>
        <w:rPr>
          <w:lang w:val="nl-NL"/>
        </w:rPr>
        <w:t>aarin onder meer wordt aangegeven dat de emissiereductieverplichtingen van individuele lidstaten in de tweede verplichtingenperiode niet verder moeten gaan dan de verplichtingen die</w:t>
      </w:r>
      <w:r w:rsidR="006944B5">
        <w:rPr>
          <w:lang w:val="nl-NL"/>
        </w:rPr>
        <w:t xml:space="preserve"> </w:t>
      </w:r>
      <w:r>
        <w:rPr>
          <w:lang w:val="nl-NL"/>
        </w:rPr>
        <w:t>in wetgeving van de EU zijn vastgesteld. De EU-wetgeving om de emissiedoelstelling te halen is er al.</w:t>
      </w:r>
      <w:r w:rsidR="00993924">
        <w:rPr>
          <w:lang w:val="nl-NL"/>
        </w:rPr>
        <w:t xml:space="preserve"> </w:t>
      </w:r>
    </w:p>
    <w:p w:rsidR="00361CCE" w:rsidP="00B007D4" w:rsidRDefault="00993924">
      <w:pPr>
        <w:spacing w:line="360" w:lineRule="auto"/>
        <w:rPr>
          <w:lang w:val="nl-NL"/>
        </w:rPr>
      </w:pPr>
      <w:r>
        <w:rPr>
          <w:lang w:val="nl-NL"/>
        </w:rPr>
        <w:t>Het nieuw toegevoegde broeikasgas NF3 valt niet onder de EU-ETS en de beschikking inzake de verdeling van de inspanning. Het valt al wél onder de verordening betreffende het bewakingssysteem, die bewaking en rapportage van NF3-emissies voorschrijft. Echter</w:t>
      </w:r>
      <w:r w:rsidR="001D365D">
        <w:rPr>
          <w:lang w:val="nl-NL"/>
        </w:rPr>
        <w:t>,</w:t>
      </w:r>
      <w:r>
        <w:rPr>
          <w:lang w:val="nl-NL"/>
        </w:rPr>
        <w:t xml:space="preserve"> de totale NF3-emissies in de EU zijn verwaarloosbaar. </w:t>
      </w:r>
      <w:r w:rsidR="004C68E3">
        <w:rPr>
          <w:lang w:val="nl-NL"/>
        </w:rPr>
        <w:t xml:space="preserve">De EU-lidstaten </w:t>
      </w:r>
      <w:r>
        <w:rPr>
          <w:lang w:val="nl-NL"/>
        </w:rPr>
        <w:t>dienen</w:t>
      </w:r>
      <w:r w:rsidR="00AE2925">
        <w:rPr>
          <w:lang w:val="nl-NL"/>
        </w:rPr>
        <w:t xml:space="preserve"> </w:t>
      </w:r>
      <w:r>
        <w:rPr>
          <w:lang w:val="nl-NL"/>
        </w:rPr>
        <w:t>hun NF3-emissies zelf te verrekenen met de hun toegewezen hoeveelheden.</w:t>
      </w:r>
    </w:p>
    <w:p w:rsidR="00233C6E" w:rsidP="00B007D4" w:rsidRDefault="00F224FF">
      <w:pPr>
        <w:spacing w:line="360" w:lineRule="auto"/>
        <w:rPr>
          <w:lang w:val="nl-NL"/>
        </w:rPr>
      </w:pPr>
      <w:r>
        <w:rPr>
          <w:lang w:val="nl-NL"/>
        </w:rPr>
        <w:t xml:space="preserve">Voor Nederland betekenen de wijzigingen van </w:t>
      </w:r>
      <w:r w:rsidR="00446DC1">
        <w:rPr>
          <w:lang w:val="nl-NL"/>
        </w:rPr>
        <w:t>Doha</w:t>
      </w:r>
      <w:r>
        <w:rPr>
          <w:lang w:val="nl-NL"/>
        </w:rPr>
        <w:t xml:space="preserve"> dat de totale uitstoot van de broeikasgassen genoemd in bijlage A (dat wil zeggen inclusief NF3</w:t>
      </w:r>
      <w:r w:rsidR="00B451F1">
        <w:rPr>
          <w:rStyle w:val="FootnoteReference"/>
          <w:lang w:val="nl-NL"/>
        </w:rPr>
        <w:footnoteReference w:id="16"/>
      </w:r>
      <w:r>
        <w:rPr>
          <w:lang w:val="nl-NL"/>
        </w:rPr>
        <w:t xml:space="preserve">) in </w:t>
      </w:r>
      <w:r w:rsidR="005939BE">
        <w:rPr>
          <w:lang w:val="nl-NL"/>
        </w:rPr>
        <w:t xml:space="preserve">2020 </w:t>
      </w:r>
      <w:r>
        <w:rPr>
          <w:lang w:val="nl-NL"/>
        </w:rPr>
        <w:t xml:space="preserve">met 20% moet zijn verminderd ten opzichte van </w:t>
      </w:r>
      <w:r w:rsidR="00B451F1">
        <w:rPr>
          <w:lang w:val="nl-NL"/>
        </w:rPr>
        <w:t>het basisjaar (</w:t>
      </w:r>
      <w:r w:rsidRPr="00B451F1" w:rsidR="00B451F1">
        <w:rPr>
          <w:lang w:val="nl-NL"/>
        </w:rPr>
        <w:t>1990 voor CO2, N2O en CH4 en 1995 voor F-gassen)</w:t>
      </w:r>
      <w:r>
        <w:rPr>
          <w:lang w:val="nl-NL"/>
        </w:rPr>
        <w:t xml:space="preserve">. </w:t>
      </w:r>
      <w:r w:rsidRPr="003354C1">
        <w:rPr>
          <w:lang w:val="nl-NL"/>
        </w:rPr>
        <w:t>Voor de EU</w:t>
      </w:r>
      <w:r w:rsidR="003D30E4">
        <w:rPr>
          <w:lang w:val="nl-NL"/>
        </w:rPr>
        <w:t>-</w:t>
      </w:r>
      <w:r>
        <w:rPr>
          <w:lang w:val="nl-NL"/>
        </w:rPr>
        <w:t xml:space="preserve"> lidstaten</w:t>
      </w:r>
      <w:r w:rsidRPr="003354C1">
        <w:rPr>
          <w:lang w:val="nl-NL"/>
        </w:rPr>
        <w:t xml:space="preserve"> gezamenlijk bedraagt het emissiereductiepercentage </w:t>
      </w:r>
      <w:r>
        <w:rPr>
          <w:lang w:val="nl-NL"/>
        </w:rPr>
        <w:t>voor de nieuwe verplichtingenperiode eveneens 20%. Zoals hiervoor werd opgemerkt kan de EU met bestaande regelgeving</w:t>
      </w:r>
      <w:r w:rsidR="00387C3B">
        <w:rPr>
          <w:lang w:val="nl-NL"/>
        </w:rPr>
        <w:t xml:space="preserve"> voldoen aan deze verplichting; dit geldt ook voor Nederland. Er is dus geen nadere uitvoeringswetgeving nodig</w:t>
      </w:r>
      <w:r w:rsidR="00691DDE">
        <w:rPr>
          <w:lang w:val="nl-NL"/>
        </w:rPr>
        <w:t xml:space="preserve"> voor het nakomen van de tweede verplichtingenperiode</w:t>
      </w:r>
      <w:r w:rsidR="008B1FBC">
        <w:rPr>
          <w:lang w:val="nl-NL"/>
        </w:rPr>
        <w:t xml:space="preserve"> die voor</w:t>
      </w:r>
      <w:r w:rsidR="006944B5">
        <w:rPr>
          <w:lang w:val="nl-NL"/>
        </w:rPr>
        <w:t>t</w:t>
      </w:r>
      <w:r w:rsidR="008B1FBC">
        <w:rPr>
          <w:lang w:val="nl-NL"/>
        </w:rPr>
        <w:t xml:space="preserve">vloeit uit de wijziging </w:t>
      </w:r>
      <w:r w:rsidR="00E022FA">
        <w:rPr>
          <w:lang w:val="nl-NL"/>
        </w:rPr>
        <w:t xml:space="preserve">van het Kyoto Protocol </w:t>
      </w:r>
      <w:r w:rsidR="008B1FBC">
        <w:rPr>
          <w:lang w:val="nl-NL"/>
        </w:rPr>
        <w:t>die in Doha is aanvaard</w:t>
      </w:r>
      <w:r w:rsidR="00387C3B">
        <w:rPr>
          <w:lang w:val="nl-NL"/>
        </w:rPr>
        <w:t>.</w:t>
      </w:r>
      <w:r w:rsidR="00D04B6F">
        <w:rPr>
          <w:lang w:val="nl-NL"/>
        </w:rPr>
        <w:br/>
      </w:r>
    </w:p>
    <w:p w:rsidR="00233C6E" w:rsidRDefault="00233C6E">
      <w:pPr>
        <w:rPr>
          <w:lang w:val="nl-NL"/>
        </w:rPr>
      </w:pPr>
      <w:r>
        <w:rPr>
          <w:lang w:val="nl-NL"/>
        </w:rPr>
        <w:br w:type="page"/>
      </w:r>
    </w:p>
    <w:p w:rsidRPr="00D04B6F" w:rsidR="006E1C74" w:rsidP="00B007D4" w:rsidRDefault="00411881">
      <w:pPr>
        <w:spacing w:line="360" w:lineRule="auto"/>
        <w:rPr>
          <w:lang w:val="nl-NL"/>
        </w:rPr>
      </w:pPr>
      <w:r>
        <w:rPr>
          <w:lang w:val="nl-NL"/>
        </w:rPr>
        <w:lastRenderedPageBreak/>
        <w:br/>
      </w:r>
      <w:r w:rsidR="00EA4EC2">
        <w:rPr>
          <w:b/>
          <w:lang w:val="nl-NL"/>
        </w:rPr>
        <w:t>E</w:t>
      </w:r>
      <w:r w:rsidRPr="00387C3B" w:rsidR="006E1C74">
        <w:rPr>
          <w:b/>
          <w:lang w:val="nl-NL"/>
        </w:rPr>
        <w:t>. KONINKRIJKSPOSITIE</w:t>
      </w:r>
    </w:p>
    <w:p w:rsidR="00CE64A6" w:rsidP="00B007D4" w:rsidRDefault="00250BC7">
      <w:pPr>
        <w:spacing w:line="360" w:lineRule="auto"/>
        <w:rPr>
          <w:lang w:val="nl-NL"/>
        </w:rPr>
      </w:pPr>
      <w:r>
        <w:rPr>
          <w:szCs w:val="18"/>
          <w:lang w:val="nl-NL"/>
        </w:rPr>
        <w:t xml:space="preserve">Evenals bij het </w:t>
      </w:r>
      <w:r w:rsidR="008C42CC">
        <w:rPr>
          <w:szCs w:val="18"/>
          <w:lang w:val="nl-NL"/>
        </w:rPr>
        <w:t>Raamv</w:t>
      </w:r>
      <w:r>
        <w:rPr>
          <w:szCs w:val="18"/>
          <w:lang w:val="nl-NL"/>
        </w:rPr>
        <w:t xml:space="preserve">erdrag en het </w:t>
      </w:r>
      <w:r w:rsidR="00B37C73">
        <w:rPr>
          <w:szCs w:val="18"/>
          <w:lang w:val="nl-NL"/>
        </w:rPr>
        <w:t xml:space="preserve">Kyoto </w:t>
      </w:r>
      <w:r>
        <w:rPr>
          <w:szCs w:val="18"/>
          <w:lang w:val="nl-NL"/>
        </w:rPr>
        <w:t xml:space="preserve">Protocol worden de </w:t>
      </w:r>
      <w:r w:rsidR="00516463">
        <w:rPr>
          <w:szCs w:val="18"/>
          <w:lang w:val="nl-NL"/>
        </w:rPr>
        <w:t xml:space="preserve">onderhavige </w:t>
      </w:r>
      <w:r>
        <w:rPr>
          <w:szCs w:val="18"/>
          <w:lang w:val="nl-NL"/>
        </w:rPr>
        <w:t>wijzigingen voor het gehele</w:t>
      </w:r>
      <w:r w:rsidR="00EC3AEF">
        <w:rPr>
          <w:szCs w:val="18"/>
          <w:lang w:val="nl-NL"/>
        </w:rPr>
        <w:t xml:space="preserve"> Koninkrijk goedgekeurd. </w:t>
      </w:r>
      <w:r w:rsidR="00920C73">
        <w:rPr>
          <w:szCs w:val="18"/>
          <w:lang w:val="nl-NL"/>
        </w:rPr>
        <w:t xml:space="preserve">In afwachting van </w:t>
      </w:r>
      <w:r w:rsidR="006944B5">
        <w:rPr>
          <w:szCs w:val="18"/>
          <w:lang w:val="nl-NL"/>
        </w:rPr>
        <w:t xml:space="preserve">de </w:t>
      </w:r>
      <w:r w:rsidR="00920C73">
        <w:rPr>
          <w:szCs w:val="18"/>
          <w:lang w:val="nl-NL"/>
        </w:rPr>
        <w:t xml:space="preserve">uitvoeringswetgeving worden het </w:t>
      </w:r>
      <w:r>
        <w:rPr>
          <w:szCs w:val="18"/>
          <w:lang w:val="nl-NL"/>
        </w:rPr>
        <w:t xml:space="preserve">Verdrag en het Protocol </w:t>
      </w:r>
      <w:r w:rsidR="00EC3AEF">
        <w:rPr>
          <w:szCs w:val="18"/>
          <w:lang w:val="nl-NL"/>
        </w:rPr>
        <w:t xml:space="preserve">nog </w:t>
      </w:r>
      <w:r>
        <w:rPr>
          <w:szCs w:val="18"/>
          <w:lang w:val="nl-NL"/>
        </w:rPr>
        <w:t xml:space="preserve">niet </w:t>
      </w:r>
      <w:r w:rsidR="00EC3AEF">
        <w:rPr>
          <w:szCs w:val="18"/>
          <w:lang w:val="nl-NL"/>
        </w:rPr>
        <w:t xml:space="preserve">toegepast </w:t>
      </w:r>
      <w:r w:rsidR="00920C73">
        <w:rPr>
          <w:szCs w:val="18"/>
          <w:lang w:val="nl-NL"/>
        </w:rPr>
        <w:t xml:space="preserve">op </w:t>
      </w:r>
      <w:r>
        <w:rPr>
          <w:szCs w:val="18"/>
          <w:lang w:val="nl-NL"/>
        </w:rPr>
        <w:t>Aruba, Curaçao en Sint Maarten.</w:t>
      </w:r>
      <w:r w:rsidR="00EC3AEF">
        <w:rPr>
          <w:szCs w:val="18"/>
          <w:lang w:val="nl-NL"/>
        </w:rPr>
        <w:t xml:space="preserve"> Als </w:t>
      </w:r>
      <w:r w:rsidR="00516463">
        <w:rPr>
          <w:szCs w:val="18"/>
          <w:lang w:val="nl-NL"/>
        </w:rPr>
        <w:t xml:space="preserve">door </w:t>
      </w:r>
      <w:r w:rsidR="00EC3AEF">
        <w:rPr>
          <w:szCs w:val="18"/>
          <w:lang w:val="nl-NL"/>
        </w:rPr>
        <w:t xml:space="preserve">een Land </w:t>
      </w:r>
      <w:r w:rsidR="00920C73">
        <w:rPr>
          <w:szCs w:val="18"/>
          <w:lang w:val="nl-NL"/>
        </w:rPr>
        <w:t>aange</w:t>
      </w:r>
      <w:r w:rsidR="00516463">
        <w:rPr>
          <w:szCs w:val="18"/>
          <w:lang w:val="nl-NL"/>
        </w:rPr>
        <w:t xml:space="preserve">geven wordt dat </w:t>
      </w:r>
      <w:r w:rsidR="00BA6486">
        <w:rPr>
          <w:szCs w:val="18"/>
          <w:lang w:val="nl-NL"/>
        </w:rPr>
        <w:t xml:space="preserve">zijn </w:t>
      </w:r>
      <w:r w:rsidR="00EC3AEF">
        <w:rPr>
          <w:szCs w:val="18"/>
          <w:lang w:val="nl-NL"/>
        </w:rPr>
        <w:t xml:space="preserve">wetgeving gereed </w:t>
      </w:r>
      <w:r w:rsidR="00516463">
        <w:rPr>
          <w:szCs w:val="18"/>
          <w:lang w:val="nl-NL"/>
        </w:rPr>
        <w:t>is</w:t>
      </w:r>
      <w:r w:rsidR="00920C73">
        <w:rPr>
          <w:szCs w:val="18"/>
          <w:lang w:val="nl-NL"/>
        </w:rPr>
        <w:t>, dan zullen behalve het Verdrag en het Protocol, ook d</w:t>
      </w:r>
      <w:r w:rsidR="00EC3AEF">
        <w:rPr>
          <w:szCs w:val="18"/>
          <w:lang w:val="nl-NL"/>
        </w:rPr>
        <w:t>e betreffende wijzigingen</w:t>
      </w:r>
      <w:r w:rsidR="00CE64A6">
        <w:rPr>
          <w:szCs w:val="18"/>
          <w:lang w:val="nl-NL"/>
        </w:rPr>
        <w:t xml:space="preserve"> van Doha </w:t>
      </w:r>
      <w:r w:rsidR="006944B5">
        <w:rPr>
          <w:szCs w:val="18"/>
          <w:lang w:val="nl-NL"/>
        </w:rPr>
        <w:t xml:space="preserve">kunnen </w:t>
      </w:r>
      <w:r w:rsidR="00EC3AEF">
        <w:rPr>
          <w:szCs w:val="18"/>
          <w:lang w:val="nl-NL"/>
        </w:rPr>
        <w:t>worden aanvaard voor dat Land.</w:t>
      </w:r>
      <w:r w:rsidDel="00B37C73" w:rsidR="00B37C73">
        <w:rPr>
          <w:lang w:val="nl-NL"/>
        </w:rPr>
        <w:t xml:space="preserve"> </w:t>
      </w:r>
    </w:p>
    <w:p w:rsidR="00B37C73" w:rsidP="00B007D4" w:rsidRDefault="00B37C73">
      <w:pPr>
        <w:spacing w:line="360" w:lineRule="auto"/>
        <w:rPr>
          <w:lang w:val="nl-NL"/>
        </w:rPr>
      </w:pPr>
    </w:p>
    <w:p w:rsidRPr="0014185E" w:rsidR="00305C3F" w:rsidP="00B007D4" w:rsidRDefault="006E1C74">
      <w:pPr>
        <w:spacing w:line="360" w:lineRule="auto"/>
        <w:rPr>
          <w:lang w:val="nl-NL"/>
        </w:rPr>
      </w:pPr>
      <w:r w:rsidRPr="006E1C74">
        <w:rPr>
          <w:lang w:val="nl-NL"/>
        </w:rPr>
        <w:t>De Staatssecretaris van Infrastructuur en Milieu,</w:t>
      </w:r>
    </w:p>
    <w:p w:rsidR="00CE64A6" w:rsidP="00FA0389" w:rsidRDefault="00CE64A6">
      <w:pPr>
        <w:spacing w:line="360" w:lineRule="auto"/>
        <w:rPr>
          <w:lang w:val="nl-NL"/>
        </w:rPr>
      </w:pPr>
    </w:p>
    <w:p w:rsidRPr="008034F3" w:rsidR="008034F3" w:rsidP="00B007D4" w:rsidRDefault="00FA0389">
      <w:pPr>
        <w:spacing w:line="360" w:lineRule="auto"/>
        <w:rPr>
          <w:lang w:val="nl-NL"/>
        </w:rPr>
      </w:pPr>
      <w:r w:rsidRPr="006E1C74">
        <w:rPr>
          <w:lang w:val="nl-NL"/>
        </w:rPr>
        <w:t>De Minister van Buitenlandse Zaken,</w:t>
      </w:r>
    </w:p>
    <w:sectPr w:rsidRPr="008034F3" w:rsidR="008034F3" w:rsidSect="00FF118A">
      <w:headerReference w:type="default" r:id="rId9"/>
      <w:pgSz w:w="12240" w:h="15840"/>
      <w:pgMar w:top="1440" w:right="1440" w:bottom="1134"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5BD" w:rsidRDefault="00FB35BD" w:rsidP="00B832D2">
      <w:pPr>
        <w:spacing w:after="0"/>
      </w:pPr>
      <w:r>
        <w:separator/>
      </w:r>
    </w:p>
  </w:endnote>
  <w:endnote w:type="continuationSeparator" w:id="0">
    <w:p w:rsidR="00FB35BD" w:rsidRDefault="00FB35BD" w:rsidP="00B832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NewRoma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5BD" w:rsidRDefault="00FB35BD" w:rsidP="00B832D2">
      <w:pPr>
        <w:spacing w:after="0"/>
      </w:pPr>
      <w:r>
        <w:separator/>
      </w:r>
    </w:p>
  </w:footnote>
  <w:footnote w:type="continuationSeparator" w:id="0">
    <w:p w:rsidR="00FB35BD" w:rsidRDefault="00FB35BD" w:rsidP="00B832D2">
      <w:pPr>
        <w:spacing w:after="0"/>
      </w:pPr>
      <w:r>
        <w:continuationSeparator/>
      </w:r>
    </w:p>
  </w:footnote>
  <w:footnote w:id="1">
    <w:p w:rsidR="00FB35BD" w:rsidRDefault="00FB35BD" w:rsidP="00A2136C">
      <w:pPr>
        <w:pStyle w:val="FootnoteText"/>
        <w:rPr>
          <w:sz w:val="16"/>
          <w:szCs w:val="16"/>
          <w:lang w:val="nl-NL"/>
        </w:rPr>
      </w:pPr>
      <w:r>
        <w:rPr>
          <w:rStyle w:val="FootnoteReference"/>
        </w:rPr>
        <w:footnoteRef/>
      </w:r>
      <w:r w:rsidRPr="00AB03C5">
        <w:rPr>
          <w:lang w:val="nl-NL"/>
        </w:rPr>
        <w:t xml:space="preserve"> </w:t>
      </w:r>
      <w:r w:rsidRPr="00AB03C5">
        <w:rPr>
          <w:sz w:val="16"/>
          <w:szCs w:val="16"/>
          <w:lang w:val="nl-NL"/>
        </w:rPr>
        <w:t>Wetgeving aangenomen op 23 april 2009, met inbegrip van</w:t>
      </w:r>
      <w:r>
        <w:rPr>
          <w:sz w:val="16"/>
          <w:szCs w:val="16"/>
          <w:lang w:val="nl-NL"/>
        </w:rPr>
        <w:t>:</w:t>
      </w:r>
    </w:p>
    <w:p w:rsidR="00FB35BD" w:rsidRPr="00AB03C5" w:rsidRDefault="00FB35BD" w:rsidP="00A2136C">
      <w:pPr>
        <w:pStyle w:val="FootnoteText"/>
        <w:rPr>
          <w:lang w:val="nl-NL"/>
        </w:rPr>
      </w:pPr>
      <w:r>
        <w:rPr>
          <w:sz w:val="16"/>
          <w:szCs w:val="16"/>
          <w:lang w:val="nl-NL"/>
        </w:rPr>
        <w:t>-</w:t>
      </w:r>
      <w:r w:rsidRPr="00AB03C5">
        <w:rPr>
          <w:sz w:val="16"/>
          <w:szCs w:val="16"/>
          <w:lang w:val="nl-NL"/>
        </w:rPr>
        <w:t xml:space="preserve"> Richtlijn 2009/29/EG van het Europees Parlement en de Raad </w:t>
      </w:r>
      <w:r>
        <w:rPr>
          <w:sz w:val="16"/>
          <w:szCs w:val="16"/>
          <w:lang w:val="nl-NL"/>
        </w:rPr>
        <w:t xml:space="preserve">van 23 april 2009 </w:t>
      </w:r>
      <w:r w:rsidRPr="00AB03C5">
        <w:rPr>
          <w:sz w:val="16"/>
          <w:szCs w:val="16"/>
          <w:lang w:val="nl-NL"/>
        </w:rPr>
        <w:t xml:space="preserve">tot wijziging van Richtlijn 2003/87/EG teneinde de regeling voor de handel in </w:t>
      </w:r>
      <w:r>
        <w:rPr>
          <w:sz w:val="16"/>
          <w:szCs w:val="16"/>
          <w:lang w:val="nl-NL"/>
        </w:rPr>
        <w:t>broeikasgas</w:t>
      </w:r>
      <w:r w:rsidRPr="00AB03C5">
        <w:rPr>
          <w:sz w:val="16"/>
          <w:szCs w:val="16"/>
          <w:lang w:val="nl-NL"/>
        </w:rPr>
        <w:t>emissierechten</w:t>
      </w:r>
      <w:r>
        <w:rPr>
          <w:sz w:val="16"/>
          <w:szCs w:val="16"/>
          <w:lang w:val="nl-NL"/>
        </w:rPr>
        <w:t xml:space="preserve"> van de Gemeenschap te verbeteren en uit te breiden (PBEU 2009, L 140), en</w:t>
      </w:r>
      <w:r>
        <w:rPr>
          <w:sz w:val="16"/>
          <w:szCs w:val="16"/>
          <w:lang w:val="nl-NL"/>
        </w:rPr>
        <w:br/>
        <w:t>- Beschikking nr. 406/2009/EG van het Europees Parlement en de Raad van 23 april 2009 inzake de inspanningen van de lidstaten om hun broeikasgasemissies te verminderen om aan de verbintenissen van de Gemeenschap op het gebied van het verminderen van broeikasgassen tot 2020 te voldoen (PbEU 2009, L 140).</w:t>
      </w:r>
    </w:p>
  </w:footnote>
  <w:footnote w:id="2">
    <w:p w:rsidR="00FB35BD" w:rsidRPr="008E2DEF" w:rsidRDefault="00FB35BD" w:rsidP="008E2DEF">
      <w:pPr>
        <w:pStyle w:val="FootnoteText"/>
        <w:rPr>
          <w:lang w:val="nl-NL"/>
        </w:rPr>
      </w:pPr>
      <w:r>
        <w:rPr>
          <w:rStyle w:val="FootnoteReference"/>
        </w:rPr>
        <w:footnoteRef/>
      </w:r>
      <w:r w:rsidRPr="008E2DEF">
        <w:rPr>
          <w:lang w:val="nl-NL"/>
        </w:rPr>
        <w:t xml:space="preserve"> </w:t>
      </w:r>
      <w:r>
        <w:rPr>
          <w:sz w:val="16"/>
          <w:szCs w:val="16"/>
          <w:lang w:val="nl-NL"/>
        </w:rPr>
        <w:t>Beschikking</w:t>
      </w:r>
      <w:r w:rsidRPr="008E2DEF">
        <w:rPr>
          <w:sz w:val="16"/>
          <w:szCs w:val="16"/>
          <w:lang w:val="nl-NL"/>
        </w:rPr>
        <w:t xml:space="preserve"> Nr. 280/2004/EG </w:t>
      </w:r>
      <w:r>
        <w:rPr>
          <w:sz w:val="16"/>
          <w:szCs w:val="16"/>
          <w:lang w:val="nl-NL"/>
        </w:rPr>
        <w:t xml:space="preserve">van het Europees Parlement en de Raad </w:t>
      </w:r>
      <w:r w:rsidRPr="008E2DEF">
        <w:rPr>
          <w:sz w:val="16"/>
          <w:szCs w:val="16"/>
          <w:lang w:val="nl-NL"/>
        </w:rPr>
        <w:t>van 11 februari 2004</w:t>
      </w:r>
      <w:r>
        <w:rPr>
          <w:sz w:val="16"/>
          <w:szCs w:val="16"/>
          <w:lang w:val="nl-NL"/>
        </w:rPr>
        <w:t xml:space="preserve"> (PbEU 2004, L 49).</w:t>
      </w:r>
    </w:p>
  </w:footnote>
  <w:footnote w:id="3">
    <w:p w:rsidR="00FB35BD" w:rsidRPr="00457522" w:rsidRDefault="00FB35BD" w:rsidP="00457522">
      <w:pPr>
        <w:pStyle w:val="FootnoteText"/>
        <w:rPr>
          <w:sz w:val="16"/>
          <w:szCs w:val="16"/>
          <w:lang w:val="nl-NL"/>
        </w:rPr>
      </w:pPr>
      <w:r>
        <w:rPr>
          <w:rStyle w:val="FootnoteReference"/>
        </w:rPr>
        <w:footnoteRef/>
      </w:r>
      <w:r w:rsidRPr="00CA0606">
        <w:rPr>
          <w:lang w:val="nl-NL"/>
        </w:rPr>
        <w:t xml:space="preserve"> </w:t>
      </w:r>
      <w:r>
        <w:rPr>
          <w:sz w:val="16"/>
          <w:szCs w:val="16"/>
          <w:lang w:val="nl-NL"/>
        </w:rPr>
        <w:t xml:space="preserve">Verordening </w:t>
      </w:r>
      <w:r w:rsidRPr="00CA0606">
        <w:rPr>
          <w:sz w:val="16"/>
          <w:szCs w:val="16"/>
          <w:lang w:val="nl-NL"/>
        </w:rPr>
        <w:t xml:space="preserve">(EU) Nr. 525/2013 </w:t>
      </w:r>
      <w:r>
        <w:rPr>
          <w:sz w:val="16"/>
          <w:szCs w:val="16"/>
          <w:lang w:val="nl-NL"/>
        </w:rPr>
        <w:t xml:space="preserve">van het Europees Parlement en de Raad </w:t>
      </w:r>
      <w:r w:rsidRPr="00CA0606">
        <w:rPr>
          <w:sz w:val="16"/>
          <w:szCs w:val="16"/>
          <w:lang w:val="nl-NL"/>
        </w:rPr>
        <w:t>van 21 mei 2013</w:t>
      </w:r>
      <w:r>
        <w:rPr>
          <w:sz w:val="16"/>
          <w:szCs w:val="16"/>
          <w:lang w:val="nl-NL"/>
        </w:rPr>
        <w:t xml:space="preserve"> </w:t>
      </w:r>
      <w:r w:rsidRPr="00CA0606">
        <w:rPr>
          <w:sz w:val="16"/>
          <w:szCs w:val="16"/>
          <w:lang w:val="nl-NL"/>
        </w:rPr>
        <w:t>betreffende een bewakings- en rapportagesysteem voor de uitstoot van broeikasgassen en een rapportagemechanisme voor overige informatie op nationaal niveau en op het niveau van de unie met betrekking tot klimaatverandering, en tot intrekking van Beschikking nr. 280/2004/EG</w:t>
      </w:r>
      <w:r>
        <w:rPr>
          <w:sz w:val="16"/>
          <w:szCs w:val="16"/>
          <w:lang w:val="nl-NL"/>
        </w:rPr>
        <w:t xml:space="preserve"> (PbEU 2013, L 165).</w:t>
      </w:r>
    </w:p>
  </w:footnote>
  <w:footnote w:id="4">
    <w:p w:rsidR="00FB35BD" w:rsidRPr="002F1210" w:rsidRDefault="00FB35BD">
      <w:pPr>
        <w:pStyle w:val="FootnoteText"/>
        <w:rPr>
          <w:lang w:val="nl-NL"/>
        </w:rPr>
      </w:pPr>
      <w:r>
        <w:rPr>
          <w:rStyle w:val="FootnoteReference"/>
        </w:rPr>
        <w:footnoteRef/>
      </w:r>
      <w:r w:rsidRPr="002F1210">
        <w:rPr>
          <w:lang w:val="nl-NL"/>
        </w:rPr>
        <w:t xml:space="preserve"> </w:t>
      </w:r>
      <w:r w:rsidRPr="002F1210">
        <w:rPr>
          <w:sz w:val="16"/>
          <w:szCs w:val="16"/>
          <w:lang w:val="nl-NL"/>
        </w:rPr>
        <w:t>Kamerstukken II 2013-2014, 32 813, nr. 70</w:t>
      </w:r>
    </w:p>
  </w:footnote>
  <w:footnote w:id="5">
    <w:p w:rsidR="00FB35BD" w:rsidRPr="00065BCF" w:rsidRDefault="00FB35BD" w:rsidP="00C7694F">
      <w:pPr>
        <w:pStyle w:val="FootnoteText"/>
        <w:rPr>
          <w:sz w:val="16"/>
          <w:szCs w:val="16"/>
          <w:lang w:val="nl-NL"/>
        </w:rPr>
      </w:pPr>
      <w:r>
        <w:rPr>
          <w:rStyle w:val="FootnoteReference"/>
        </w:rPr>
        <w:footnoteRef/>
      </w:r>
      <w:r w:rsidRPr="00065BCF">
        <w:rPr>
          <w:lang w:val="nl-NL"/>
        </w:rPr>
        <w:t xml:space="preserve"> </w:t>
      </w:r>
      <w:r w:rsidRPr="00065BCF">
        <w:rPr>
          <w:sz w:val="16"/>
          <w:szCs w:val="16"/>
          <w:lang w:val="nl-NL"/>
        </w:rPr>
        <w:t>Kamerstukken II 1999-2000, 27 089 (R 1652), nr.3, blz. 14.</w:t>
      </w:r>
    </w:p>
  </w:footnote>
  <w:footnote w:id="6">
    <w:p w:rsidR="00FB35BD" w:rsidRPr="00790731" w:rsidRDefault="00FB35BD">
      <w:pPr>
        <w:pStyle w:val="FootnoteText"/>
        <w:rPr>
          <w:sz w:val="16"/>
          <w:szCs w:val="16"/>
          <w:lang w:val="nl-NL"/>
        </w:rPr>
      </w:pPr>
      <w:r w:rsidRPr="008B046A">
        <w:rPr>
          <w:rStyle w:val="FootnoteReference"/>
        </w:rPr>
        <w:footnoteRef/>
      </w:r>
      <w:r w:rsidRPr="00FD434C">
        <w:rPr>
          <w:sz w:val="16"/>
          <w:szCs w:val="16"/>
          <w:lang w:val="nl-NL"/>
        </w:rPr>
        <w:t xml:space="preserve"> Kamerstukken II 2012-2013, 31 793, nr. 73</w:t>
      </w:r>
      <w:r>
        <w:rPr>
          <w:lang w:val="nl-NL"/>
        </w:rPr>
        <w:t>.</w:t>
      </w:r>
    </w:p>
  </w:footnote>
  <w:footnote w:id="7">
    <w:p w:rsidR="00FB35BD" w:rsidRPr="00790731" w:rsidRDefault="00FB35BD">
      <w:pPr>
        <w:pStyle w:val="FootnoteText"/>
        <w:rPr>
          <w:lang w:val="nl-NL"/>
        </w:rPr>
      </w:pPr>
      <w:r w:rsidRPr="008B046A">
        <w:rPr>
          <w:rStyle w:val="FootnoteReference"/>
        </w:rPr>
        <w:footnoteRef/>
      </w:r>
      <w:r w:rsidRPr="00790731">
        <w:rPr>
          <w:sz w:val="16"/>
          <w:szCs w:val="16"/>
          <w:lang w:val="nl-NL"/>
        </w:rPr>
        <w:t xml:space="preserve"> Ten </w:t>
      </w:r>
      <w:r>
        <w:rPr>
          <w:sz w:val="16"/>
          <w:szCs w:val="16"/>
          <w:lang w:val="nl-NL"/>
        </w:rPr>
        <w:t>opzichte van het peil</w:t>
      </w:r>
      <w:r w:rsidRPr="00790731">
        <w:rPr>
          <w:sz w:val="16"/>
          <w:szCs w:val="16"/>
          <w:lang w:val="nl-NL"/>
        </w:rPr>
        <w:t>jaar 1990.</w:t>
      </w:r>
    </w:p>
  </w:footnote>
  <w:footnote w:id="8">
    <w:p w:rsidR="00FB35BD" w:rsidRPr="005E69B4" w:rsidRDefault="00FB35BD" w:rsidP="00AC26EC">
      <w:pPr>
        <w:pStyle w:val="FootnoteText"/>
        <w:rPr>
          <w:sz w:val="16"/>
          <w:szCs w:val="16"/>
          <w:lang w:val="nl-NL"/>
        </w:rPr>
      </w:pPr>
      <w:r>
        <w:rPr>
          <w:rStyle w:val="FootnoteReference"/>
        </w:rPr>
        <w:footnoteRef/>
      </w:r>
      <w:r w:rsidRPr="005E69B4">
        <w:rPr>
          <w:sz w:val="16"/>
          <w:szCs w:val="16"/>
          <w:lang w:val="nl-NL"/>
        </w:rPr>
        <w:t xml:space="preserve"> COM(2013) 769 final</w:t>
      </w:r>
      <w:r w:rsidR="00D80547" w:rsidRPr="005E69B4">
        <w:rPr>
          <w:sz w:val="16"/>
          <w:szCs w:val="16"/>
          <w:lang w:val="nl-NL"/>
        </w:rPr>
        <w:t>.</w:t>
      </w:r>
    </w:p>
  </w:footnote>
  <w:footnote w:id="9">
    <w:p w:rsidR="00FB35BD" w:rsidRPr="005E69B4" w:rsidRDefault="00FB35BD">
      <w:pPr>
        <w:pStyle w:val="FootnoteText"/>
        <w:rPr>
          <w:sz w:val="16"/>
          <w:szCs w:val="16"/>
          <w:lang w:val="nl-NL"/>
        </w:rPr>
      </w:pPr>
      <w:r>
        <w:rPr>
          <w:rStyle w:val="FootnoteReference"/>
        </w:rPr>
        <w:footnoteRef/>
      </w:r>
      <w:r w:rsidRPr="005E69B4">
        <w:rPr>
          <w:lang w:val="nl-NL"/>
        </w:rPr>
        <w:t xml:space="preserve"> </w:t>
      </w:r>
      <w:r w:rsidRPr="005E69B4">
        <w:rPr>
          <w:sz w:val="16"/>
          <w:szCs w:val="16"/>
          <w:lang w:val="nl-NL"/>
        </w:rPr>
        <w:t xml:space="preserve">Bangladesh, Barbados, </w:t>
      </w:r>
      <w:r w:rsidR="00B20B18" w:rsidRPr="005E69B4">
        <w:rPr>
          <w:sz w:val="16"/>
          <w:szCs w:val="16"/>
          <w:lang w:val="nl-NL"/>
        </w:rPr>
        <w:t xml:space="preserve">Brunei, </w:t>
      </w:r>
      <w:r w:rsidR="00D80547" w:rsidRPr="005E69B4">
        <w:rPr>
          <w:sz w:val="16"/>
          <w:szCs w:val="16"/>
          <w:lang w:val="nl-NL"/>
        </w:rPr>
        <w:t xml:space="preserve">China, </w:t>
      </w:r>
      <w:r w:rsidR="005E69B4">
        <w:rPr>
          <w:sz w:val="16"/>
          <w:szCs w:val="16"/>
          <w:lang w:val="nl-NL"/>
        </w:rPr>
        <w:t xml:space="preserve">Comoren, </w:t>
      </w:r>
      <w:r w:rsidR="00B20B18" w:rsidRPr="005E69B4">
        <w:rPr>
          <w:sz w:val="16"/>
          <w:szCs w:val="16"/>
          <w:lang w:val="nl-NL"/>
        </w:rPr>
        <w:t xml:space="preserve">Djibouti, </w:t>
      </w:r>
      <w:r w:rsidR="00E514D7">
        <w:rPr>
          <w:sz w:val="16"/>
          <w:szCs w:val="16"/>
          <w:lang w:val="nl-NL"/>
        </w:rPr>
        <w:t xml:space="preserve">Grenada, </w:t>
      </w:r>
      <w:r w:rsidR="005E69B4">
        <w:rPr>
          <w:sz w:val="16"/>
          <w:szCs w:val="16"/>
          <w:lang w:val="nl-NL"/>
        </w:rPr>
        <w:t xml:space="preserve">Guyana, </w:t>
      </w:r>
      <w:r w:rsidRPr="005E69B4">
        <w:rPr>
          <w:sz w:val="16"/>
          <w:szCs w:val="16"/>
          <w:lang w:val="nl-NL"/>
        </w:rPr>
        <w:t xml:space="preserve">Honduras, </w:t>
      </w:r>
      <w:r w:rsidR="00B20B18" w:rsidRPr="005E69B4">
        <w:rPr>
          <w:sz w:val="16"/>
          <w:szCs w:val="16"/>
          <w:lang w:val="nl-NL"/>
        </w:rPr>
        <w:t xml:space="preserve">Indonesië, </w:t>
      </w:r>
      <w:r w:rsidRPr="005E69B4">
        <w:rPr>
          <w:sz w:val="16"/>
          <w:szCs w:val="16"/>
          <w:lang w:val="nl-NL"/>
        </w:rPr>
        <w:t xml:space="preserve">Kenia, </w:t>
      </w:r>
      <w:r w:rsidR="00EC2AB1">
        <w:rPr>
          <w:sz w:val="16"/>
          <w:szCs w:val="16"/>
          <w:lang w:val="nl-NL"/>
        </w:rPr>
        <w:t xml:space="preserve">Liechtenstein, </w:t>
      </w:r>
      <w:r w:rsidR="00B20B18" w:rsidRPr="005E69B4">
        <w:rPr>
          <w:sz w:val="16"/>
          <w:szCs w:val="16"/>
          <w:lang w:val="nl-NL"/>
        </w:rPr>
        <w:t xml:space="preserve">Marokko, </w:t>
      </w:r>
      <w:r w:rsidRPr="005E69B4">
        <w:rPr>
          <w:sz w:val="16"/>
          <w:szCs w:val="16"/>
          <w:lang w:val="nl-NL"/>
        </w:rPr>
        <w:t xml:space="preserve">Mauritius, </w:t>
      </w:r>
      <w:r w:rsidR="00B20B18" w:rsidRPr="005E69B4">
        <w:rPr>
          <w:sz w:val="16"/>
          <w:szCs w:val="16"/>
          <w:lang w:val="nl-NL"/>
        </w:rPr>
        <w:t xml:space="preserve">Mexico, </w:t>
      </w:r>
      <w:r w:rsidRPr="005E69B4">
        <w:rPr>
          <w:sz w:val="16"/>
          <w:szCs w:val="16"/>
          <w:lang w:val="nl-NL"/>
        </w:rPr>
        <w:t>Micronesia, Monaco,</w:t>
      </w:r>
      <w:r w:rsidR="00EC2AB1">
        <w:rPr>
          <w:sz w:val="16"/>
          <w:szCs w:val="16"/>
          <w:lang w:val="nl-NL"/>
        </w:rPr>
        <w:t xml:space="preserve"> Namibië, </w:t>
      </w:r>
      <w:r w:rsidR="005E69B4">
        <w:rPr>
          <w:sz w:val="16"/>
          <w:szCs w:val="16"/>
          <w:lang w:val="nl-NL"/>
        </w:rPr>
        <w:t>Nauru,</w:t>
      </w:r>
      <w:r w:rsidRPr="005E69B4">
        <w:rPr>
          <w:sz w:val="16"/>
          <w:szCs w:val="16"/>
          <w:lang w:val="nl-NL"/>
        </w:rPr>
        <w:t xml:space="preserve"> </w:t>
      </w:r>
      <w:r w:rsidR="00D80547" w:rsidRPr="005E69B4">
        <w:rPr>
          <w:sz w:val="16"/>
          <w:szCs w:val="16"/>
          <w:lang w:val="nl-NL"/>
        </w:rPr>
        <w:t xml:space="preserve">Noorwegen, </w:t>
      </w:r>
      <w:r w:rsidR="00E514D7">
        <w:rPr>
          <w:sz w:val="16"/>
          <w:szCs w:val="16"/>
          <w:lang w:val="nl-NL"/>
        </w:rPr>
        <w:t xml:space="preserve">Palau, </w:t>
      </w:r>
      <w:r w:rsidR="00B20B18" w:rsidRPr="005E69B4">
        <w:rPr>
          <w:sz w:val="16"/>
          <w:szCs w:val="16"/>
          <w:lang w:val="nl-NL"/>
        </w:rPr>
        <w:t xml:space="preserve">Peru, Salomonseilanden, Singapore, </w:t>
      </w:r>
      <w:r w:rsidRPr="005E69B4">
        <w:rPr>
          <w:sz w:val="16"/>
          <w:szCs w:val="16"/>
          <w:lang w:val="nl-NL"/>
        </w:rPr>
        <w:t>Sudan</w:t>
      </w:r>
      <w:r w:rsidR="005E69B4">
        <w:rPr>
          <w:sz w:val="16"/>
          <w:szCs w:val="16"/>
          <w:lang w:val="nl-NL"/>
        </w:rPr>
        <w:t>, Tuvalu</w:t>
      </w:r>
      <w:r w:rsidRPr="005E69B4">
        <w:rPr>
          <w:sz w:val="16"/>
          <w:szCs w:val="16"/>
          <w:lang w:val="nl-NL"/>
        </w:rPr>
        <w:t xml:space="preserve"> en de Verenigde Arabische Emiraten.</w:t>
      </w:r>
    </w:p>
  </w:footnote>
  <w:footnote w:id="10">
    <w:p w:rsidR="00FB35BD" w:rsidRPr="008C42CC" w:rsidRDefault="00FB35BD">
      <w:pPr>
        <w:pStyle w:val="FootnoteText"/>
        <w:rPr>
          <w:sz w:val="16"/>
          <w:szCs w:val="16"/>
          <w:lang w:val="nl-NL"/>
        </w:rPr>
      </w:pPr>
      <w:r w:rsidRPr="0017478C">
        <w:rPr>
          <w:rStyle w:val="FootnoteReference"/>
        </w:rPr>
        <w:footnoteRef/>
      </w:r>
      <w:r w:rsidRPr="008C42CC">
        <w:rPr>
          <w:sz w:val="16"/>
          <w:szCs w:val="16"/>
          <w:lang w:val="nl-NL"/>
        </w:rPr>
        <w:t xml:space="preserve"> Zie COM(2013) 768 final.</w:t>
      </w:r>
    </w:p>
  </w:footnote>
  <w:footnote w:id="11">
    <w:p w:rsidR="00FB35BD" w:rsidRPr="008C42CC" w:rsidRDefault="00FB35BD" w:rsidP="00433C80">
      <w:pPr>
        <w:pStyle w:val="FootnoteText"/>
        <w:rPr>
          <w:lang w:val="nl-NL"/>
        </w:rPr>
      </w:pPr>
      <w:r>
        <w:rPr>
          <w:rStyle w:val="FootnoteReference"/>
        </w:rPr>
        <w:footnoteRef/>
      </w:r>
      <w:r w:rsidRPr="008C42CC">
        <w:rPr>
          <w:lang w:val="nl-NL"/>
        </w:rPr>
        <w:t xml:space="preserve"> </w:t>
      </w:r>
      <w:r w:rsidRPr="008C42CC">
        <w:rPr>
          <w:sz w:val="16"/>
          <w:szCs w:val="16"/>
          <w:lang w:val="nl-NL"/>
        </w:rPr>
        <w:t xml:space="preserve">Zie voetnoot 1. </w:t>
      </w:r>
    </w:p>
  </w:footnote>
  <w:footnote w:id="12">
    <w:p w:rsidR="00FB35BD" w:rsidRPr="005A4AE2" w:rsidRDefault="00FB35BD" w:rsidP="00433C80">
      <w:pPr>
        <w:pStyle w:val="FootnoteText"/>
        <w:rPr>
          <w:rFonts w:cs="Verdana"/>
          <w:sz w:val="16"/>
          <w:szCs w:val="16"/>
        </w:rPr>
      </w:pPr>
      <w:r>
        <w:rPr>
          <w:rStyle w:val="FootnoteReference"/>
        </w:rPr>
        <w:footnoteRef/>
      </w:r>
      <w:r>
        <w:rPr>
          <w:sz w:val="16"/>
          <w:szCs w:val="16"/>
        </w:rPr>
        <w:t xml:space="preserve"> </w:t>
      </w:r>
      <w:r w:rsidRPr="001F5B22">
        <w:rPr>
          <w:i/>
          <w:sz w:val="16"/>
          <w:szCs w:val="16"/>
        </w:rPr>
        <w:t xml:space="preserve">Trends and projections in Europe 2013 – Tracking progress towards Europe's climate and energy targets until 2020 </w:t>
      </w:r>
      <w:r>
        <w:rPr>
          <w:sz w:val="16"/>
          <w:szCs w:val="16"/>
        </w:rPr>
        <w:t>(Europees Milieuagentschap; 9 oktober 2013): “</w:t>
      </w:r>
      <w:r w:rsidRPr="001F5B22">
        <w:rPr>
          <w:sz w:val="16"/>
          <w:szCs w:val="16"/>
        </w:rPr>
        <w:t>When considering th</w:t>
      </w:r>
      <w:r>
        <w:rPr>
          <w:sz w:val="16"/>
          <w:szCs w:val="16"/>
        </w:rPr>
        <w:t xml:space="preserve">e scope of the EU's climate and </w:t>
      </w:r>
      <w:r w:rsidRPr="001F5B22">
        <w:rPr>
          <w:sz w:val="16"/>
          <w:szCs w:val="16"/>
        </w:rPr>
        <w:t>energy package</w:t>
      </w:r>
      <w:r>
        <w:rPr>
          <w:sz w:val="16"/>
          <w:szCs w:val="16"/>
        </w:rPr>
        <w:t xml:space="preserve">, which includes emissions from </w:t>
      </w:r>
      <w:r w:rsidRPr="001F5B22">
        <w:rPr>
          <w:sz w:val="16"/>
          <w:szCs w:val="16"/>
        </w:rPr>
        <w:t>international avi</w:t>
      </w:r>
      <w:r>
        <w:rPr>
          <w:sz w:val="16"/>
          <w:szCs w:val="16"/>
        </w:rPr>
        <w:t xml:space="preserve">ation, the reduction of 2012 EU emissions is </w:t>
      </w:r>
      <w:r w:rsidRPr="001F5B22">
        <w:rPr>
          <w:sz w:val="16"/>
          <w:szCs w:val="16"/>
        </w:rPr>
        <w:t>abou</w:t>
      </w:r>
      <w:r>
        <w:rPr>
          <w:sz w:val="16"/>
          <w:szCs w:val="16"/>
        </w:rPr>
        <w:t xml:space="preserve">t 18 % compared to 1990 levels. </w:t>
      </w:r>
      <w:r w:rsidRPr="001F5B22">
        <w:rPr>
          <w:sz w:val="16"/>
          <w:szCs w:val="16"/>
        </w:rPr>
        <w:t>The EU is therefore very close to</w:t>
      </w:r>
      <w:r>
        <w:rPr>
          <w:sz w:val="16"/>
          <w:szCs w:val="16"/>
        </w:rPr>
        <w:t xml:space="preserve"> reaching its 20 % </w:t>
      </w:r>
      <w:r w:rsidRPr="001F5B22">
        <w:rPr>
          <w:sz w:val="16"/>
          <w:szCs w:val="16"/>
        </w:rPr>
        <w:t>reduction target, eight years ahead of 2020.</w:t>
      </w:r>
      <w:r>
        <w:rPr>
          <w:sz w:val="16"/>
          <w:szCs w:val="16"/>
        </w:rPr>
        <w:t xml:space="preserve"> </w:t>
      </w:r>
      <w:r w:rsidRPr="005A4AE2">
        <w:rPr>
          <w:sz w:val="16"/>
          <w:szCs w:val="16"/>
        </w:rPr>
        <w:t>Aggregated projections from Member States indicate that total EU</w:t>
      </w:r>
      <w:r w:rsidRPr="005A4AE2">
        <w:rPr>
          <w:rFonts w:ascii="MS Gothic" w:eastAsia="MS Gothic" w:hAnsi="MS Gothic" w:cs="MS Gothic" w:hint="eastAsia"/>
          <w:sz w:val="16"/>
          <w:szCs w:val="16"/>
        </w:rPr>
        <w:t>‑</w:t>
      </w:r>
      <w:r w:rsidRPr="005A4AE2">
        <w:rPr>
          <w:rFonts w:cs="Verdana"/>
          <w:sz w:val="16"/>
          <w:szCs w:val="16"/>
        </w:rPr>
        <w:t>28 emissions will further decrease</w:t>
      </w:r>
    </w:p>
    <w:p w:rsidR="00FB35BD" w:rsidRPr="005A4AE2" w:rsidRDefault="00FB35BD" w:rsidP="00433C80">
      <w:pPr>
        <w:pStyle w:val="FootnoteText"/>
        <w:rPr>
          <w:sz w:val="16"/>
          <w:szCs w:val="16"/>
        </w:rPr>
      </w:pPr>
      <w:r w:rsidRPr="005A4AE2">
        <w:rPr>
          <w:sz w:val="16"/>
          <w:szCs w:val="16"/>
        </w:rPr>
        <w:t>between 2012 and 2020. With the current set of national domestic measures in place, EU emissions</w:t>
      </w:r>
    </w:p>
    <w:p w:rsidR="00FB35BD" w:rsidRPr="005A4AE2" w:rsidRDefault="00FB35BD" w:rsidP="00433C80">
      <w:pPr>
        <w:pStyle w:val="FootnoteText"/>
        <w:rPr>
          <w:sz w:val="16"/>
          <w:szCs w:val="16"/>
        </w:rPr>
      </w:pPr>
      <w:r w:rsidRPr="005A4AE2">
        <w:rPr>
          <w:sz w:val="16"/>
          <w:szCs w:val="16"/>
        </w:rPr>
        <w:t>are expected to reach a level in 2020 which is 21 % below 1990 levels (including emissions from</w:t>
      </w:r>
    </w:p>
    <w:p w:rsidR="00FB35BD" w:rsidRPr="00233C6E" w:rsidRDefault="00FB35BD" w:rsidP="00433C80">
      <w:pPr>
        <w:pStyle w:val="FootnoteText"/>
        <w:rPr>
          <w:sz w:val="16"/>
          <w:szCs w:val="16"/>
          <w:lang w:val="nl-NL"/>
        </w:rPr>
      </w:pPr>
      <w:r w:rsidRPr="00233C6E">
        <w:rPr>
          <w:sz w:val="16"/>
          <w:szCs w:val="16"/>
          <w:lang w:val="nl-NL"/>
        </w:rPr>
        <w:t>international aviation).” (p. 93)</w:t>
      </w:r>
    </w:p>
  </w:footnote>
  <w:footnote w:id="13">
    <w:p w:rsidR="00FB35BD" w:rsidRPr="00233C6E" w:rsidRDefault="00FB35BD" w:rsidP="00433C80">
      <w:pPr>
        <w:pStyle w:val="FootnoteText"/>
        <w:rPr>
          <w:lang w:val="nl-NL"/>
        </w:rPr>
      </w:pPr>
      <w:r>
        <w:rPr>
          <w:rStyle w:val="FootnoteReference"/>
        </w:rPr>
        <w:footnoteRef/>
      </w:r>
      <w:r w:rsidRPr="00233C6E">
        <w:rPr>
          <w:sz w:val="16"/>
          <w:szCs w:val="16"/>
          <w:lang w:val="nl-NL"/>
        </w:rPr>
        <w:t>COM(2013) 768 final, 6.11.2013</w:t>
      </w:r>
    </w:p>
  </w:footnote>
  <w:footnote w:id="14">
    <w:p w:rsidR="00FB35BD" w:rsidRPr="006944B5" w:rsidRDefault="00FB35BD" w:rsidP="00387C3B">
      <w:pPr>
        <w:rPr>
          <w:sz w:val="16"/>
          <w:szCs w:val="16"/>
          <w:lang w:val="nl-NL"/>
        </w:rPr>
      </w:pPr>
      <w:r w:rsidRPr="00F16E29">
        <w:rPr>
          <w:rStyle w:val="FootnoteReference"/>
          <w:sz w:val="20"/>
          <w:szCs w:val="20"/>
        </w:rPr>
        <w:footnoteRef/>
      </w:r>
      <w:r w:rsidRPr="0041193C">
        <w:rPr>
          <w:sz w:val="16"/>
          <w:szCs w:val="16"/>
          <w:lang w:val="nl-NL"/>
        </w:rPr>
        <w:t xml:space="preserve"> COM(2013) 769 final, 6.11.2013; </w:t>
      </w:r>
      <w:r>
        <w:rPr>
          <w:sz w:val="16"/>
          <w:szCs w:val="16"/>
          <w:lang w:val="nl-NL"/>
        </w:rPr>
        <w:t xml:space="preserve">herziening van </w:t>
      </w:r>
      <w:r w:rsidRPr="003B02C0">
        <w:rPr>
          <w:sz w:val="16"/>
          <w:szCs w:val="16"/>
          <w:lang w:val="nl-NL"/>
        </w:rPr>
        <w:t>Verordening (EU) Nr. 525/2013 van het Europees Parlement en de Raad van 21 mei 2013 betreffende een bewakings- en rapportagesysteem voor de uitstoot van broeikasgassen en een rapportagemechanisme voor overige informatie op nationaal niveau en op het niveau van de unie met betr</w:t>
      </w:r>
      <w:r w:rsidRPr="00B451F1">
        <w:rPr>
          <w:sz w:val="16"/>
          <w:szCs w:val="16"/>
          <w:lang w:val="nl-NL"/>
        </w:rPr>
        <w:t>ekking tot klimaatverandering, Pb EU</w:t>
      </w:r>
      <w:r>
        <w:rPr>
          <w:sz w:val="16"/>
          <w:szCs w:val="16"/>
          <w:lang w:val="nl-NL"/>
        </w:rPr>
        <w:t xml:space="preserve"> 2013,</w:t>
      </w:r>
      <w:r w:rsidRPr="00B451F1">
        <w:rPr>
          <w:sz w:val="16"/>
          <w:szCs w:val="16"/>
          <w:lang w:val="nl-NL"/>
        </w:rPr>
        <w:t xml:space="preserve"> L</w:t>
      </w:r>
      <w:r>
        <w:rPr>
          <w:sz w:val="16"/>
          <w:szCs w:val="16"/>
          <w:lang w:val="nl-NL"/>
        </w:rPr>
        <w:t xml:space="preserve"> </w:t>
      </w:r>
      <w:r w:rsidRPr="00B451F1">
        <w:rPr>
          <w:sz w:val="16"/>
          <w:szCs w:val="16"/>
          <w:lang w:val="nl-NL"/>
        </w:rPr>
        <w:t>165/13.</w:t>
      </w:r>
      <w:r w:rsidRPr="006944B5">
        <w:rPr>
          <w:sz w:val="16"/>
          <w:szCs w:val="16"/>
          <w:lang w:val="nl-NL"/>
        </w:rPr>
        <w:t xml:space="preserve"> </w:t>
      </w:r>
    </w:p>
  </w:footnote>
  <w:footnote w:id="15">
    <w:p w:rsidR="00FB35BD" w:rsidRPr="006944B5" w:rsidRDefault="00FB35BD">
      <w:pPr>
        <w:pStyle w:val="FootnoteText"/>
        <w:rPr>
          <w:sz w:val="16"/>
          <w:szCs w:val="16"/>
          <w:lang w:val="nl-NL"/>
        </w:rPr>
      </w:pPr>
      <w:r w:rsidRPr="0017478C">
        <w:rPr>
          <w:rStyle w:val="FootnoteReference"/>
        </w:rPr>
        <w:footnoteRef/>
      </w:r>
      <w:r w:rsidRPr="006944B5">
        <w:rPr>
          <w:sz w:val="16"/>
          <w:szCs w:val="16"/>
          <w:lang w:val="nl-NL"/>
        </w:rPr>
        <w:t xml:space="preserve"> Zie voetnoot 1.</w:t>
      </w:r>
    </w:p>
  </w:footnote>
  <w:footnote w:id="16">
    <w:p w:rsidR="00FB35BD" w:rsidRPr="00506359" w:rsidRDefault="00FB35BD" w:rsidP="00506359">
      <w:pPr>
        <w:rPr>
          <w:lang w:val="nl-NL"/>
        </w:rPr>
      </w:pPr>
      <w:r w:rsidRPr="0017478C">
        <w:rPr>
          <w:rStyle w:val="FootnoteReference"/>
          <w:sz w:val="20"/>
          <w:szCs w:val="20"/>
        </w:rPr>
        <w:footnoteRef/>
      </w:r>
      <w:r w:rsidRPr="00506359">
        <w:rPr>
          <w:sz w:val="16"/>
          <w:szCs w:val="16"/>
          <w:lang w:val="nl-NL"/>
        </w:rPr>
        <w:t xml:space="preserve"> In het rapport dat Nederland in 2015 moet indienen ter facilitering van de berekening van de toegewezen rechten (assigned amount) wordt de keuze voor het basisjaar voor NF3 gemaakt</w:t>
      </w:r>
      <w:r>
        <w:rPr>
          <w:sz w:val="16"/>
          <w:szCs w:val="16"/>
          <w:lang w:val="nl-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0812"/>
      <w:docPartObj>
        <w:docPartGallery w:val="Page Numbers (Top of Page)"/>
        <w:docPartUnique/>
      </w:docPartObj>
    </w:sdtPr>
    <w:sdtEndPr/>
    <w:sdtContent>
      <w:p w:rsidR="00FB35BD" w:rsidRDefault="0017478C">
        <w:pPr>
          <w:pStyle w:val="Header"/>
          <w:jc w:val="center"/>
        </w:pPr>
        <w:r>
          <w:fldChar w:fldCharType="begin"/>
        </w:r>
        <w:r>
          <w:instrText xml:space="preserve"> PAGE   \* MERGEFORMAT </w:instrText>
        </w:r>
        <w:r>
          <w:fldChar w:fldCharType="separate"/>
        </w:r>
        <w:r w:rsidR="00DD235D">
          <w:rPr>
            <w:noProof/>
          </w:rPr>
          <w:t>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A44D3"/>
    <w:multiLevelType w:val="hybridMultilevel"/>
    <w:tmpl w:val="1074A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A8C0456"/>
    <w:multiLevelType w:val="hybridMultilevel"/>
    <w:tmpl w:val="258CD4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5F67FE1"/>
    <w:multiLevelType w:val="hybridMultilevel"/>
    <w:tmpl w:val="EFB21DAC"/>
    <w:lvl w:ilvl="0" w:tplc="3230BE9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7113308"/>
    <w:multiLevelType w:val="hybridMultilevel"/>
    <w:tmpl w:val="D23031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28D6702"/>
    <w:multiLevelType w:val="hybridMultilevel"/>
    <w:tmpl w:val="EA1E4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2FE45EA"/>
    <w:multiLevelType w:val="hybridMultilevel"/>
    <w:tmpl w:val="81A6254A"/>
    <w:lvl w:ilvl="0" w:tplc="4C42D0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7A74777B"/>
    <w:multiLevelType w:val="hybridMultilevel"/>
    <w:tmpl w:val="D77E7B28"/>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4F3"/>
    <w:rsid w:val="00000834"/>
    <w:rsid w:val="00001B94"/>
    <w:rsid w:val="0000208A"/>
    <w:rsid w:val="00002DAA"/>
    <w:rsid w:val="000033A6"/>
    <w:rsid w:val="00003507"/>
    <w:rsid w:val="0000642B"/>
    <w:rsid w:val="000072BE"/>
    <w:rsid w:val="00025A4F"/>
    <w:rsid w:val="00026125"/>
    <w:rsid w:val="00027094"/>
    <w:rsid w:val="00030DCF"/>
    <w:rsid w:val="000311D9"/>
    <w:rsid w:val="00036580"/>
    <w:rsid w:val="000400C2"/>
    <w:rsid w:val="00040C61"/>
    <w:rsid w:val="00041892"/>
    <w:rsid w:val="0004537A"/>
    <w:rsid w:val="0005434A"/>
    <w:rsid w:val="00056706"/>
    <w:rsid w:val="000618F0"/>
    <w:rsid w:val="00065BCF"/>
    <w:rsid w:val="0006656C"/>
    <w:rsid w:val="0007371F"/>
    <w:rsid w:val="00074802"/>
    <w:rsid w:val="00093414"/>
    <w:rsid w:val="00096273"/>
    <w:rsid w:val="00096D83"/>
    <w:rsid w:val="000972B6"/>
    <w:rsid w:val="00097376"/>
    <w:rsid w:val="000A1875"/>
    <w:rsid w:val="000A38B2"/>
    <w:rsid w:val="000B0A93"/>
    <w:rsid w:val="000B21C9"/>
    <w:rsid w:val="000C0A46"/>
    <w:rsid w:val="000C21D5"/>
    <w:rsid w:val="000C3880"/>
    <w:rsid w:val="000D2BF3"/>
    <w:rsid w:val="000D3EDD"/>
    <w:rsid w:val="000D7E53"/>
    <w:rsid w:val="000E470F"/>
    <w:rsid w:val="000E6EEA"/>
    <w:rsid w:val="000F34B8"/>
    <w:rsid w:val="001030CD"/>
    <w:rsid w:val="001045BB"/>
    <w:rsid w:val="00114393"/>
    <w:rsid w:val="001202D8"/>
    <w:rsid w:val="00123D37"/>
    <w:rsid w:val="001248A2"/>
    <w:rsid w:val="00131310"/>
    <w:rsid w:val="00133E75"/>
    <w:rsid w:val="0014185E"/>
    <w:rsid w:val="00144732"/>
    <w:rsid w:val="001471A4"/>
    <w:rsid w:val="001501EC"/>
    <w:rsid w:val="001523F4"/>
    <w:rsid w:val="00160303"/>
    <w:rsid w:val="001636CC"/>
    <w:rsid w:val="001647C5"/>
    <w:rsid w:val="0017478C"/>
    <w:rsid w:val="00181359"/>
    <w:rsid w:val="00190DDA"/>
    <w:rsid w:val="00191D22"/>
    <w:rsid w:val="001921C3"/>
    <w:rsid w:val="001964CF"/>
    <w:rsid w:val="001A3807"/>
    <w:rsid w:val="001B40D0"/>
    <w:rsid w:val="001C3F66"/>
    <w:rsid w:val="001C66C7"/>
    <w:rsid w:val="001C788E"/>
    <w:rsid w:val="001D020F"/>
    <w:rsid w:val="001D18E8"/>
    <w:rsid w:val="001D365D"/>
    <w:rsid w:val="001D7D1C"/>
    <w:rsid w:val="001E09AA"/>
    <w:rsid w:val="001E0ADB"/>
    <w:rsid w:val="001F00A9"/>
    <w:rsid w:val="001F1AD6"/>
    <w:rsid w:val="001F1C23"/>
    <w:rsid w:val="001F1D15"/>
    <w:rsid w:val="001F5B22"/>
    <w:rsid w:val="00202941"/>
    <w:rsid w:val="00207348"/>
    <w:rsid w:val="00212223"/>
    <w:rsid w:val="00212559"/>
    <w:rsid w:val="002155FA"/>
    <w:rsid w:val="002176F2"/>
    <w:rsid w:val="00221A64"/>
    <w:rsid w:val="00224A92"/>
    <w:rsid w:val="00224BB6"/>
    <w:rsid w:val="002250D3"/>
    <w:rsid w:val="002309B3"/>
    <w:rsid w:val="002324BF"/>
    <w:rsid w:val="0023337A"/>
    <w:rsid w:val="00233C6E"/>
    <w:rsid w:val="002363F6"/>
    <w:rsid w:val="00236D56"/>
    <w:rsid w:val="002370E8"/>
    <w:rsid w:val="00237B2A"/>
    <w:rsid w:val="0024323E"/>
    <w:rsid w:val="00250BC7"/>
    <w:rsid w:val="00256165"/>
    <w:rsid w:val="002634E5"/>
    <w:rsid w:val="002644DA"/>
    <w:rsid w:val="002702C2"/>
    <w:rsid w:val="00271AB1"/>
    <w:rsid w:val="00272B97"/>
    <w:rsid w:val="00275F39"/>
    <w:rsid w:val="00276E14"/>
    <w:rsid w:val="00281179"/>
    <w:rsid w:val="0028360B"/>
    <w:rsid w:val="002837B3"/>
    <w:rsid w:val="002911BC"/>
    <w:rsid w:val="00291704"/>
    <w:rsid w:val="0029199E"/>
    <w:rsid w:val="0029255B"/>
    <w:rsid w:val="00294F69"/>
    <w:rsid w:val="0029585B"/>
    <w:rsid w:val="00297EC3"/>
    <w:rsid w:val="002A0060"/>
    <w:rsid w:val="002A2CF8"/>
    <w:rsid w:val="002A4DCF"/>
    <w:rsid w:val="002B1858"/>
    <w:rsid w:val="002B3F53"/>
    <w:rsid w:val="002B48CD"/>
    <w:rsid w:val="002B67C6"/>
    <w:rsid w:val="002C296D"/>
    <w:rsid w:val="002C3555"/>
    <w:rsid w:val="002C6A91"/>
    <w:rsid w:val="002D5200"/>
    <w:rsid w:val="002D58E7"/>
    <w:rsid w:val="002E31CC"/>
    <w:rsid w:val="002F1210"/>
    <w:rsid w:val="002F3372"/>
    <w:rsid w:val="002F4907"/>
    <w:rsid w:val="00301C93"/>
    <w:rsid w:val="00305525"/>
    <w:rsid w:val="00305C3F"/>
    <w:rsid w:val="00313FF9"/>
    <w:rsid w:val="003152DD"/>
    <w:rsid w:val="00315A36"/>
    <w:rsid w:val="00324655"/>
    <w:rsid w:val="003300FC"/>
    <w:rsid w:val="00330DAA"/>
    <w:rsid w:val="003354C1"/>
    <w:rsid w:val="00336CEB"/>
    <w:rsid w:val="00337C85"/>
    <w:rsid w:val="00337CEC"/>
    <w:rsid w:val="00340B0B"/>
    <w:rsid w:val="00352A77"/>
    <w:rsid w:val="00360BB7"/>
    <w:rsid w:val="00361CCE"/>
    <w:rsid w:val="00361D6B"/>
    <w:rsid w:val="00363874"/>
    <w:rsid w:val="00367693"/>
    <w:rsid w:val="00373D68"/>
    <w:rsid w:val="003741EA"/>
    <w:rsid w:val="00374363"/>
    <w:rsid w:val="0037685B"/>
    <w:rsid w:val="00387C3B"/>
    <w:rsid w:val="00392D38"/>
    <w:rsid w:val="003938E7"/>
    <w:rsid w:val="00394C4A"/>
    <w:rsid w:val="00396A8D"/>
    <w:rsid w:val="0039702B"/>
    <w:rsid w:val="003A3191"/>
    <w:rsid w:val="003B02C0"/>
    <w:rsid w:val="003B0681"/>
    <w:rsid w:val="003B161B"/>
    <w:rsid w:val="003B4B9E"/>
    <w:rsid w:val="003C47C3"/>
    <w:rsid w:val="003C6072"/>
    <w:rsid w:val="003D0426"/>
    <w:rsid w:val="003D30E4"/>
    <w:rsid w:val="003D410C"/>
    <w:rsid w:val="003D58EB"/>
    <w:rsid w:val="003E1D84"/>
    <w:rsid w:val="003F6945"/>
    <w:rsid w:val="003F7A8C"/>
    <w:rsid w:val="00400976"/>
    <w:rsid w:val="00402293"/>
    <w:rsid w:val="0040425C"/>
    <w:rsid w:val="0040515C"/>
    <w:rsid w:val="00410E03"/>
    <w:rsid w:val="00411881"/>
    <w:rsid w:val="0041193C"/>
    <w:rsid w:val="0041369E"/>
    <w:rsid w:val="00417B8B"/>
    <w:rsid w:val="00420E2E"/>
    <w:rsid w:val="004317F4"/>
    <w:rsid w:val="00433C80"/>
    <w:rsid w:val="004343F4"/>
    <w:rsid w:val="004366AA"/>
    <w:rsid w:val="00440044"/>
    <w:rsid w:val="00441FDF"/>
    <w:rsid w:val="004439D0"/>
    <w:rsid w:val="00446DC1"/>
    <w:rsid w:val="00451D62"/>
    <w:rsid w:val="00453882"/>
    <w:rsid w:val="00457522"/>
    <w:rsid w:val="00460BDD"/>
    <w:rsid w:val="00464E9B"/>
    <w:rsid w:val="004669A6"/>
    <w:rsid w:val="00466DD1"/>
    <w:rsid w:val="00467A20"/>
    <w:rsid w:val="00472451"/>
    <w:rsid w:val="004732CA"/>
    <w:rsid w:val="004764F6"/>
    <w:rsid w:val="00477632"/>
    <w:rsid w:val="00486B10"/>
    <w:rsid w:val="0049000E"/>
    <w:rsid w:val="00491F6F"/>
    <w:rsid w:val="0049288C"/>
    <w:rsid w:val="00492B61"/>
    <w:rsid w:val="00494AE1"/>
    <w:rsid w:val="0049525D"/>
    <w:rsid w:val="0049675F"/>
    <w:rsid w:val="004A0BAE"/>
    <w:rsid w:val="004A4812"/>
    <w:rsid w:val="004A702A"/>
    <w:rsid w:val="004B0ECE"/>
    <w:rsid w:val="004C2495"/>
    <w:rsid w:val="004C4A41"/>
    <w:rsid w:val="004C68E3"/>
    <w:rsid w:val="004D6E13"/>
    <w:rsid w:val="004E6FE1"/>
    <w:rsid w:val="00501012"/>
    <w:rsid w:val="005037CE"/>
    <w:rsid w:val="005042B1"/>
    <w:rsid w:val="00505DBB"/>
    <w:rsid w:val="00505E11"/>
    <w:rsid w:val="00506359"/>
    <w:rsid w:val="00510096"/>
    <w:rsid w:val="00512BD2"/>
    <w:rsid w:val="0051550A"/>
    <w:rsid w:val="00515CA8"/>
    <w:rsid w:val="00516463"/>
    <w:rsid w:val="00516D87"/>
    <w:rsid w:val="00520729"/>
    <w:rsid w:val="00531A9C"/>
    <w:rsid w:val="00533941"/>
    <w:rsid w:val="005349A8"/>
    <w:rsid w:val="00534C00"/>
    <w:rsid w:val="00535B76"/>
    <w:rsid w:val="00541C35"/>
    <w:rsid w:val="005420D0"/>
    <w:rsid w:val="0054241E"/>
    <w:rsid w:val="0054662B"/>
    <w:rsid w:val="00547582"/>
    <w:rsid w:val="00552939"/>
    <w:rsid w:val="00554241"/>
    <w:rsid w:val="005574AD"/>
    <w:rsid w:val="00560D31"/>
    <w:rsid w:val="00563D4E"/>
    <w:rsid w:val="00565793"/>
    <w:rsid w:val="0056631B"/>
    <w:rsid w:val="0057215D"/>
    <w:rsid w:val="00574FC3"/>
    <w:rsid w:val="00581886"/>
    <w:rsid w:val="00582C6A"/>
    <w:rsid w:val="0058403E"/>
    <w:rsid w:val="0058648B"/>
    <w:rsid w:val="00590425"/>
    <w:rsid w:val="005921FD"/>
    <w:rsid w:val="005937F2"/>
    <w:rsid w:val="005939BE"/>
    <w:rsid w:val="005A1045"/>
    <w:rsid w:val="005A315F"/>
    <w:rsid w:val="005A47E9"/>
    <w:rsid w:val="005A4AE2"/>
    <w:rsid w:val="005B1F6D"/>
    <w:rsid w:val="005B371A"/>
    <w:rsid w:val="005B4D48"/>
    <w:rsid w:val="005C1DB3"/>
    <w:rsid w:val="005C3E8B"/>
    <w:rsid w:val="005C6CD7"/>
    <w:rsid w:val="005D294A"/>
    <w:rsid w:val="005D3AC3"/>
    <w:rsid w:val="005E1B4B"/>
    <w:rsid w:val="005E3C6E"/>
    <w:rsid w:val="005E50D3"/>
    <w:rsid w:val="005E69B4"/>
    <w:rsid w:val="005F50AF"/>
    <w:rsid w:val="005F6B89"/>
    <w:rsid w:val="006010EA"/>
    <w:rsid w:val="00601226"/>
    <w:rsid w:val="006016FC"/>
    <w:rsid w:val="006034A0"/>
    <w:rsid w:val="006047AE"/>
    <w:rsid w:val="00605A1A"/>
    <w:rsid w:val="006068F8"/>
    <w:rsid w:val="00614EE1"/>
    <w:rsid w:val="006160F2"/>
    <w:rsid w:val="006170ED"/>
    <w:rsid w:val="006175A2"/>
    <w:rsid w:val="00617AA8"/>
    <w:rsid w:val="00622736"/>
    <w:rsid w:val="00624FAD"/>
    <w:rsid w:val="00627EBA"/>
    <w:rsid w:val="00630EAF"/>
    <w:rsid w:val="00641584"/>
    <w:rsid w:val="0064495B"/>
    <w:rsid w:val="00645A56"/>
    <w:rsid w:val="006518C9"/>
    <w:rsid w:val="00653B24"/>
    <w:rsid w:val="00656E4B"/>
    <w:rsid w:val="00657147"/>
    <w:rsid w:val="00675F6B"/>
    <w:rsid w:val="00686FA8"/>
    <w:rsid w:val="00691BA8"/>
    <w:rsid w:val="00691DDE"/>
    <w:rsid w:val="006944B5"/>
    <w:rsid w:val="00694978"/>
    <w:rsid w:val="00697156"/>
    <w:rsid w:val="006A245C"/>
    <w:rsid w:val="006B43B9"/>
    <w:rsid w:val="006B7C72"/>
    <w:rsid w:val="006C3A88"/>
    <w:rsid w:val="006C6C47"/>
    <w:rsid w:val="006D1DCB"/>
    <w:rsid w:val="006D5BA1"/>
    <w:rsid w:val="006D7248"/>
    <w:rsid w:val="006E0789"/>
    <w:rsid w:val="006E1C74"/>
    <w:rsid w:val="006E2D88"/>
    <w:rsid w:val="006E62F4"/>
    <w:rsid w:val="006F0859"/>
    <w:rsid w:val="0070400D"/>
    <w:rsid w:val="00704047"/>
    <w:rsid w:val="00705ADF"/>
    <w:rsid w:val="00714B43"/>
    <w:rsid w:val="00717296"/>
    <w:rsid w:val="00717744"/>
    <w:rsid w:val="0072080D"/>
    <w:rsid w:val="007326EE"/>
    <w:rsid w:val="00735C59"/>
    <w:rsid w:val="00735DD1"/>
    <w:rsid w:val="007362DB"/>
    <w:rsid w:val="00736A68"/>
    <w:rsid w:val="007407A6"/>
    <w:rsid w:val="007429E7"/>
    <w:rsid w:val="00744B8D"/>
    <w:rsid w:val="007554E3"/>
    <w:rsid w:val="007563A6"/>
    <w:rsid w:val="00757F71"/>
    <w:rsid w:val="00760EB7"/>
    <w:rsid w:val="00763362"/>
    <w:rsid w:val="00771035"/>
    <w:rsid w:val="007714F7"/>
    <w:rsid w:val="00772794"/>
    <w:rsid w:val="00775522"/>
    <w:rsid w:val="0077734D"/>
    <w:rsid w:val="007842F7"/>
    <w:rsid w:val="007903BD"/>
    <w:rsid w:val="00790731"/>
    <w:rsid w:val="007A19D1"/>
    <w:rsid w:val="007A26B7"/>
    <w:rsid w:val="007A4F34"/>
    <w:rsid w:val="007B0F1A"/>
    <w:rsid w:val="007B1616"/>
    <w:rsid w:val="007C0159"/>
    <w:rsid w:val="007C06EE"/>
    <w:rsid w:val="007C15D6"/>
    <w:rsid w:val="007C1BB1"/>
    <w:rsid w:val="007C4798"/>
    <w:rsid w:val="007C63A6"/>
    <w:rsid w:val="007C764A"/>
    <w:rsid w:val="007D04C0"/>
    <w:rsid w:val="007D1E7A"/>
    <w:rsid w:val="007D3231"/>
    <w:rsid w:val="007D3285"/>
    <w:rsid w:val="007D6C98"/>
    <w:rsid w:val="007E2DE9"/>
    <w:rsid w:val="007E301C"/>
    <w:rsid w:val="007E35FE"/>
    <w:rsid w:val="007E4A02"/>
    <w:rsid w:val="007E6BE2"/>
    <w:rsid w:val="007F0DA7"/>
    <w:rsid w:val="007F5C07"/>
    <w:rsid w:val="007F676C"/>
    <w:rsid w:val="0080137B"/>
    <w:rsid w:val="00802DCA"/>
    <w:rsid w:val="008034F3"/>
    <w:rsid w:val="00823966"/>
    <w:rsid w:val="00824C82"/>
    <w:rsid w:val="00826942"/>
    <w:rsid w:val="00827DD9"/>
    <w:rsid w:val="0083024D"/>
    <w:rsid w:val="00837DAC"/>
    <w:rsid w:val="00850D0C"/>
    <w:rsid w:val="008548CA"/>
    <w:rsid w:val="00854DBB"/>
    <w:rsid w:val="008601B0"/>
    <w:rsid w:val="00860409"/>
    <w:rsid w:val="00861DF6"/>
    <w:rsid w:val="008627D3"/>
    <w:rsid w:val="00862A4F"/>
    <w:rsid w:val="008703F1"/>
    <w:rsid w:val="0087407F"/>
    <w:rsid w:val="0087482D"/>
    <w:rsid w:val="008754F6"/>
    <w:rsid w:val="008770AD"/>
    <w:rsid w:val="00877CF3"/>
    <w:rsid w:val="00877D46"/>
    <w:rsid w:val="008822D2"/>
    <w:rsid w:val="008827FD"/>
    <w:rsid w:val="00884787"/>
    <w:rsid w:val="0089166A"/>
    <w:rsid w:val="008930CC"/>
    <w:rsid w:val="0089668F"/>
    <w:rsid w:val="008970C5"/>
    <w:rsid w:val="00897AA9"/>
    <w:rsid w:val="008A31E5"/>
    <w:rsid w:val="008A43EE"/>
    <w:rsid w:val="008A4540"/>
    <w:rsid w:val="008A708D"/>
    <w:rsid w:val="008B046A"/>
    <w:rsid w:val="008B1FBC"/>
    <w:rsid w:val="008B642A"/>
    <w:rsid w:val="008B6863"/>
    <w:rsid w:val="008C42CC"/>
    <w:rsid w:val="008C53C2"/>
    <w:rsid w:val="008C5FF5"/>
    <w:rsid w:val="008D471A"/>
    <w:rsid w:val="008D5DB9"/>
    <w:rsid w:val="008D6ACA"/>
    <w:rsid w:val="008D7FD7"/>
    <w:rsid w:val="008E1EDE"/>
    <w:rsid w:val="008E1F83"/>
    <w:rsid w:val="008E2679"/>
    <w:rsid w:val="008E2DEF"/>
    <w:rsid w:val="008E38D3"/>
    <w:rsid w:val="008E668B"/>
    <w:rsid w:val="008F3851"/>
    <w:rsid w:val="0090459F"/>
    <w:rsid w:val="00905DE1"/>
    <w:rsid w:val="00906D54"/>
    <w:rsid w:val="00906FF1"/>
    <w:rsid w:val="00907A73"/>
    <w:rsid w:val="009109E6"/>
    <w:rsid w:val="00912417"/>
    <w:rsid w:val="00920C73"/>
    <w:rsid w:val="009271AD"/>
    <w:rsid w:val="00930256"/>
    <w:rsid w:val="00934DD1"/>
    <w:rsid w:val="009404C2"/>
    <w:rsid w:val="00940A13"/>
    <w:rsid w:val="009411B3"/>
    <w:rsid w:val="00941A1F"/>
    <w:rsid w:val="00945B9E"/>
    <w:rsid w:val="00946AF7"/>
    <w:rsid w:val="00952E1A"/>
    <w:rsid w:val="009533F3"/>
    <w:rsid w:val="00953791"/>
    <w:rsid w:val="0095464A"/>
    <w:rsid w:val="0095606F"/>
    <w:rsid w:val="0095746F"/>
    <w:rsid w:val="00962E62"/>
    <w:rsid w:val="00963A7B"/>
    <w:rsid w:val="00970957"/>
    <w:rsid w:val="00970F40"/>
    <w:rsid w:val="009759A4"/>
    <w:rsid w:val="009805D9"/>
    <w:rsid w:val="00980C12"/>
    <w:rsid w:val="0098175E"/>
    <w:rsid w:val="009836AF"/>
    <w:rsid w:val="00983BC1"/>
    <w:rsid w:val="0098630A"/>
    <w:rsid w:val="0099050E"/>
    <w:rsid w:val="00991DE8"/>
    <w:rsid w:val="00993924"/>
    <w:rsid w:val="009A04A5"/>
    <w:rsid w:val="009A0E57"/>
    <w:rsid w:val="009A21FA"/>
    <w:rsid w:val="009A7290"/>
    <w:rsid w:val="009A7D01"/>
    <w:rsid w:val="009B4911"/>
    <w:rsid w:val="009B4E84"/>
    <w:rsid w:val="009B4EEA"/>
    <w:rsid w:val="009C6CC4"/>
    <w:rsid w:val="009D4048"/>
    <w:rsid w:val="009D779F"/>
    <w:rsid w:val="009E1F4A"/>
    <w:rsid w:val="009E6B54"/>
    <w:rsid w:val="009E7DA6"/>
    <w:rsid w:val="009F7DAB"/>
    <w:rsid w:val="00A00BD8"/>
    <w:rsid w:val="00A02791"/>
    <w:rsid w:val="00A02A73"/>
    <w:rsid w:val="00A02AB8"/>
    <w:rsid w:val="00A02DAC"/>
    <w:rsid w:val="00A0303D"/>
    <w:rsid w:val="00A15C87"/>
    <w:rsid w:val="00A2136C"/>
    <w:rsid w:val="00A26BD1"/>
    <w:rsid w:val="00A32B54"/>
    <w:rsid w:val="00A339DD"/>
    <w:rsid w:val="00A346B1"/>
    <w:rsid w:val="00A35422"/>
    <w:rsid w:val="00A370E5"/>
    <w:rsid w:val="00A37906"/>
    <w:rsid w:val="00A42443"/>
    <w:rsid w:val="00A460ED"/>
    <w:rsid w:val="00A47335"/>
    <w:rsid w:val="00A51B2B"/>
    <w:rsid w:val="00A51FA1"/>
    <w:rsid w:val="00A53106"/>
    <w:rsid w:val="00A534C8"/>
    <w:rsid w:val="00A5475D"/>
    <w:rsid w:val="00A56C40"/>
    <w:rsid w:val="00A56F49"/>
    <w:rsid w:val="00A60303"/>
    <w:rsid w:val="00A60B9E"/>
    <w:rsid w:val="00A64EEB"/>
    <w:rsid w:val="00A66A5A"/>
    <w:rsid w:val="00A67DC5"/>
    <w:rsid w:val="00A71C0C"/>
    <w:rsid w:val="00A722F6"/>
    <w:rsid w:val="00A72FA4"/>
    <w:rsid w:val="00A80F11"/>
    <w:rsid w:val="00A83BD7"/>
    <w:rsid w:val="00A84962"/>
    <w:rsid w:val="00A8498A"/>
    <w:rsid w:val="00A85635"/>
    <w:rsid w:val="00A90340"/>
    <w:rsid w:val="00A94650"/>
    <w:rsid w:val="00A948B9"/>
    <w:rsid w:val="00A96A88"/>
    <w:rsid w:val="00AA0E5B"/>
    <w:rsid w:val="00AA645E"/>
    <w:rsid w:val="00AB03C5"/>
    <w:rsid w:val="00AB1402"/>
    <w:rsid w:val="00AB51B4"/>
    <w:rsid w:val="00AC26EC"/>
    <w:rsid w:val="00AC6C2B"/>
    <w:rsid w:val="00AC7036"/>
    <w:rsid w:val="00AC7151"/>
    <w:rsid w:val="00AD00BE"/>
    <w:rsid w:val="00AD28A1"/>
    <w:rsid w:val="00AD3462"/>
    <w:rsid w:val="00AD518A"/>
    <w:rsid w:val="00AD5E45"/>
    <w:rsid w:val="00AD77B7"/>
    <w:rsid w:val="00AE16B5"/>
    <w:rsid w:val="00AE2925"/>
    <w:rsid w:val="00AE2F34"/>
    <w:rsid w:val="00AE35BF"/>
    <w:rsid w:val="00AE5B37"/>
    <w:rsid w:val="00AE5F9A"/>
    <w:rsid w:val="00AF075E"/>
    <w:rsid w:val="00AF0B28"/>
    <w:rsid w:val="00AF2C2D"/>
    <w:rsid w:val="00AF4A46"/>
    <w:rsid w:val="00AF52D7"/>
    <w:rsid w:val="00AF745A"/>
    <w:rsid w:val="00AF7BA8"/>
    <w:rsid w:val="00B007D4"/>
    <w:rsid w:val="00B012D7"/>
    <w:rsid w:val="00B03DE7"/>
    <w:rsid w:val="00B04AFC"/>
    <w:rsid w:val="00B100C2"/>
    <w:rsid w:val="00B124BF"/>
    <w:rsid w:val="00B125E9"/>
    <w:rsid w:val="00B20B18"/>
    <w:rsid w:val="00B21DFF"/>
    <w:rsid w:val="00B22076"/>
    <w:rsid w:val="00B248D9"/>
    <w:rsid w:val="00B249BD"/>
    <w:rsid w:val="00B37C73"/>
    <w:rsid w:val="00B425AF"/>
    <w:rsid w:val="00B42814"/>
    <w:rsid w:val="00B437EC"/>
    <w:rsid w:val="00B443B9"/>
    <w:rsid w:val="00B451F1"/>
    <w:rsid w:val="00B51729"/>
    <w:rsid w:val="00B53B73"/>
    <w:rsid w:val="00B5489E"/>
    <w:rsid w:val="00B6347B"/>
    <w:rsid w:val="00B657CA"/>
    <w:rsid w:val="00B66F29"/>
    <w:rsid w:val="00B719B2"/>
    <w:rsid w:val="00B74A51"/>
    <w:rsid w:val="00B75A00"/>
    <w:rsid w:val="00B80C40"/>
    <w:rsid w:val="00B81FFA"/>
    <w:rsid w:val="00B832D2"/>
    <w:rsid w:val="00B8442E"/>
    <w:rsid w:val="00B86FB9"/>
    <w:rsid w:val="00B906DE"/>
    <w:rsid w:val="00B90D0B"/>
    <w:rsid w:val="00B9267C"/>
    <w:rsid w:val="00B92BD7"/>
    <w:rsid w:val="00B93487"/>
    <w:rsid w:val="00B94599"/>
    <w:rsid w:val="00B95F5D"/>
    <w:rsid w:val="00BA4D9D"/>
    <w:rsid w:val="00BA6486"/>
    <w:rsid w:val="00BA6598"/>
    <w:rsid w:val="00BB1F6B"/>
    <w:rsid w:val="00BC0383"/>
    <w:rsid w:val="00BC0D6C"/>
    <w:rsid w:val="00BC3AC2"/>
    <w:rsid w:val="00BC5A4E"/>
    <w:rsid w:val="00BD0024"/>
    <w:rsid w:val="00BD22B5"/>
    <w:rsid w:val="00BE146F"/>
    <w:rsid w:val="00BF1ADA"/>
    <w:rsid w:val="00C00ECB"/>
    <w:rsid w:val="00C01AD5"/>
    <w:rsid w:val="00C10670"/>
    <w:rsid w:val="00C145E1"/>
    <w:rsid w:val="00C22A6C"/>
    <w:rsid w:val="00C2311E"/>
    <w:rsid w:val="00C24996"/>
    <w:rsid w:val="00C25880"/>
    <w:rsid w:val="00C2732D"/>
    <w:rsid w:val="00C32120"/>
    <w:rsid w:val="00C37877"/>
    <w:rsid w:val="00C408A8"/>
    <w:rsid w:val="00C40CB5"/>
    <w:rsid w:val="00C428E3"/>
    <w:rsid w:val="00C52F99"/>
    <w:rsid w:val="00C5333E"/>
    <w:rsid w:val="00C53BD6"/>
    <w:rsid w:val="00C561BE"/>
    <w:rsid w:val="00C57C2A"/>
    <w:rsid w:val="00C60F66"/>
    <w:rsid w:val="00C61865"/>
    <w:rsid w:val="00C70547"/>
    <w:rsid w:val="00C721BE"/>
    <w:rsid w:val="00C73985"/>
    <w:rsid w:val="00C746BD"/>
    <w:rsid w:val="00C7694F"/>
    <w:rsid w:val="00C8015B"/>
    <w:rsid w:val="00C856AF"/>
    <w:rsid w:val="00C85E1E"/>
    <w:rsid w:val="00C87311"/>
    <w:rsid w:val="00C91B69"/>
    <w:rsid w:val="00C9425F"/>
    <w:rsid w:val="00C954FE"/>
    <w:rsid w:val="00C9591D"/>
    <w:rsid w:val="00C95CD9"/>
    <w:rsid w:val="00CA0606"/>
    <w:rsid w:val="00CB4B30"/>
    <w:rsid w:val="00CC08C1"/>
    <w:rsid w:val="00CD21D4"/>
    <w:rsid w:val="00CD4C8F"/>
    <w:rsid w:val="00CE0A00"/>
    <w:rsid w:val="00CE203D"/>
    <w:rsid w:val="00CE26C0"/>
    <w:rsid w:val="00CE37D4"/>
    <w:rsid w:val="00CE55EC"/>
    <w:rsid w:val="00CE64A6"/>
    <w:rsid w:val="00CF52E4"/>
    <w:rsid w:val="00CF7E7A"/>
    <w:rsid w:val="00D00BE5"/>
    <w:rsid w:val="00D04B6F"/>
    <w:rsid w:val="00D0520D"/>
    <w:rsid w:val="00D1391F"/>
    <w:rsid w:val="00D13ADA"/>
    <w:rsid w:val="00D25347"/>
    <w:rsid w:val="00D309B7"/>
    <w:rsid w:val="00D36C8A"/>
    <w:rsid w:val="00D3701E"/>
    <w:rsid w:val="00D4626C"/>
    <w:rsid w:val="00D47299"/>
    <w:rsid w:val="00D50F5D"/>
    <w:rsid w:val="00D515F3"/>
    <w:rsid w:val="00D54019"/>
    <w:rsid w:val="00D64360"/>
    <w:rsid w:val="00D64442"/>
    <w:rsid w:val="00D6503F"/>
    <w:rsid w:val="00D71488"/>
    <w:rsid w:val="00D7374A"/>
    <w:rsid w:val="00D74080"/>
    <w:rsid w:val="00D74203"/>
    <w:rsid w:val="00D8036C"/>
    <w:rsid w:val="00D80547"/>
    <w:rsid w:val="00D836FE"/>
    <w:rsid w:val="00D95F87"/>
    <w:rsid w:val="00D97172"/>
    <w:rsid w:val="00D97F7B"/>
    <w:rsid w:val="00DA16A7"/>
    <w:rsid w:val="00DB3BE0"/>
    <w:rsid w:val="00DB43B9"/>
    <w:rsid w:val="00DB5E8E"/>
    <w:rsid w:val="00DC1CBE"/>
    <w:rsid w:val="00DC3CFA"/>
    <w:rsid w:val="00DC47E9"/>
    <w:rsid w:val="00DC5AB2"/>
    <w:rsid w:val="00DC67F4"/>
    <w:rsid w:val="00DD1A9E"/>
    <w:rsid w:val="00DD235D"/>
    <w:rsid w:val="00DD27B5"/>
    <w:rsid w:val="00DD52B5"/>
    <w:rsid w:val="00DD572F"/>
    <w:rsid w:val="00DE381E"/>
    <w:rsid w:val="00DE4C1B"/>
    <w:rsid w:val="00E022FA"/>
    <w:rsid w:val="00E05061"/>
    <w:rsid w:val="00E05C5F"/>
    <w:rsid w:val="00E067B9"/>
    <w:rsid w:val="00E107FB"/>
    <w:rsid w:val="00E11081"/>
    <w:rsid w:val="00E129A9"/>
    <w:rsid w:val="00E15102"/>
    <w:rsid w:val="00E15923"/>
    <w:rsid w:val="00E16586"/>
    <w:rsid w:val="00E165CE"/>
    <w:rsid w:val="00E23BE3"/>
    <w:rsid w:val="00E3222C"/>
    <w:rsid w:val="00E32DD9"/>
    <w:rsid w:val="00E34D43"/>
    <w:rsid w:val="00E3522B"/>
    <w:rsid w:val="00E430ED"/>
    <w:rsid w:val="00E46572"/>
    <w:rsid w:val="00E46CB9"/>
    <w:rsid w:val="00E50883"/>
    <w:rsid w:val="00E514D7"/>
    <w:rsid w:val="00E52F14"/>
    <w:rsid w:val="00E63B93"/>
    <w:rsid w:val="00E64B27"/>
    <w:rsid w:val="00E65E56"/>
    <w:rsid w:val="00E67478"/>
    <w:rsid w:val="00E6784E"/>
    <w:rsid w:val="00E70BA0"/>
    <w:rsid w:val="00E7113E"/>
    <w:rsid w:val="00E72633"/>
    <w:rsid w:val="00E73FDC"/>
    <w:rsid w:val="00E80776"/>
    <w:rsid w:val="00E82644"/>
    <w:rsid w:val="00E85757"/>
    <w:rsid w:val="00E86B9E"/>
    <w:rsid w:val="00E9299D"/>
    <w:rsid w:val="00EA02DC"/>
    <w:rsid w:val="00EA0C86"/>
    <w:rsid w:val="00EA2952"/>
    <w:rsid w:val="00EA4EC2"/>
    <w:rsid w:val="00EA5684"/>
    <w:rsid w:val="00EA6B89"/>
    <w:rsid w:val="00EA6EC8"/>
    <w:rsid w:val="00EB0A57"/>
    <w:rsid w:val="00EB0DAA"/>
    <w:rsid w:val="00EB320A"/>
    <w:rsid w:val="00EB785C"/>
    <w:rsid w:val="00EC2AB1"/>
    <w:rsid w:val="00EC3AEF"/>
    <w:rsid w:val="00EC45F0"/>
    <w:rsid w:val="00ED0827"/>
    <w:rsid w:val="00ED5CF9"/>
    <w:rsid w:val="00ED708E"/>
    <w:rsid w:val="00ED72C5"/>
    <w:rsid w:val="00EE5869"/>
    <w:rsid w:val="00EE66B6"/>
    <w:rsid w:val="00EF0175"/>
    <w:rsid w:val="00EF54B1"/>
    <w:rsid w:val="00F04DE8"/>
    <w:rsid w:val="00F0723D"/>
    <w:rsid w:val="00F119FD"/>
    <w:rsid w:val="00F13C66"/>
    <w:rsid w:val="00F16E29"/>
    <w:rsid w:val="00F17091"/>
    <w:rsid w:val="00F20007"/>
    <w:rsid w:val="00F2007D"/>
    <w:rsid w:val="00F20CB3"/>
    <w:rsid w:val="00F2238E"/>
    <w:rsid w:val="00F224FF"/>
    <w:rsid w:val="00F23EEF"/>
    <w:rsid w:val="00F250B7"/>
    <w:rsid w:val="00F259FE"/>
    <w:rsid w:val="00F25B20"/>
    <w:rsid w:val="00F32189"/>
    <w:rsid w:val="00F32FFE"/>
    <w:rsid w:val="00F4077B"/>
    <w:rsid w:val="00F42E3B"/>
    <w:rsid w:val="00F439AD"/>
    <w:rsid w:val="00F510C2"/>
    <w:rsid w:val="00F55419"/>
    <w:rsid w:val="00F55C60"/>
    <w:rsid w:val="00F56A10"/>
    <w:rsid w:val="00F628CB"/>
    <w:rsid w:val="00F650C1"/>
    <w:rsid w:val="00F65406"/>
    <w:rsid w:val="00F71F44"/>
    <w:rsid w:val="00F832AA"/>
    <w:rsid w:val="00F90244"/>
    <w:rsid w:val="00FA0389"/>
    <w:rsid w:val="00FA23F4"/>
    <w:rsid w:val="00FA2CF3"/>
    <w:rsid w:val="00FA2E47"/>
    <w:rsid w:val="00FA70DC"/>
    <w:rsid w:val="00FB0017"/>
    <w:rsid w:val="00FB059A"/>
    <w:rsid w:val="00FB35BD"/>
    <w:rsid w:val="00FB4779"/>
    <w:rsid w:val="00FC06EE"/>
    <w:rsid w:val="00FC23C2"/>
    <w:rsid w:val="00FC4148"/>
    <w:rsid w:val="00FC4248"/>
    <w:rsid w:val="00FC479B"/>
    <w:rsid w:val="00FD0551"/>
    <w:rsid w:val="00FD207A"/>
    <w:rsid w:val="00FD434C"/>
    <w:rsid w:val="00FD754A"/>
    <w:rsid w:val="00FE23C9"/>
    <w:rsid w:val="00FE44D5"/>
    <w:rsid w:val="00FF052B"/>
    <w:rsid w:val="00FF118A"/>
    <w:rsid w:val="00FF26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8034F3"/>
    <w:rPr>
      <w:sz w:val="16"/>
      <w:szCs w:val="16"/>
    </w:rPr>
  </w:style>
  <w:style w:type="paragraph" w:styleId="CommentText">
    <w:name w:val="annotation text"/>
    <w:basedOn w:val="Normal"/>
    <w:link w:val="CommentTextChar"/>
    <w:semiHidden/>
    <w:rsid w:val="008034F3"/>
    <w:pPr>
      <w:spacing w:after="0"/>
    </w:pPr>
    <w:rPr>
      <w:rFonts w:ascii="Times New Roman" w:eastAsia="Times New Roman" w:hAnsi="Times New Roman" w:cs="Times New Roman"/>
      <w:sz w:val="20"/>
      <w:szCs w:val="20"/>
      <w:lang w:val="nl-NL" w:eastAsia="nl-NL"/>
    </w:rPr>
  </w:style>
  <w:style w:type="character" w:customStyle="1" w:styleId="CommentTextChar">
    <w:name w:val="Comment Text Char"/>
    <w:basedOn w:val="DefaultParagraphFont"/>
    <w:link w:val="CommentText"/>
    <w:semiHidden/>
    <w:rsid w:val="008034F3"/>
    <w:rPr>
      <w:rFonts w:ascii="Times New Roman" w:eastAsia="Times New Roman" w:hAnsi="Times New Roman" w:cs="Times New Roman"/>
      <w:sz w:val="20"/>
      <w:szCs w:val="20"/>
      <w:lang w:val="nl-NL" w:eastAsia="nl-NL"/>
    </w:rPr>
  </w:style>
  <w:style w:type="paragraph" w:styleId="BalloonText">
    <w:name w:val="Balloon Text"/>
    <w:basedOn w:val="Normal"/>
    <w:link w:val="BalloonTextChar"/>
    <w:uiPriority w:val="99"/>
    <w:semiHidden/>
    <w:unhideWhenUsed/>
    <w:rsid w:val="008034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4F3"/>
    <w:rPr>
      <w:rFonts w:ascii="Tahoma" w:hAnsi="Tahoma" w:cs="Tahoma"/>
      <w:sz w:val="16"/>
      <w:szCs w:val="16"/>
    </w:rPr>
  </w:style>
  <w:style w:type="paragraph" w:styleId="ListParagraph">
    <w:name w:val="List Paragraph"/>
    <w:basedOn w:val="Normal"/>
    <w:uiPriority w:val="34"/>
    <w:qFormat/>
    <w:rsid w:val="00367693"/>
    <w:pPr>
      <w:ind w:left="720"/>
      <w:contextualSpacing/>
    </w:pPr>
  </w:style>
  <w:style w:type="paragraph" w:styleId="EndnoteText">
    <w:name w:val="endnote text"/>
    <w:basedOn w:val="Normal"/>
    <w:link w:val="EndnoteTextChar"/>
    <w:uiPriority w:val="99"/>
    <w:semiHidden/>
    <w:unhideWhenUsed/>
    <w:rsid w:val="00B832D2"/>
    <w:pPr>
      <w:spacing w:after="0"/>
    </w:pPr>
    <w:rPr>
      <w:sz w:val="20"/>
      <w:szCs w:val="20"/>
    </w:rPr>
  </w:style>
  <w:style w:type="character" w:customStyle="1" w:styleId="EndnoteTextChar">
    <w:name w:val="Endnote Text Char"/>
    <w:basedOn w:val="DefaultParagraphFont"/>
    <w:link w:val="EndnoteText"/>
    <w:uiPriority w:val="99"/>
    <w:semiHidden/>
    <w:rsid w:val="00B832D2"/>
    <w:rPr>
      <w:sz w:val="20"/>
      <w:szCs w:val="20"/>
    </w:rPr>
  </w:style>
  <w:style w:type="character" w:styleId="EndnoteReference">
    <w:name w:val="endnote reference"/>
    <w:basedOn w:val="DefaultParagraphFont"/>
    <w:uiPriority w:val="99"/>
    <w:semiHidden/>
    <w:unhideWhenUsed/>
    <w:rsid w:val="00B832D2"/>
    <w:rPr>
      <w:vertAlign w:val="superscript"/>
    </w:rPr>
  </w:style>
  <w:style w:type="character" w:styleId="Hyperlink">
    <w:name w:val="Hyperlink"/>
    <w:basedOn w:val="DefaultParagraphFont"/>
    <w:uiPriority w:val="99"/>
    <w:semiHidden/>
    <w:unhideWhenUsed/>
    <w:rsid w:val="00B832D2"/>
    <w:rPr>
      <w:color w:val="0000FF"/>
      <w:u w:val="single"/>
    </w:rPr>
  </w:style>
  <w:style w:type="character" w:styleId="Emphasis">
    <w:name w:val="Emphasis"/>
    <w:basedOn w:val="DefaultParagraphFont"/>
    <w:uiPriority w:val="20"/>
    <w:qFormat/>
    <w:rsid w:val="00B832D2"/>
    <w:rPr>
      <w:i/>
      <w:iCs/>
    </w:rPr>
  </w:style>
  <w:style w:type="paragraph" w:styleId="FootnoteText">
    <w:name w:val="footnote text"/>
    <w:basedOn w:val="Normal"/>
    <w:link w:val="FootnoteTextChar"/>
    <w:uiPriority w:val="99"/>
    <w:unhideWhenUsed/>
    <w:rsid w:val="00B832D2"/>
    <w:pPr>
      <w:spacing w:after="0"/>
    </w:pPr>
    <w:rPr>
      <w:sz w:val="20"/>
      <w:szCs w:val="20"/>
    </w:rPr>
  </w:style>
  <w:style w:type="character" w:customStyle="1" w:styleId="FootnoteTextChar">
    <w:name w:val="Footnote Text Char"/>
    <w:basedOn w:val="DefaultParagraphFont"/>
    <w:link w:val="FootnoteText"/>
    <w:uiPriority w:val="99"/>
    <w:rsid w:val="00B832D2"/>
    <w:rPr>
      <w:sz w:val="20"/>
      <w:szCs w:val="20"/>
    </w:rPr>
  </w:style>
  <w:style w:type="character" w:styleId="FootnoteReference">
    <w:name w:val="footnote reference"/>
    <w:basedOn w:val="DefaultParagraphFont"/>
    <w:uiPriority w:val="99"/>
    <w:semiHidden/>
    <w:unhideWhenUsed/>
    <w:rsid w:val="00B832D2"/>
    <w:rPr>
      <w:vertAlign w:val="superscript"/>
    </w:rPr>
  </w:style>
  <w:style w:type="paragraph" w:styleId="CommentSubject">
    <w:name w:val="annotation subject"/>
    <w:basedOn w:val="CommentText"/>
    <w:next w:val="CommentText"/>
    <w:link w:val="CommentSubjectChar"/>
    <w:uiPriority w:val="99"/>
    <w:semiHidden/>
    <w:unhideWhenUsed/>
    <w:rsid w:val="00191D22"/>
    <w:pPr>
      <w:spacing w:after="200"/>
    </w:pPr>
    <w:rPr>
      <w:rFonts w:ascii="Verdana" w:eastAsiaTheme="minorHAnsi" w:hAnsi="Verdana" w:cstheme="minorBidi"/>
      <w:b/>
      <w:bCs/>
      <w:lang w:val="en-US" w:eastAsia="en-US"/>
    </w:rPr>
  </w:style>
  <w:style w:type="character" w:customStyle="1" w:styleId="CommentSubjectChar">
    <w:name w:val="Comment Subject Char"/>
    <w:basedOn w:val="CommentTextChar"/>
    <w:link w:val="CommentSubject"/>
    <w:uiPriority w:val="99"/>
    <w:semiHidden/>
    <w:rsid w:val="00191D22"/>
    <w:rPr>
      <w:rFonts w:ascii="Times New Roman" w:eastAsia="Times New Roman" w:hAnsi="Times New Roman" w:cs="Times New Roman"/>
      <w:b/>
      <w:bCs/>
      <w:sz w:val="20"/>
      <w:szCs w:val="20"/>
      <w:lang w:val="nl-NL" w:eastAsia="nl-NL"/>
    </w:rPr>
  </w:style>
  <w:style w:type="paragraph" w:styleId="Header">
    <w:name w:val="header"/>
    <w:basedOn w:val="Normal"/>
    <w:link w:val="HeaderChar"/>
    <w:uiPriority w:val="99"/>
    <w:unhideWhenUsed/>
    <w:rsid w:val="00360BB7"/>
    <w:pPr>
      <w:tabs>
        <w:tab w:val="center" w:pos="4536"/>
        <w:tab w:val="right" w:pos="9072"/>
      </w:tabs>
      <w:spacing w:after="0"/>
    </w:pPr>
  </w:style>
  <w:style w:type="character" w:customStyle="1" w:styleId="HeaderChar">
    <w:name w:val="Header Char"/>
    <w:basedOn w:val="DefaultParagraphFont"/>
    <w:link w:val="Header"/>
    <w:uiPriority w:val="99"/>
    <w:rsid w:val="00360BB7"/>
  </w:style>
  <w:style w:type="paragraph" w:styleId="Footer">
    <w:name w:val="footer"/>
    <w:basedOn w:val="Normal"/>
    <w:link w:val="FooterChar"/>
    <w:uiPriority w:val="99"/>
    <w:unhideWhenUsed/>
    <w:rsid w:val="00360BB7"/>
    <w:pPr>
      <w:tabs>
        <w:tab w:val="center" w:pos="4536"/>
        <w:tab w:val="right" w:pos="9072"/>
      </w:tabs>
      <w:spacing w:after="0"/>
    </w:pPr>
  </w:style>
  <w:style w:type="character" w:customStyle="1" w:styleId="FooterChar">
    <w:name w:val="Footer Char"/>
    <w:basedOn w:val="DefaultParagraphFont"/>
    <w:link w:val="Footer"/>
    <w:uiPriority w:val="99"/>
    <w:rsid w:val="00360B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8034F3"/>
    <w:rPr>
      <w:sz w:val="16"/>
      <w:szCs w:val="16"/>
    </w:rPr>
  </w:style>
  <w:style w:type="paragraph" w:styleId="CommentText">
    <w:name w:val="annotation text"/>
    <w:basedOn w:val="Normal"/>
    <w:link w:val="CommentTextChar"/>
    <w:semiHidden/>
    <w:rsid w:val="008034F3"/>
    <w:pPr>
      <w:spacing w:after="0"/>
    </w:pPr>
    <w:rPr>
      <w:rFonts w:ascii="Times New Roman" w:eastAsia="Times New Roman" w:hAnsi="Times New Roman" w:cs="Times New Roman"/>
      <w:sz w:val="20"/>
      <w:szCs w:val="20"/>
      <w:lang w:val="nl-NL" w:eastAsia="nl-NL"/>
    </w:rPr>
  </w:style>
  <w:style w:type="character" w:customStyle="1" w:styleId="CommentTextChar">
    <w:name w:val="Comment Text Char"/>
    <w:basedOn w:val="DefaultParagraphFont"/>
    <w:link w:val="CommentText"/>
    <w:semiHidden/>
    <w:rsid w:val="008034F3"/>
    <w:rPr>
      <w:rFonts w:ascii="Times New Roman" w:eastAsia="Times New Roman" w:hAnsi="Times New Roman" w:cs="Times New Roman"/>
      <w:sz w:val="20"/>
      <w:szCs w:val="20"/>
      <w:lang w:val="nl-NL" w:eastAsia="nl-NL"/>
    </w:rPr>
  </w:style>
  <w:style w:type="paragraph" w:styleId="BalloonText">
    <w:name w:val="Balloon Text"/>
    <w:basedOn w:val="Normal"/>
    <w:link w:val="BalloonTextChar"/>
    <w:uiPriority w:val="99"/>
    <w:semiHidden/>
    <w:unhideWhenUsed/>
    <w:rsid w:val="008034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4F3"/>
    <w:rPr>
      <w:rFonts w:ascii="Tahoma" w:hAnsi="Tahoma" w:cs="Tahoma"/>
      <w:sz w:val="16"/>
      <w:szCs w:val="16"/>
    </w:rPr>
  </w:style>
  <w:style w:type="paragraph" w:styleId="ListParagraph">
    <w:name w:val="List Paragraph"/>
    <w:basedOn w:val="Normal"/>
    <w:uiPriority w:val="34"/>
    <w:qFormat/>
    <w:rsid w:val="00367693"/>
    <w:pPr>
      <w:ind w:left="720"/>
      <w:contextualSpacing/>
    </w:pPr>
  </w:style>
  <w:style w:type="paragraph" w:styleId="EndnoteText">
    <w:name w:val="endnote text"/>
    <w:basedOn w:val="Normal"/>
    <w:link w:val="EndnoteTextChar"/>
    <w:uiPriority w:val="99"/>
    <w:semiHidden/>
    <w:unhideWhenUsed/>
    <w:rsid w:val="00B832D2"/>
    <w:pPr>
      <w:spacing w:after="0"/>
    </w:pPr>
    <w:rPr>
      <w:sz w:val="20"/>
      <w:szCs w:val="20"/>
    </w:rPr>
  </w:style>
  <w:style w:type="character" w:customStyle="1" w:styleId="EndnoteTextChar">
    <w:name w:val="Endnote Text Char"/>
    <w:basedOn w:val="DefaultParagraphFont"/>
    <w:link w:val="EndnoteText"/>
    <w:uiPriority w:val="99"/>
    <w:semiHidden/>
    <w:rsid w:val="00B832D2"/>
    <w:rPr>
      <w:sz w:val="20"/>
      <w:szCs w:val="20"/>
    </w:rPr>
  </w:style>
  <w:style w:type="character" w:styleId="EndnoteReference">
    <w:name w:val="endnote reference"/>
    <w:basedOn w:val="DefaultParagraphFont"/>
    <w:uiPriority w:val="99"/>
    <w:semiHidden/>
    <w:unhideWhenUsed/>
    <w:rsid w:val="00B832D2"/>
    <w:rPr>
      <w:vertAlign w:val="superscript"/>
    </w:rPr>
  </w:style>
  <w:style w:type="character" w:styleId="Hyperlink">
    <w:name w:val="Hyperlink"/>
    <w:basedOn w:val="DefaultParagraphFont"/>
    <w:uiPriority w:val="99"/>
    <w:semiHidden/>
    <w:unhideWhenUsed/>
    <w:rsid w:val="00B832D2"/>
    <w:rPr>
      <w:color w:val="0000FF"/>
      <w:u w:val="single"/>
    </w:rPr>
  </w:style>
  <w:style w:type="character" w:styleId="Emphasis">
    <w:name w:val="Emphasis"/>
    <w:basedOn w:val="DefaultParagraphFont"/>
    <w:uiPriority w:val="20"/>
    <w:qFormat/>
    <w:rsid w:val="00B832D2"/>
    <w:rPr>
      <w:i/>
      <w:iCs/>
    </w:rPr>
  </w:style>
  <w:style w:type="paragraph" w:styleId="FootnoteText">
    <w:name w:val="footnote text"/>
    <w:basedOn w:val="Normal"/>
    <w:link w:val="FootnoteTextChar"/>
    <w:uiPriority w:val="99"/>
    <w:unhideWhenUsed/>
    <w:rsid w:val="00B832D2"/>
    <w:pPr>
      <w:spacing w:after="0"/>
    </w:pPr>
    <w:rPr>
      <w:sz w:val="20"/>
      <w:szCs w:val="20"/>
    </w:rPr>
  </w:style>
  <w:style w:type="character" w:customStyle="1" w:styleId="FootnoteTextChar">
    <w:name w:val="Footnote Text Char"/>
    <w:basedOn w:val="DefaultParagraphFont"/>
    <w:link w:val="FootnoteText"/>
    <w:uiPriority w:val="99"/>
    <w:rsid w:val="00B832D2"/>
    <w:rPr>
      <w:sz w:val="20"/>
      <w:szCs w:val="20"/>
    </w:rPr>
  </w:style>
  <w:style w:type="character" w:styleId="FootnoteReference">
    <w:name w:val="footnote reference"/>
    <w:basedOn w:val="DefaultParagraphFont"/>
    <w:uiPriority w:val="99"/>
    <w:semiHidden/>
    <w:unhideWhenUsed/>
    <w:rsid w:val="00B832D2"/>
    <w:rPr>
      <w:vertAlign w:val="superscript"/>
    </w:rPr>
  </w:style>
  <w:style w:type="paragraph" w:styleId="CommentSubject">
    <w:name w:val="annotation subject"/>
    <w:basedOn w:val="CommentText"/>
    <w:next w:val="CommentText"/>
    <w:link w:val="CommentSubjectChar"/>
    <w:uiPriority w:val="99"/>
    <w:semiHidden/>
    <w:unhideWhenUsed/>
    <w:rsid w:val="00191D22"/>
    <w:pPr>
      <w:spacing w:after="200"/>
    </w:pPr>
    <w:rPr>
      <w:rFonts w:ascii="Verdana" w:eastAsiaTheme="minorHAnsi" w:hAnsi="Verdana" w:cstheme="minorBidi"/>
      <w:b/>
      <w:bCs/>
      <w:lang w:val="en-US" w:eastAsia="en-US"/>
    </w:rPr>
  </w:style>
  <w:style w:type="character" w:customStyle="1" w:styleId="CommentSubjectChar">
    <w:name w:val="Comment Subject Char"/>
    <w:basedOn w:val="CommentTextChar"/>
    <w:link w:val="CommentSubject"/>
    <w:uiPriority w:val="99"/>
    <w:semiHidden/>
    <w:rsid w:val="00191D22"/>
    <w:rPr>
      <w:rFonts w:ascii="Times New Roman" w:eastAsia="Times New Roman" w:hAnsi="Times New Roman" w:cs="Times New Roman"/>
      <w:b/>
      <w:bCs/>
      <w:sz w:val="20"/>
      <w:szCs w:val="20"/>
      <w:lang w:val="nl-NL" w:eastAsia="nl-NL"/>
    </w:rPr>
  </w:style>
  <w:style w:type="paragraph" w:styleId="Header">
    <w:name w:val="header"/>
    <w:basedOn w:val="Normal"/>
    <w:link w:val="HeaderChar"/>
    <w:uiPriority w:val="99"/>
    <w:unhideWhenUsed/>
    <w:rsid w:val="00360BB7"/>
    <w:pPr>
      <w:tabs>
        <w:tab w:val="center" w:pos="4536"/>
        <w:tab w:val="right" w:pos="9072"/>
      </w:tabs>
      <w:spacing w:after="0"/>
    </w:pPr>
  </w:style>
  <w:style w:type="character" w:customStyle="1" w:styleId="HeaderChar">
    <w:name w:val="Header Char"/>
    <w:basedOn w:val="DefaultParagraphFont"/>
    <w:link w:val="Header"/>
    <w:uiPriority w:val="99"/>
    <w:rsid w:val="00360BB7"/>
  </w:style>
  <w:style w:type="paragraph" w:styleId="Footer">
    <w:name w:val="footer"/>
    <w:basedOn w:val="Normal"/>
    <w:link w:val="FooterChar"/>
    <w:uiPriority w:val="99"/>
    <w:unhideWhenUsed/>
    <w:rsid w:val="00360BB7"/>
    <w:pPr>
      <w:tabs>
        <w:tab w:val="center" w:pos="4536"/>
        <w:tab w:val="right" w:pos="9072"/>
      </w:tabs>
      <w:spacing w:after="0"/>
    </w:pPr>
  </w:style>
  <w:style w:type="character" w:customStyle="1" w:styleId="FooterChar">
    <w:name w:val="Footer Char"/>
    <w:basedOn w:val="DefaultParagraphFont"/>
    <w:link w:val="Footer"/>
    <w:uiPriority w:val="99"/>
    <w:rsid w:val="00360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60527">
      <w:bodyDiv w:val="1"/>
      <w:marLeft w:val="0"/>
      <w:marRight w:val="0"/>
      <w:marTop w:val="0"/>
      <w:marBottom w:val="0"/>
      <w:divBdr>
        <w:top w:val="none" w:sz="0" w:space="0" w:color="auto"/>
        <w:left w:val="none" w:sz="0" w:space="0" w:color="auto"/>
        <w:bottom w:val="none" w:sz="0" w:space="0" w:color="auto"/>
        <w:right w:val="none" w:sz="0" w:space="0" w:color="auto"/>
      </w:divBdr>
    </w:div>
    <w:div w:id="425538873">
      <w:bodyDiv w:val="1"/>
      <w:marLeft w:val="0"/>
      <w:marRight w:val="0"/>
      <w:marTop w:val="0"/>
      <w:marBottom w:val="0"/>
      <w:divBdr>
        <w:top w:val="none" w:sz="0" w:space="0" w:color="auto"/>
        <w:left w:val="none" w:sz="0" w:space="0" w:color="auto"/>
        <w:bottom w:val="none" w:sz="0" w:space="0" w:color="auto"/>
        <w:right w:val="none" w:sz="0" w:space="0" w:color="auto"/>
      </w:divBdr>
    </w:div>
    <w:div w:id="939875051">
      <w:bodyDiv w:val="1"/>
      <w:marLeft w:val="0"/>
      <w:marRight w:val="0"/>
      <w:marTop w:val="0"/>
      <w:marBottom w:val="0"/>
      <w:divBdr>
        <w:top w:val="none" w:sz="0" w:space="0" w:color="auto"/>
        <w:left w:val="none" w:sz="0" w:space="0" w:color="auto"/>
        <w:bottom w:val="none" w:sz="0" w:space="0" w:color="auto"/>
        <w:right w:val="none" w:sz="0" w:space="0" w:color="auto"/>
      </w:divBdr>
    </w:div>
    <w:div w:id="1169104850">
      <w:bodyDiv w:val="1"/>
      <w:marLeft w:val="0"/>
      <w:marRight w:val="0"/>
      <w:marTop w:val="0"/>
      <w:marBottom w:val="0"/>
      <w:divBdr>
        <w:top w:val="none" w:sz="0" w:space="0" w:color="auto"/>
        <w:left w:val="none" w:sz="0" w:space="0" w:color="auto"/>
        <w:bottom w:val="none" w:sz="0" w:space="0" w:color="auto"/>
        <w:right w:val="none" w:sz="0" w:space="0" w:color="auto"/>
      </w:divBdr>
    </w:div>
    <w:div w:id="142221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3190</ap:Words>
  <ap:Characters>17547</ap:Characters>
  <ap:DocSecurity>0</ap:DocSecurity>
  <ap:Lines>146</ap:Lines>
  <ap:Paragraphs>41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20696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2015-05-06T12:37:00.0000000Z</lastPrinted>
  <dcterms:created xsi:type="dcterms:W3CDTF">2015-06-10T08:50:00.0000000Z</dcterms:created>
  <dcterms:modified xsi:type="dcterms:W3CDTF">2015-06-10T08:50:00.0000000Z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0x01010048E9BDAD1D8B384687B4AF2E2EC6D3ED</vt:lpwstr>
  </property>
</Properties>
</file>