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D2" w:rsidP="00E153D2" w:rsidRDefault="00E15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Bijlage: toerekening verdeling rijksuitgaven</w:t>
      </w:r>
      <w:r w:rsidRPr="00293F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Pr="00293F23">
        <w:rPr>
          <w:b/>
          <w:sz w:val="20"/>
          <w:szCs w:val="20"/>
        </w:rPr>
        <w:t>014</w:t>
      </w:r>
      <w:r>
        <w:rPr>
          <w:b/>
          <w:sz w:val="20"/>
          <w:szCs w:val="20"/>
        </w:rPr>
        <w:t xml:space="preserve"> (verdeling per eiland)</w:t>
      </w:r>
    </w:p>
    <w:p w:rsidRPr="00293F23" w:rsidR="00E153D2" w:rsidP="00E153D2" w:rsidRDefault="00E153D2">
      <w:pPr>
        <w:rPr>
          <w:b/>
          <w:sz w:val="20"/>
          <w:szCs w:val="20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4644"/>
        <w:gridCol w:w="1276"/>
        <w:gridCol w:w="1134"/>
        <w:gridCol w:w="1134"/>
        <w:gridCol w:w="1100"/>
      </w:tblGrid>
      <w:tr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b/>
              </w:rPr>
            </w:pPr>
            <w:r>
              <w:rPr>
                <w:b/>
              </w:rPr>
              <w:t>B</w:t>
            </w:r>
            <w:r w:rsidRPr="005A3FAA">
              <w:rPr>
                <w:b/>
              </w:rPr>
              <w:t>edragen in 2014 in euro’s</w:t>
            </w:r>
          </w:p>
        </w:tc>
        <w:tc>
          <w:tcPr>
            <w:tcW w:w="1276" w:type="dxa"/>
          </w:tcPr>
          <w:p w:rsidRPr="00AF65F9" w:rsidR="00E153D2" w:rsidP="000E5F57" w:rsidRDefault="00E153D2">
            <w:r w:rsidRPr="00AF65F9">
              <w:t>Bonaire</w:t>
            </w:r>
          </w:p>
        </w:tc>
        <w:tc>
          <w:tcPr>
            <w:tcW w:w="1134" w:type="dxa"/>
          </w:tcPr>
          <w:p w:rsidRPr="00AF65F9" w:rsidR="00E153D2" w:rsidP="000E5F57" w:rsidRDefault="00E153D2">
            <w:r w:rsidRPr="00AF65F9">
              <w:t xml:space="preserve">Sint </w:t>
            </w:r>
            <w:proofErr w:type="spellStart"/>
            <w:r w:rsidRPr="00AF65F9">
              <w:t>Eustatius</w:t>
            </w:r>
            <w:proofErr w:type="spellEnd"/>
          </w:p>
        </w:tc>
        <w:tc>
          <w:tcPr>
            <w:tcW w:w="1134" w:type="dxa"/>
          </w:tcPr>
          <w:p w:rsidRPr="00AF65F9" w:rsidR="00E153D2" w:rsidP="000E5F57" w:rsidRDefault="00E153D2">
            <w:r w:rsidRPr="00AF65F9">
              <w:t>Saba</w:t>
            </w:r>
          </w:p>
        </w:tc>
        <w:tc>
          <w:tcPr>
            <w:tcW w:w="1100" w:type="dxa"/>
          </w:tcPr>
          <w:p w:rsidRPr="00AF65F9" w:rsidR="00E153D2" w:rsidP="000E5F57" w:rsidRDefault="00E153D2">
            <w:r>
              <w:t>T.b.v. a</w:t>
            </w:r>
            <w:r w:rsidRPr="00AF65F9">
              <w:t>lle eilanden</w:t>
            </w:r>
          </w:p>
        </w:tc>
      </w:tr>
      <w:tr w:rsidRPr="00794366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Uitgaven ministerie BZK</w:t>
            </w:r>
          </w:p>
        </w:tc>
      </w:tr>
      <w:tr w:rsidR="00E153D2" w:rsidTr="000E5F57">
        <w:tc>
          <w:tcPr>
            <w:tcW w:w="4644" w:type="dxa"/>
          </w:tcPr>
          <w:p w:rsidRPr="00AF65F9" w:rsidR="00E153D2" w:rsidP="000E5F57" w:rsidRDefault="00E153D2">
            <w:r>
              <w:t>Integrale aanpak sociaaleconomische initiatieven</w:t>
            </w:r>
          </w:p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  <w:r>
              <w:t>1.008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>
              <w:t>458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>
              <w:t>366</w:t>
            </w:r>
          </w:p>
        </w:tc>
        <w:tc>
          <w:tcPr>
            <w:tcW w:w="1100" w:type="dxa"/>
          </w:tcPr>
          <w:p w:rsidRPr="00293F23" w:rsidR="00E153D2" w:rsidP="000E5F57" w:rsidRDefault="00E153D2">
            <w:pPr>
              <w:jc w:val="right"/>
            </w:pPr>
          </w:p>
        </w:tc>
      </w:tr>
      <w:tr w:rsidR="00E153D2" w:rsidTr="000E5F57">
        <w:tc>
          <w:tcPr>
            <w:tcW w:w="4644" w:type="dxa"/>
          </w:tcPr>
          <w:p w:rsidRPr="00AF65F9" w:rsidR="00E153D2" w:rsidP="000E5F57" w:rsidRDefault="00E153D2">
            <w:r>
              <w:t>Overige uitgaven Koninkrijksrelaties</w:t>
            </w:r>
          </w:p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293F23" w:rsidR="00E153D2" w:rsidP="000E5F57" w:rsidRDefault="00E153D2">
            <w:pPr>
              <w:jc w:val="right"/>
            </w:pPr>
            <w:r>
              <w:t>461</w:t>
            </w:r>
          </w:p>
        </w:tc>
      </w:tr>
      <w:tr w:rsidRPr="00E73A75" w:rsidR="00E153D2" w:rsidTr="000E5F57">
        <w:tc>
          <w:tcPr>
            <w:tcW w:w="4644" w:type="dxa"/>
          </w:tcPr>
          <w:p w:rsidRPr="00AF65F9" w:rsidR="00E153D2" w:rsidP="000E5F57" w:rsidRDefault="00E153D2">
            <w:r>
              <w:t>Reisdocumenten en registratie basisgegevens</w:t>
            </w:r>
          </w:p>
        </w:tc>
        <w:tc>
          <w:tcPr>
            <w:tcW w:w="1276" w:type="dxa"/>
          </w:tcPr>
          <w:p w:rsidRPr="000540EC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0540EC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0540EC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0540EC" w:rsidR="00E153D2" w:rsidP="000E5F57" w:rsidRDefault="00E153D2">
            <w:pPr>
              <w:tabs>
                <w:tab w:val="left" w:pos="0"/>
              </w:tabs>
              <w:ind w:hanging="105"/>
              <w:jc w:val="right"/>
            </w:pPr>
            <w:r>
              <w:t>1.430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Pensioenen, uitkeringen en benoemingen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830</w:t>
            </w:r>
          </w:p>
        </w:tc>
      </w:tr>
      <w:tr w:rsidRPr="00BF6612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  <w:lang w:val="en-US"/>
              </w:rPr>
            </w:pPr>
            <w:proofErr w:type="spellStart"/>
            <w:r w:rsidRPr="005A3FAA">
              <w:rPr>
                <w:b/>
                <w:lang w:val="en-US"/>
              </w:rPr>
              <w:t>Uitgaven</w:t>
            </w:r>
            <w:proofErr w:type="spellEnd"/>
            <w:r w:rsidRPr="005A3FAA">
              <w:rPr>
                <w:b/>
                <w:lang w:val="en-US"/>
              </w:rPr>
              <w:t xml:space="preserve"> </w:t>
            </w:r>
            <w:proofErr w:type="spellStart"/>
            <w:r w:rsidRPr="005A3FAA">
              <w:rPr>
                <w:b/>
                <w:lang w:val="en-US"/>
              </w:rPr>
              <w:t>ministerie</w:t>
            </w:r>
            <w:proofErr w:type="spellEnd"/>
            <w:r w:rsidRPr="005A3FAA">
              <w:rPr>
                <w:b/>
                <w:lang w:val="en-US"/>
              </w:rPr>
              <w:t xml:space="preserve"> V&amp;J</w:t>
            </w:r>
          </w:p>
        </w:tc>
      </w:tr>
      <w:tr w:rsidRPr="00E73A75"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lang w:val="en-US"/>
              </w:rPr>
            </w:pPr>
            <w:proofErr w:type="spellStart"/>
            <w:r w:rsidRPr="005A3FAA">
              <w:rPr>
                <w:lang w:val="en-US"/>
              </w:rPr>
              <w:t>Bekostiging</w:t>
            </w:r>
            <w:proofErr w:type="spellEnd"/>
            <w:r w:rsidRPr="005A3FAA">
              <w:rPr>
                <w:lang w:val="en-US"/>
              </w:rPr>
              <w:t xml:space="preserve"> </w:t>
            </w:r>
            <w:proofErr w:type="spellStart"/>
            <w:r w:rsidRPr="005A3FAA">
              <w:rPr>
                <w:lang w:val="en-US"/>
              </w:rPr>
              <w:t>politie</w:t>
            </w:r>
            <w:proofErr w:type="spellEnd"/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20.536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Opsporing en vervolging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3.997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Sanctietoepassing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9.384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Jeugdbescherming en voogdij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880</w:t>
            </w:r>
          </w:p>
        </w:tc>
      </w:tr>
      <w:tr w:rsidRPr="00794366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Uitgaven ministerie OCW</w:t>
            </w:r>
          </w:p>
        </w:tc>
      </w:tr>
      <w:tr w:rsidR="00E153D2" w:rsidTr="000E5F57">
        <w:tc>
          <w:tcPr>
            <w:tcW w:w="4644" w:type="dxa"/>
          </w:tcPr>
          <w:p w:rsidRPr="00AF65F9" w:rsidR="00E153D2" w:rsidP="000E5F57" w:rsidRDefault="00E153D2">
            <w:r w:rsidRPr="00783E20">
              <w:t>Bekostiging Primair Onderwijs</w:t>
            </w:r>
          </w:p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  <w:r w:rsidRPr="00783E20">
              <w:t xml:space="preserve">6.856 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 w:rsidRPr="00783E20">
              <w:t>2.059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 w:rsidRPr="00783E20">
              <w:t>1.031</w:t>
            </w:r>
          </w:p>
        </w:tc>
        <w:tc>
          <w:tcPr>
            <w:tcW w:w="1100" w:type="dxa"/>
          </w:tcPr>
          <w:p w:rsidRPr="00293F23" w:rsidR="00E153D2" w:rsidP="000E5F57" w:rsidRDefault="00E153D2">
            <w:pPr>
              <w:jc w:val="right"/>
            </w:pPr>
          </w:p>
        </w:tc>
      </w:tr>
      <w:tr w:rsidR="00E153D2" w:rsidTr="000E5F57">
        <w:tc>
          <w:tcPr>
            <w:tcW w:w="4644" w:type="dxa"/>
          </w:tcPr>
          <w:p w:rsidRPr="00AF65F9" w:rsidR="00E153D2" w:rsidP="000E5F57" w:rsidRDefault="00E153D2">
            <w:r w:rsidRPr="00783E20">
              <w:t>Bekostiging Expertisecentrum voor Onderwijszorg</w:t>
            </w:r>
          </w:p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  <w:r w:rsidRPr="00783E20">
              <w:t>963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 w:rsidRPr="00783E20">
              <w:t>386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 w:rsidRPr="00783E20">
              <w:t>203</w:t>
            </w:r>
          </w:p>
        </w:tc>
        <w:tc>
          <w:tcPr>
            <w:tcW w:w="1100" w:type="dxa"/>
          </w:tcPr>
          <w:p w:rsidRPr="00293F23"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Pr="00AF65F9" w:rsidR="00E153D2" w:rsidP="000E5F57" w:rsidRDefault="00E153D2">
            <w:r w:rsidRPr="00783E20">
              <w:t xml:space="preserve">Bekostiging Voortgezet Onderwijs en Middelbaar Beroepsonderwijs </w:t>
            </w:r>
          </w:p>
        </w:tc>
        <w:tc>
          <w:tcPr>
            <w:tcW w:w="1276" w:type="dxa"/>
          </w:tcPr>
          <w:p w:rsidRPr="000540EC" w:rsidR="00E153D2" w:rsidP="000E5F57" w:rsidRDefault="00E153D2">
            <w:pPr>
              <w:jc w:val="right"/>
            </w:pPr>
            <w:r w:rsidRPr="00783E20">
              <w:t>11.865</w:t>
            </w:r>
          </w:p>
        </w:tc>
        <w:tc>
          <w:tcPr>
            <w:tcW w:w="1134" w:type="dxa"/>
          </w:tcPr>
          <w:p w:rsidRPr="000540EC" w:rsidR="00E153D2" w:rsidP="000E5F57" w:rsidRDefault="00E153D2">
            <w:pPr>
              <w:jc w:val="right"/>
            </w:pPr>
            <w:r w:rsidRPr="00783E20">
              <w:t>2.934</w:t>
            </w:r>
          </w:p>
        </w:tc>
        <w:tc>
          <w:tcPr>
            <w:tcW w:w="1134" w:type="dxa"/>
          </w:tcPr>
          <w:p w:rsidRPr="000540EC" w:rsidR="00E153D2" w:rsidP="000E5F57" w:rsidRDefault="00E153D2">
            <w:pPr>
              <w:jc w:val="right"/>
            </w:pPr>
            <w:r w:rsidRPr="00783E20">
              <w:t>1.645</w:t>
            </w:r>
          </w:p>
        </w:tc>
        <w:tc>
          <w:tcPr>
            <w:tcW w:w="1100" w:type="dxa"/>
          </w:tcPr>
          <w:p w:rsidRPr="000540EC" w:rsidR="00E153D2" w:rsidP="000E5F57" w:rsidRDefault="00E153D2">
            <w:pPr>
              <w:tabs>
                <w:tab w:val="left" w:pos="0"/>
              </w:tabs>
              <w:ind w:hanging="105"/>
              <w:jc w:val="right"/>
            </w:pPr>
            <w:r w:rsidRPr="00783E20">
              <w:t>361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 w:rsidRPr="00783E20">
              <w:t>Bekostiging Sociale Kanstrajecten Jongeren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rPr>
                <w:lang w:val="en-US"/>
              </w:rPr>
              <w:t>409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rPr>
                <w:lang w:val="en-US"/>
              </w:rPr>
              <w:t>256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rPr>
                <w:lang w:val="en-US"/>
              </w:rPr>
              <w:t>153</w:t>
            </w: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</w:tr>
      <w:tr w:rsidRPr="00E73A75"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lang w:val="en-US"/>
              </w:rPr>
            </w:pPr>
            <w:r w:rsidRPr="00783E20">
              <w:t>Bijdrage OCW masterplan onderwijshuisvesting</w:t>
            </w:r>
            <w:r w:rsidRPr="00783E20">
              <w:rPr>
                <w:vertAlign w:val="superscript"/>
              </w:rPr>
              <w:footnoteReference w:id="1"/>
            </w:r>
            <w:r w:rsidRPr="00783E20">
              <w:t xml:space="preserve"> 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t>4.342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t>1.087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t>940</w:t>
            </w: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t>1.009</w:t>
            </w:r>
          </w:p>
        </w:tc>
      </w:tr>
      <w:tr w:rsidRPr="00E73A75"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lang w:val="en-US"/>
              </w:rPr>
            </w:pPr>
            <w:r w:rsidRPr="00783E20">
              <w:t>Onderwijs</w:t>
            </w:r>
            <w:r>
              <w:t xml:space="preserve"> </w:t>
            </w:r>
            <w:r w:rsidRPr="00783E20">
              <w:t>verbetermiddelen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783E20">
              <w:t>2.160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 w:rsidRPr="00783E20">
              <w:t>Arbeidsmarkt- en Personeelsbeleid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 w:rsidRPr="00783E20">
              <w:t>2.353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 w:rsidRPr="00783E20">
              <w:t>Studiefinanciering</w:t>
            </w:r>
            <w:r>
              <w:rPr>
                <w:rStyle w:val="Voetnootmarkering"/>
              </w:rPr>
              <w:footnoteReference w:id="2"/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  <w:r>
              <w:t>1.614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353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162</w:t>
            </w: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Pr="00783E20" w:rsidR="00E153D2" w:rsidP="000E5F57" w:rsidRDefault="00E153D2">
            <w:r>
              <w:t>Emancipatie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783E20" w:rsidR="00E153D2" w:rsidP="000E5F57" w:rsidRDefault="00E153D2">
            <w:pPr>
              <w:jc w:val="right"/>
            </w:pPr>
            <w:r>
              <w:t>37</w:t>
            </w:r>
          </w:p>
        </w:tc>
      </w:tr>
      <w:tr w:rsidRPr="00E73A75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Uitgaven ministerie Financiën</w:t>
            </w:r>
          </w:p>
        </w:tc>
      </w:tr>
      <w:tr w:rsidRPr="00E73A75" w:rsidR="00E153D2" w:rsidTr="000E5F57">
        <w:tc>
          <w:tcPr>
            <w:tcW w:w="4644" w:type="dxa"/>
          </w:tcPr>
          <w:p w:rsidR="00E153D2" w:rsidP="000E5F57" w:rsidRDefault="00E153D2">
            <w:r>
              <w:t>Uitvoering Belastingdienst en douane</w:t>
            </w:r>
            <w:r>
              <w:rPr>
                <w:rStyle w:val="Voetnootmarkering"/>
              </w:rPr>
              <w:footnoteReference w:id="3"/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  <w:r>
              <w:t>10.807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1.559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846</w:t>
            </w:r>
          </w:p>
        </w:tc>
        <w:tc>
          <w:tcPr>
            <w:tcW w:w="1100" w:type="dxa"/>
          </w:tcPr>
          <w:p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="00E153D2" w:rsidP="000E5F57" w:rsidRDefault="00E153D2">
            <w:r>
              <w:t>Bijdrage toezicht AFM en DNB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="00E153D2" w:rsidP="000E5F57" w:rsidRDefault="00E153D2">
            <w:pPr>
              <w:jc w:val="right"/>
            </w:pPr>
            <w:r>
              <w:t>1.188</w:t>
            </w:r>
          </w:p>
        </w:tc>
      </w:tr>
      <w:tr w:rsidRPr="00794366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Uitgaven ministerie I&amp;M</w:t>
            </w:r>
          </w:p>
        </w:tc>
      </w:tr>
      <w:tr w:rsidR="00E153D2" w:rsidTr="000E5F57">
        <w:tc>
          <w:tcPr>
            <w:tcW w:w="4644" w:type="dxa"/>
          </w:tcPr>
          <w:p w:rsidRPr="00AF65F9" w:rsidR="00E153D2" w:rsidP="000E5F57" w:rsidRDefault="00E153D2">
            <w:r>
              <w:t>Meerjarenprogramma bodem</w:t>
            </w:r>
          </w:p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293F23" w:rsidR="00E153D2" w:rsidP="000E5F57" w:rsidRDefault="00E153D2">
            <w:pPr>
              <w:jc w:val="right"/>
            </w:pPr>
            <w:r>
              <w:t>100</w:t>
            </w:r>
          </w:p>
        </w:tc>
      </w:tr>
      <w:tr w:rsidRPr="00E73A75" w:rsidR="00E153D2" w:rsidTr="000E5F57">
        <w:tc>
          <w:tcPr>
            <w:tcW w:w="4644" w:type="dxa"/>
          </w:tcPr>
          <w:p w:rsidRPr="00AF65F9" w:rsidR="00E153D2" w:rsidP="000E5F57" w:rsidRDefault="00E153D2">
            <w:r>
              <w:t>Luchthavens</w:t>
            </w:r>
            <w:r>
              <w:rPr>
                <w:rStyle w:val="Voetnootmarkering"/>
              </w:rPr>
              <w:footnoteReference w:id="4"/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6.433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2.400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tabs>
                <w:tab w:val="left" w:pos="0"/>
              </w:tabs>
              <w:ind w:hanging="105"/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1.067</w:t>
            </w:r>
          </w:p>
        </w:tc>
        <w:tc>
          <w:tcPr>
            <w:tcW w:w="1100" w:type="dxa"/>
          </w:tcPr>
          <w:p w:rsidRPr="005A3FAA" w:rsidR="00E153D2" w:rsidP="000E5F57" w:rsidRDefault="00E153D2">
            <w:pPr>
              <w:tabs>
                <w:tab w:val="left" w:pos="0"/>
              </w:tabs>
              <w:ind w:hanging="105"/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565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Scheepvaart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160</w:t>
            </w:r>
          </w:p>
        </w:tc>
      </w:tr>
      <w:tr w:rsidRPr="00E73A75"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lang w:val="en-US"/>
              </w:rPr>
            </w:pPr>
            <w:proofErr w:type="spellStart"/>
            <w:r w:rsidRPr="005A3FAA">
              <w:rPr>
                <w:lang w:val="en-US"/>
              </w:rPr>
              <w:t>Duurzaamheid</w:t>
            </w:r>
            <w:proofErr w:type="spellEnd"/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1.400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1.334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1.333</w:t>
            </w: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</w:tr>
      <w:tr w:rsidRPr="00E73A75"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lang w:val="en-US"/>
              </w:rPr>
            </w:pPr>
            <w:proofErr w:type="spellStart"/>
            <w:r w:rsidRPr="005A3FAA">
              <w:rPr>
                <w:lang w:val="en-US"/>
              </w:rPr>
              <w:t>Externe</w:t>
            </w:r>
            <w:proofErr w:type="spellEnd"/>
            <w:r w:rsidRPr="005A3FAA">
              <w:rPr>
                <w:lang w:val="en-US"/>
              </w:rPr>
              <w:t xml:space="preserve"> </w:t>
            </w:r>
            <w:proofErr w:type="spellStart"/>
            <w:r w:rsidRPr="005A3FAA">
              <w:rPr>
                <w:lang w:val="en-US"/>
              </w:rPr>
              <w:t>veiligheid</w:t>
            </w:r>
            <w:proofErr w:type="spellEnd"/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39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Meteorologie en seismologie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610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Handhaving en toezicht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795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Bijdrage investeringsfondsen</w:t>
            </w:r>
            <w:r>
              <w:rPr>
                <w:rStyle w:val="Voetnootmarkering"/>
              </w:rPr>
              <w:footnoteReference w:id="5"/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3.210</w:t>
            </w:r>
          </w:p>
        </w:tc>
      </w:tr>
      <w:tr w:rsidRPr="00794366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Uitgaven ministerie EZ</w:t>
            </w:r>
          </w:p>
        </w:tc>
      </w:tr>
      <w:tr w:rsidRPr="00E73A75" w:rsidR="00E153D2" w:rsidTr="000E5F57">
        <w:tc>
          <w:tcPr>
            <w:tcW w:w="4644" w:type="dxa"/>
          </w:tcPr>
          <w:p w:rsidRPr="00AF65F9" w:rsidR="00E153D2" w:rsidP="000E5F57" w:rsidRDefault="00E153D2">
            <w:r>
              <w:t>Natuur en landbouw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1.056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1.051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tabs>
                <w:tab w:val="left" w:pos="0"/>
              </w:tabs>
              <w:ind w:hanging="105"/>
              <w:jc w:val="right"/>
              <w:rPr>
                <w:lang w:val="en-US"/>
              </w:rPr>
            </w:pPr>
            <w:r>
              <w:rPr>
                <w:lang w:val="en-US"/>
              </w:rPr>
              <w:t>1.131</w:t>
            </w:r>
          </w:p>
        </w:tc>
        <w:tc>
          <w:tcPr>
            <w:tcW w:w="1100" w:type="dxa"/>
          </w:tcPr>
          <w:p w:rsidRPr="005A3FAA" w:rsidR="00E153D2" w:rsidP="000E5F57" w:rsidRDefault="00BB1600">
            <w:pPr>
              <w:tabs>
                <w:tab w:val="left" w:pos="0"/>
              </w:tabs>
              <w:ind w:hanging="105"/>
              <w:jc w:val="right"/>
              <w:rPr>
                <w:lang w:val="en-US"/>
              </w:rPr>
            </w:pPr>
            <w:r>
              <w:rPr>
                <w:lang w:val="en-US"/>
              </w:rPr>
              <w:t>47</w:t>
            </w:r>
            <w:r w:rsidR="00E153D2">
              <w:rPr>
                <w:lang w:val="en-US"/>
              </w:rPr>
              <w:t>0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Bedrijfsleven en toerisme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100</w:t>
            </w:r>
          </w:p>
        </w:tc>
      </w:tr>
      <w:tr w:rsidRPr="0026325F" w:rsidR="00E153D2" w:rsidTr="000E5F57">
        <w:tc>
          <w:tcPr>
            <w:tcW w:w="4644" w:type="dxa"/>
          </w:tcPr>
          <w:p w:rsidRPr="0026325F" w:rsidR="00E153D2" w:rsidP="000E5F57" w:rsidRDefault="00E153D2">
            <w:r w:rsidRPr="0026325F">
              <w:t>Subsidie netwerkkosten</w:t>
            </w:r>
          </w:p>
        </w:tc>
        <w:tc>
          <w:tcPr>
            <w:tcW w:w="1276" w:type="dxa"/>
          </w:tcPr>
          <w:p w:rsidRPr="0026325F" w:rsidR="00E153D2" w:rsidP="000E5F57" w:rsidRDefault="00E153D2">
            <w:pPr>
              <w:jc w:val="right"/>
            </w:pPr>
            <w:r>
              <w:t>4.000</w:t>
            </w:r>
          </w:p>
        </w:tc>
        <w:tc>
          <w:tcPr>
            <w:tcW w:w="1134" w:type="dxa"/>
          </w:tcPr>
          <w:p w:rsidRPr="0026325F" w:rsidR="00E153D2" w:rsidP="000E5F57" w:rsidRDefault="00E153D2">
            <w:pPr>
              <w:jc w:val="right"/>
            </w:pPr>
            <w:r>
              <w:t>400</w:t>
            </w:r>
          </w:p>
        </w:tc>
        <w:tc>
          <w:tcPr>
            <w:tcW w:w="1134" w:type="dxa"/>
          </w:tcPr>
          <w:p w:rsidRPr="0026325F" w:rsidR="00E153D2" w:rsidP="000E5F57" w:rsidRDefault="00E153D2">
            <w:pPr>
              <w:jc w:val="right"/>
            </w:pPr>
            <w:r>
              <w:t>400</w:t>
            </w:r>
          </w:p>
        </w:tc>
        <w:tc>
          <w:tcPr>
            <w:tcW w:w="1100" w:type="dxa"/>
          </w:tcPr>
          <w:p w:rsidRPr="0026325F"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lang w:val="en-US"/>
              </w:rPr>
            </w:pPr>
            <w:proofErr w:type="spellStart"/>
            <w:r w:rsidRPr="005A3FAA">
              <w:rPr>
                <w:lang w:val="en-US"/>
              </w:rPr>
              <w:t>Aanloopverliezen</w:t>
            </w:r>
            <w:proofErr w:type="spellEnd"/>
            <w:r w:rsidRPr="005A3FAA">
              <w:rPr>
                <w:lang w:val="en-US"/>
              </w:rPr>
              <w:t xml:space="preserve"> </w:t>
            </w:r>
            <w:proofErr w:type="spellStart"/>
            <w:r w:rsidRPr="005A3FAA">
              <w:rPr>
                <w:lang w:val="en-US"/>
              </w:rPr>
              <w:t>energiebedrijven</w:t>
            </w:r>
            <w:proofErr w:type="spellEnd"/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1.600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1.000</w:t>
            </w: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 xml:space="preserve">Verplaatsen </w:t>
            </w:r>
            <w:proofErr w:type="spellStart"/>
            <w:r>
              <w:t>Powerplant</w:t>
            </w:r>
            <w:proofErr w:type="spellEnd"/>
            <w:r>
              <w:t xml:space="preserve"> Saba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900</w:t>
            </w: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Advisering en onderzoek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  <w:r>
              <w:t>50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75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75</w:t>
            </w: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</w:p>
        </w:tc>
      </w:tr>
    </w:tbl>
    <w:p w:rsidR="00E153D2" w:rsidRDefault="00E153D2"/>
    <w:p w:rsidR="00E153D2" w:rsidRDefault="00E153D2">
      <w:r>
        <w:br w:type="column"/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4644"/>
        <w:gridCol w:w="1276"/>
        <w:gridCol w:w="1134"/>
        <w:gridCol w:w="1134"/>
        <w:gridCol w:w="1100"/>
      </w:tblGrid>
      <w:tr w:rsidRPr="00794366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Uitgaven ministerie VWS</w:t>
            </w:r>
          </w:p>
        </w:tc>
      </w:tr>
      <w:tr w:rsidR="00E153D2" w:rsidTr="000E5F57">
        <w:tc>
          <w:tcPr>
            <w:tcW w:w="4644" w:type="dxa"/>
          </w:tcPr>
          <w:p w:rsidRPr="00AF65F9" w:rsidR="00E153D2" w:rsidP="000E5F57" w:rsidRDefault="00E153D2">
            <w:r>
              <w:t>Zorguitgaven</w:t>
            </w:r>
            <w:r>
              <w:rPr>
                <w:rStyle w:val="Voetnootmarkering"/>
              </w:rPr>
              <w:footnoteReference w:id="6"/>
            </w:r>
          </w:p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  <w:r>
              <w:t>67.086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>
              <w:t>11.181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>
              <w:t>7.741</w:t>
            </w:r>
          </w:p>
        </w:tc>
        <w:tc>
          <w:tcPr>
            <w:tcW w:w="1100" w:type="dxa"/>
          </w:tcPr>
          <w:p w:rsidRPr="00293F23"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Pr="00AF65F9" w:rsidR="00E153D2" w:rsidP="000E5F57" w:rsidRDefault="00E153D2">
            <w:r>
              <w:t>Beleid jeugdzorg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tabs>
                <w:tab w:val="left" w:pos="0"/>
              </w:tabs>
              <w:ind w:hanging="105"/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tabs>
                <w:tab w:val="left" w:pos="0"/>
              </w:tabs>
              <w:ind w:hanging="105"/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1.610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Apparaatuitgaven zorg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lang w:val="en-US"/>
              </w:rPr>
            </w:pPr>
            <w:r w:rsidRPr="005A3FAA">
              <w:rPr>
                <w:lang w:val="en-US"/>
              </w:rPr>
              <w:t>5.194</w:t>
            </w:r>
          </w:p>
        </w:tc>
      </w:tr>
      <w:tr w:rsidRPr="0026325F" w:rsidR="00E153D2" w:rsidTr="000E5F57">
        <w:tc>
          <w:tcPr>
            <w:tcW w:w="4644" w:type="dxa"/>
          </w:tcPr>
          <w:p w:rsidRPr="0026325F" w:rsidR="00E153D2" w:rsidP="000E5F57" w:rsidRDefault="00E153D2">
            <w:r>
              <w:t>Apparaatuitgaven jeugdzorg</w:t>
            </w:r>
          </w:p>
        </w:tc>
        <w:tc>
          <w:tcPr>
            <w:tcW w:w="1276" w:type="dxa"/>
          </w:tcPr>
          <w:p w:rsidRPr="0026325F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26325F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26325F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26325F" w:rsidR="00E153D2" w:rsidP="000E5F57" w:rsidRDefault="00E153D2">
            <w:pPr>
              <w:jc w:val="right"/>
            </w:pPr>
            <w:r>
              <w:t>3.664</w:t>
            </w:r>
          </w:p>
        </w:tc>
      </w:tr>
      <w:tr w:rsidRPr="00A413A9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Uitgaven ministerie SZW</w:t>
            </w:r>
          </w:p>
        </w:tc>
      </w:tr>
      <w:tr w:rsidRPr="0026325F" w:rsidR="00E153D2" w:rsidTr="000E5F57">
        <w:tc>
          <w:tcPr>
            <w:tcW w:w="4644" w:type="dxa"/>
          </w:tcPr>
          <w:p w:rsidR="00E153D2" w:rsidP="000E5F57" w:rsidRDefault="00E153D2">
            <w:r>
              <w:t>Diverse uitkeringen</w:t>
            </w:r>
            <w:r>
              <w:rPr>
                <w:rStyle w:val="Voetnootmarkering"/>
              </w:rPr>
              <w:footnoteReference w:id="7"/>
            </w:r>
          </w:p>
        </w:tc>
        <w:tc>
          <w:tcPr>
            <w:tcW w:w="1276" w:type="dxa"/>
          </w:tcPr>
          <w:p w:rsidRPr="0026325F" w:rsidR="00E153D2" w:rsidP="000E5F57" w:rsidRDefault="00E153D2">
            <w:pPr>
              <w:jc w:val="right"/>
            </w:pPr>
            <w:r>
              <w:t>17.578</w:t>
            </w:r>
          </w:p>
        </w:tc>
        <w:tc>
          <w:tcPr>
            <w:tcW w:w="1134" w:type="dxa"/>
          </w:tcPr>
          <w:p w:rsidRPr="0026325F" w:rsidR="00E153D2" w:rsidP="000E5F57" w:rsidRDefault="00E153D2">
            <w:pPr>
              <w:jc w:val="right"/>
            </w:pPr>
            <w:r>
              <w:t>3850</w:t>
            </w:r>
          </w:p>
        </w:tc>
        <w:tc>
          <w:tcPr>
            <w:tcW w:w="1134" w:type="dxa"/>
          </w:tcPr>
          <w:p w:rsidRPr="0026325F" w:rsidR="00E153D2" w:rsidP="000E5F57" w:rsidRDefault="00E153D2">
            <w:pPr>
              <w:jc w:val="right"/>
            </w:pPr>
            <w:r>
              <w:t>1762</w:t>
            </w:r>
          </w:p>
        </w:tc>
        <w:tc>
          <w:tcPr>
            <w:tcW w:w="1100" w:type="dxa"/>
          </w:tcPr>
          <w:p w:rsidR="00E153D2" w:rsidP="000E5F57" w:rsidRDefault="00E153D2">
            <w:pPr>
              <w:jc w:val="right"/>
            </w:pPr>
          </w:p>
        </w:tc>
      </w:tr>
      <w:tr w:rsidRPr="00967D6B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  <w:lang w:val="en-US"/>
              </w:rPr>
            </w:pPr>
            <w:proofErr w:type="spellStart"/>
            <w:r w:rsidRPr="005A3FAA">
              <w:rPr>
                <w:b/>
                <w:lang w:val="en-US"/>
              </w:rPr>
              <w:t>Uitgaven</w:t>
            </w:r>
            <w:proofErr w:type="spellEnd"/>
            <w:r w:rsidRPr="005A3FAA">
              <w:rPr>
                <w:b/>
                <w:lang w:val="en-US"/>
              </w:rPr>
              <w:t xml:space="preserve"> W&amp;R</w:t>
            </w:r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Sociale woningbouw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80</w:t>
            </w:r>
          </w:p>
        </w:tc>
      </w:tr>
      <w:tr w:rsidRPr="006C5B8B" w:rsidR="00E153D2" w:rsidTr="000E5F57">
        <w:tc>
          <w:tcPr>
            <w:tcW w:w="9288" w:type="dxa"/>
            <w:gridSpan w:val="5"/>
          </w:tcPr>
          <w:p w:rsidRPr="005A3FAA" w:rsidR="00E153D2" w:rsidP="000E5F57" w:rsidRDefault="00E153D2">
            <w:pPr>
              <w:rPr>
                <w:b/>
              </w:rPr>
            </w:pPr>
            <w:proofErr w:type="spellStart"/>
            <w:r w:rsidRPr="005A3FAA">
              <w:rPr>
                <w:b/>
              </w:rPr>
              <w:t>BES-fonds</w:t>
            </w:r>
            <w:proofErr w:type="spellEnd"/>
          </w:p>
        </w:tc>
      </w:tr>
      <w:tr w:rsidRPr="00E73A75" w:rsidR="00E153D2" w:rsidTr="000E5F57">
        <w:tc>
          <w:tcPr>
            <w:tcW w:w="4644" w:type="dxa"/>
          </w:tcPr>
          <w:p w:rsidRPr="009F7961" w:rsidR="00E153D2" w:rsidP="000E5F57" w:rsidRDefault="00E153D2">
            <w:r>
              <w:t>Vrije uitkering</w:t>
            </w:r>
          </w:p>
        </w:tc>
        <w:tc>
          <w:tcPr>
            <w:tcW w:w="1276" w:type="dxa"/>
          </w:tcPr>
          <w:p w:rsidRPr="009F7961" w:rsidR="00E153D2" w:rsidP="000E5F57" w:rsidRDefault="00E153D2">
            <w:pPr>
              <w:jc w:val="right"/>
            </w:pPr>
            <w:r>
              <w:t>22.242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7.991</w:t>
            </w:r>
          </w:p>
        </w:tc>
        <w:tc>
          <w:tcPr>
            <w:tcW w:w="1134" w:type="dxa"/>
          </w:tcPr>
          <w:p w:rsidRPr="009F7961" w:rsidR="00E153D2" w:rsidP="000E5F57" w:rsidRDefault="00E153D2">
            <w:pPr>
              <w:jc w:val="right"/>
            </w:pPr>
            <w:r>
              <w:t>8.453</w:t>
            </w: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="00E153D2" w:rsidP="000E5F57" w:rsidRDefault="00E153D2"/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</w:p>
        </w:tc>
      </w:tr>
      <w:tr w:rsidRPr="00E73A75" w:rsidR="00E153D2" w:rsidTr="000E5F57">
        <w:tc>
          <w:tcPr>
            <w:tcW w:w="4644" w:type="dxa"/>
          </w:tcPr>
          <w:p w:rsidR="00E153D2" w:rsidP="000E5F57" w:rsidRDefault="00E153D2">
            <w:r>
              <w:t>Niet direct toerekenbare uitgaven</w:t>
            </w:r>
            <w:r>
              <w:rPr>
                <w:rStyle w:val="Voetnootmarkering"/>
              </w:rPr>
              <w:footnoteReference w:id="8"/>
            </w:r>
          </w:p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  <w:r>
              <w:t>33.673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>
              <w:t>15.306</w:t>
            </w: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  <w:r>
              <w:t>12.245</w:t>
            </w: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  <w:r>
              <w:t>61.224</w:t>
            </w:r>
          </w:p>
        </w:tc>
      </w:tr>
      <w:tr w:rsidRPr="00E73A75" w:rsidR="00E153D2" w:rsidTr="000E5F57">
        <w:tc>
          <w:tcPr>
            <w:tcW w:w="4644" w:type="dxa"/>
          </w:tcPr>
          <w:p w:rsidR="00E153D2" w:rsidP="000E5F57" w:rsidRDefault="00E153D2"/>
        </w:tc>
        <w:tc>
          <w:tcPr>
            <w:tcW w:w="1276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34" w:type="dxa"/>
          </w:tcPr>
          <w:p w:rsidR="00E153D2" w:rsidP="000E5F57" w:rsidRDefault="00E153D2">
            <w:pPr>
              <w:jc w:val="right"/>
            </w:pPr>
          </w:p>
        </w:tc>
        <w:tc>
          <w:tcPr>
            <w:tcW w:w="1100" w:type="dxa"/>
          </w:tcPr>
          <w:p w:rsidRPr="009F7961" w:rsidR="00E153D2" w:rsidP="000E5F57" w:rsidRDefault="00E153D2">
            <w:pPr>
              <w:jc w:val="right"/>
            </w:pPr>
          </w:p>
        </w:tc>
      </w:tr>
      <w:tr w:rsidRPr="00084E97" w:rsidR="00E153D2" w:rsidTr="000E5F57">
        <w:tc>
          <w:tcPr>
            <w:tcW w:w="4644" w:type="dxa"/>
          </w:tcPr>
          <w:p w:rsidRPr="005A3FAA" w:rsidR="00E153D2" w:rsidP="000E5F57" w:rsidRDefault="00E153D2">
            <w:pPr>
              <w:rPr>
                <w:b/>
              </w:rPr>
            </w:pPr>
            <w:r w:rsidRPr="005A3FAA">
              <w:rPr>
                <w:b/>
              </w:rPr>
              <w:t>Totaal per eiland</w:t>
            </w:r>
          </w:p>
        </w:tc>
        <w:tc>
          <w:tcPr>
            <w:tcW w:w="1276" w:type="dxa"/>
          </w:tcPr>
          <w:p w:rsidRPr="005A3FAA" w:rsidR="00E153D2" w:rsidP="000E5F57" w:rsidRDefault="00E153D2">
            <w:pPr>
              <w:jc w:val="right"/>
              <w:rPr>
                <w:b/>
              </w:rPr>
            </w:pPr>
            <w:r>
              <w:rPr>
                <w:b/>
              </w:rPr>
              <w:t>191.391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b/>
              </w:rPr>
            </w:pPr>
            <w:r>
              <w:rPr>
                <w:b/>
              </w:rPr>
              <w:t>54.280</w:t>
            </w:r>
          </w:p>
        </w:tc>
        <w:tc>
          <w:tcPr>
            <w:tcW w:w="1134" w:type="dxa"/>
          </w:tcPr>
          <w:p w:rsidRPr="005A3FAA" w:rsidR="00E153D2" w:rsidP="000E5F57" w:rsidRDefault="00E153D2">
            <w:pPr>
              <w:jc w:val="right"/>
              <w:rPr>
                <w:b/>
              </w:rPr>
            </w:pPr>
            <w:r>
              <w:rPr>
                <w:b/>
              </w:rPr>
              <w:t>41.453</w:t>
            </w:r>
          </w:p>
        </w:tc>
        <w:tc>
          <w:tcPr>
            <w:tcW w:w="1100" w:type="dxa"/>
          </w:tcPr>
          <w:p w:rsidRPr="005A3FAA" w:rsidR="00E153D2" w:rsidP="000E5F57" w:rsidRDefault="00E153D2">
            <w:pPr>
              <w:jc w:val="right"/>
              <w:rPr>
                <w:b/>
              </w:rPr>
            </w:pPr>
          </w:p>
        </w:tc>
      </w:tr>
    </w:tbl>
    <w:p w:rsidRPr="00295A20" w:rsidR="00E153D2" w:rsidP="00E153D2" w:rsidRDefault="00E153D2"/>
    <w:p w:rsidR="00E153D2" w:rsidP="00E153D2" w:rsidRDefault="00E153D2">
      <w:pPr>
        <w:pStyle w:val="Huisstijl-Ondertekeningvervolg"/>
        <w:rPr>
          <w:i w:val="0"/>
        </w:rPr>
      </w:pPr>
    </w:p>
    <w:p w:rsidR="00E153D2" w:rsidP="00E153D2" w:rsidRDefault="00E153D2">
      <w:pPr>
        <w:pStyle w:val="Huisstijl-Ondertekeningvervolg"/>
        <w:rPr>
          <w:i w:val="0"/>
        </w:rPr>
      </w:pPr>
    </w:p>
    <w:p w:rsidR="00E153D2" w:rsidP="00E153D2" w:rsidRDefault="00E153D2">
      <w:pPr>
        <w:pStyle w:val="Standard"/>
      </w:pPr>
    </w:p>
    <w:p w:rsidRPr="00F22CDC" w:rsidR="00A17C6E" w:rsidRDefault="00A17C6E">
      <w:pPr>
        <w:rPr>
          <w:szCs w:val="18"/>
        </w:rPr>
      </w:pPr>
    </w:p>
    <w:sectPr w:rsidRPr="00F22CDC" w:rsidR="00A17C6E" w:rsidSect="00A17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D2" w:rsidRDefault="00E153D2" w:rsidP="00E153D2">
      <w:pPr>
        <w:spacing w:line="240" w:lineRule="auto"/>
      </w:pPr>
      <w:r>
        <w:separator/>
      </w:r>
    </w:p>
  </w:endnote>
  <w:endnote w:type="continuationSeparator" w:id="0">
    <w:p w:rsidR="00E153D2" w:rsidRDefault="00E153D2" w:rsidP="00E15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2" w:rsidRDefault="00E153D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2" w:rsidRDefault="00E153D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2" w:rsidRDefault="00E153D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D2" w:rsidRDefault="00E153D2" w:rsidP="00E153D2">
      <w:pPr>
        <w:spacing w:line="240" w:lineRule="auto"/>
      </w:pPr>
      <w:r>
        <w:separator/>
      </w:r>
    </w:p>
  </w:footnote>
  <w:footnote w:type="continuationSeparator" w:id="0">
    <w:p w:rsidR="00E153D2" w:rsidRDefault="00E153D2" w:rsidP="00E153D2">
      <w:pPr>
        <w:spacing w:line="240" w:lineRule="auto"/>
      </w:pPr>
      <w:r>
        <w:continuationSeparator/>
      </w:r>
    </w:p>
  </w:footnote>
  <w:footnote w:id="1">
    <w:p w:rsidR="00E153D2" w:rsidRPr="001732E3" w:rsidRDefault="00E153D2" w:rsidP="00E153D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732E3">
        <w:rPr>
          <w:sz w:val="16"/>
          <w:szCs w:val="16"/>
        </w:rPr>
        <w:t>De onderwijs</w:t>
      </w:r>
      <w:r>
        <w:rPr>
          <w:sz w:val="16"/>
          <w:szCs w:val="16"/>
        </w:rPr>
        <w:t xml:space="preserve"> </w:t>
      </w:r>
      <w:r w:rsidRPr="001732E3">
        <w:rPr>
          <w:sz w:val="16"/>
          <w:szCs w:val="16"/>
        </w:rPr>
        <w:t>huisvestingsplannen hebben een looptijd van 2012 t/m 2017. In dit overzicht is het totaalbedrag per eiland door de zes jaren waarin het plan wordt uitgev</w:t>
      </w:r>
      <w:r>
        <w:rPr>
          <w:sz w:val="16"/>
          <w:szCs w:val="16"/>
        </w:rPr>
        <w:t>oerd gedeeld.</w:t>
      </w:r>
    </w:p>
  </w:footnote>
  <w:footnote w:id="2">
    <w:p w:rsidR="00E153D2" w:rsidRPr="00BD0496" w:rsidRDefault="00E153D2" w:rsidP="00E153D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Verdeeld naar rato van inwoners (aanname).</w:t>
      </w:r>
    </w:p>
  </w:footnote>
  <w:footnote w:id="3">
    <w:p w:rsidR="00E153D2" w:rsidRPr="00084E97" w:rsidRDefault="00E153D2" w:rsidP="00E153D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Verdeeld op basis van globale inschatting kosten Belastingdienst CN.</w:t>
      </w:r>
    </w:p>
  </w:footnote>
  <w:footnote w:id="4">
    <w:p w:rsidR="00E153D2" w:rsidRDefault="00E153D2" w:rsidP="00E153D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732E3">
        <w:rPr>
          <w:sz w:val="16"/>
          <w:szCs w:val="16"/>
        </w:rPr>
        <w:t>De Luchthavens op alle drie de eilanden zullen worden gerenoveerd</w:t>
      </w:r>
      <w:r>
        <w:rPr>
          <w:sz w:val="16"/>
          <w:szCs w:val="16"/>
        </w:rPr>
        <w:t xml:space="preserve"> in de periode 2014-2016.</w:t>
      </w:r>
      <w:r w:rsidRPr="001732E3">
        <w:rPr>
          <w:sz w:val="16"/>
          <w:szCs w:val="16"/>
        </w:rPr>
        <w:t xml:space="preserve"> In dit overzicht is het totaalbedrag </w:t>
      </w:r>
      <w:r>
        <w:rPr>
          <w:sz w:val="16"/>
          <w:szCs w:val="16"/>
        </w:rPr>
        <w:t>per eiland door de drie</w:t>
      </w:r>
      <w:r w:rsidRPr="001732E3">
        <w:rPr>
          <w:sz w:val="16"/>
          <w:szCs w:val="16"/>
        </w:rPr>
        <w:t xml:space="preserve"> jaren waarin het plan wordt uitgevoerd gedeeld. </w:t>
      </w:r>
    </w:p>
  </w:footnote>
  <w:footnote w:id="5">
    <w:p w:rsidR="00E153D2" w:rsidRPr="00761694" w:rsidRDefault="00E153D2" w:rsidP="00E153D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Een bedrag van € 2,3 miljoen ziet op een incidentele investering in 2014 in de maritieme incidentenorganisatie.</w:t>
      </w:r>
    </w:p>
  </w:footnote>
  <w:footnote w:id="6">
    <w:p w:rsidR="00E153D2" w:rsidRPr="00254DDB" w:rsidRDefault="00E153D2" w:rsidP="00E153D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De verdeling van ZVK uit 2013 is toegepast op de realisatiecijfers 2014 (verhouding: 78%/13%/9%).</w:t>
      </w:r>
    </w:p>
  </w:footnote>
  <w:footnote w:id="7">
    <w:p w:rsidR="00E153D2" w:rsidRPr="00084E97" w:rsidRDefault="00E153D2" w:rsidP="00E153D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Naar rato inwoners (aanname).</w:t>
      </w:r>
    </w:p>
  </w:footnote>
  <w:footnote w:id="8">
    <w:p w:rsidR="00E153D2" w:rsidRPr="00084E97" w:rsidRDefault="00E153D2" w:rsidP="00E153D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Dit zijn alle uitgaven die hierboven onder kolom ‘T.b.v. alle eilanden’ zijn opgenomen. De uitsplitsing per eiland vindt plaats conform </w:t>
      </w:r>
      <w:proofErr w:type="spellStart"/>
      <w:r>
        <w:rPr>
          <w:sz w:val="16"/>
          <w:szCs w:val="16"/>
        </w:rPr>
        <w:t>CN-sleutel</w:t>
      </w:r>
      <w:proofErr w:type="spellEnd"/>
      <w:r>
        <w:rPr>
          <w:sz w:val="16"/>
          <w:szCs w:val="16"/>
        </w:rPr>
        <w:t xml:space="preserve"> (55% Bonaire, 25% Sint </w:t>
      </w:r>
      <w:proofErr w:type="spellStart"/>
      <w:r>
        <w:rPr>
          <w:sz w:val="16"/>
          <w:szCs w:val="16"/>
        </w:rPr>
        <w:t>Eustatius</w:t>
      </w:r>
      <w:proofErr w:type="spellEnd"/>
      <w:r>
        <w:rPr>
          <w:sz w:val="16"/>
          <w:szCs w:val="16"/>
        </w:rPr>
        <w:t>, 20% Saba).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2" w:rsidRDefault="00E153D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2" w:rsidRDefault="00E153D2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D2" w:rsidRDefault="00E153D2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F87"/>
    <w:rsid w:val="00002F87"/>
    <w:rsid w:val="000D2758"/>
    <w:rsid w:val="00114C0B"/>
    <w:rsid w:val="00183FE5"/>
    <w:rsid w:val="0030657C"/>
    <w:rsid w:val="00332085"/>
    <w:rsid w:val="007251A6"/>
    <w:rsid w:val="00732086"/>
    <w:rsid w:val="00A17C6E"/>
    <w:rsid w:val="00B53B5E"/>
    <w:rsid w:val="00BB1600"/>
    <w:rsid w:val="00C129CA"/>
    <w:rsid w:val="00CE3636"/>
    <w:rsid w:val="00D277C1"/>
    <w:rsid w:val="00E153D2"/>
    <w:rsid w:val="00ED068B"/>
    <w:rsid w:val="00F22CDC"/>
    <w:rsid w:val="00F8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53D2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153D2"/>
    <w:pPr>
      <w:widowControl/>
      <w:tabs>
        <w:tab w:val="center" w:pos="4536"/>
        <w:tab w:val="right" w:pos="9072"/>
      </w:tabs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153D2"/>
  </w:style>
  <w:style w:type="paragraph" w:styleId="Voettekst">
    <w:name w:val="footer"/>
    <w:basedOn w:val="Standaard"/>
    <w:link w:val="VoettekstChar"/>
    <w:uiPriority w:val="99"/>
    <w:semiHidden/>
    <w:unhideWhenUsed/>
    <w:rsid w:val="00E153D2"/>
    <w:pPr>
      <w:widowControl/>
      <w:tabs>
        <w:tab w:val="center" w:pos="4536"/>
        <w:tab w:val="right" w:pos="9072"/>
      </w:tabs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153D2"/>
  </w:style>
  <w:style w:type="paragraph" w:customStyle="1" w:styleId="Standard">
    <w:name w:val="Standard"/>
    <w:rsid w:val="00E153D2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Ondertekeningvervolg">
    <w:name w:val="Huisstijl - Ondertekening vervolg"/>
    <w:basedOn w:val="Standaard"/>
    <w:rsid w:val="00E153D2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153D2"/>
    <w:pPr>
      <w:widowControl/>
      <w:suppressAutoHyphens w:val="0"/>
      <w:autoSpaceDN/>
      <w:spacing w:line="240" w:lineRule="auto"/>
      <w:textAlignment w:val="auto"/>
    </w:pPr>
    <w:rPr>
      <w:rFonts w:eastAsia="Times New Roman" w:cs="Times New Roman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153D2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E153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328</ap:Words>
  <ap:Characters>1807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2012-09-25T14:55:00.0000000Z</dcterms:created>
  <dcterms:modified xsi:type="dcterms:W3CDTF">2015-05-22T12:24:00.0000000Z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Bijlage toerekening rijksuitgaven 2014</vt:lpwstr>
  </property>
  <property fmtid="{D5CDD505-2E9C-101B-9397-08002B2CF9AE}" pid="3" name="Docgensjabloon">
    <vt:lpwstr>DocGen_Blanco document_nl_NL</vt:lpwstr>
  </property>
  <property fmtid="{D5CDD505-2E9C-101B-9397-08002B2CF9AE}" pid="4" name="ContentTypeId">
    <vt:lpwstr>0x0101005941B84044CABA4290669B60CBC73CFA</vt:lpwstr>
  </property>
</Properties>
</file>