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E7EAC" w:rsidR="00B06639" w:rsidP="00B06639" w:rsidRDefault="00B06639">
      <w:pPr>
        <w:spacing w:line="240" w:lineRule="exact"/>
        <w:rPr>
          <w:rFonts w:ascii="Verdana" w:hAnsi="Verdana" w:cs="Arial"/>
          <w:b/>
          <w:sz w:val="18"/>
          <w:szCs w:val="18"/>
        </w:rPr>
      </w:pPr>
      <w:r w:rsidRPr="005E7EAC">
        <w:rPr>
          <w:rFonts w:ascii="Verdana" w:hAnsi="Verdana" w:cs="Arial"/>
          <w:b/>
          <w:sz w:val="18"/>
          <w:szCs w:val="18"/>
        </w:rPr>
        <w:t xml:space="preserve">Bijlage </w:t>
      </w:r>
      <w:r w:rsidRPr="005E7EAC" w:rsidR="007313AD">
        <w:rPr>
          <w:rFonts w:ascii="Verdana" w:hAnsi="Verdana" w:cs="Arial"/>
          <w:b/>
          <w:sz w:val="18"/>
          <w:szCs w:val="18"/>
        </w:rPr>
        <w:t>2</w:t>
      </w:r>
      <w:r w:rsidRPr="005E7EAC">
        <w:rPr>
          <w:rFonts w:ascii="Verdana" w:hAnsi="Verdana" w:cs="Arial"/>
          <w:b/>
          <w:sz w:val="18"/>
          <w:szCs w:val="18"/>
        </w:rPr>
        <w:t xml:space="preserve">: Verticale toelichting </w:t>
      </w:r>
    </w:p>
    <w:p w:rsidRPr="005E7EAC" w:rsidR="00B06639" w:rsidP="00B06639" w:rsidRDefault="00B06639">
      <w:pPr>
        <w:spacing w:line="240" w:lineRule="exact"/>
        <w:rPr>
          <w:rFonts w:ascii="Verdana" w:hAnsi="Verdana" w:cs="Arial"/>
          <w:sz w:val="18"/>
          <w:szCs w:val="18"/>
        </w:rPr>
      </w:pPr>
    </w:p>
    <w:p w:rsidRPr="005E7EAC" w:rsidR="001617A2" w:rsidP="00152503" w:rsidRDefault="00B06639">
      <w:pPr>
        <w:spacing w:line="240" w:lineRule="atLeast"/>
        <w:rPr>
          <w:rFonts w:ascii="Verdana" w:hAnsi="Verdana" w:cs="Univers"/>
          <w:sz w:val="18"/>
          <w:szCs w:val="18"/>
        </w:rPr>
      </w:pPr>
      <w:r w:rsidRPr="005E7EAC">
        <w:rPr>
          <w:rFonts w:ascii="Verdana" w:hAnsi="Verdana" w:cs="Univers"/>
          <w:sz w:val="18"/>
          <w:szCs w:val="18"/>
        </w:rPr>
        <w:t>De verticale toelichting bevat een cijfermatig overzicht voor alle begrotingen van budgettaire veranderingen die zich hebben voorgedaa</w:t>
      </w:r>
      <w:r w:rsidRPr="005E7EAC" w:rsidR="00532F6E">
        <w:rPr>
          <w:rFonts w:ascii="Verdana" w:hAnsi="Verdana" w:cs="Univers"/>
          <w:sz w:val="18"/>
          <w:szCs w:val="18"/>
        </w:rPr>
        <w:t>n</w:t>
      </w:r>
      <w:r w:rsidRPr="005E7EAC" w:rsidR="00B911D7">
        <w:rPr>
          <w:rFonts w:ascii="Verdana" w:hAnsi="Verdana" w:cs="Univers"/>
          <w:sz w:val="18"/>
          <w:szCs w:val="18"/>
        </w:rPr>
        <w:t xml:space="preserve"> in de uitgaven en niet-belastingontvangsten</w:t>
      </w:r>
      <w:r w:rsidRPr="005E7EAC" w:rsidR="00532F6E">
        <w:rPr>
          <w:rFonts w:ascii="Verdana" w:hAnsi="Verdana" w:cs="Univers"/>
          <w:sz w:val="18"/>
          <w:szCs w:val="18"/>
        </w:rPr>
        <w:t xml:space="preserve"> sinds de Ontwerpbegroting 201</w:t>
      </w:r>
      <w:r w:rsidRPr="005E7EAC" w:rsidR="00F0373A">
        <w:rPr>
          <w:rFonts w:ascii="Verdana" w:hAnsi="Verdana" w:cs="Univers"/>
          <w:sz w:val="18"/>
          <w:szCs w:val="18"/>
        </w:rPr>
        <w:t>5</w:t>
      </w:r>
      <w:r w:rsidRPr="005E7EAC" w:rsidR="0046389B">
        <w:rPr>
          <w:rFonts w:ascii="Verdana" w:hAnsi="Verdana" w:cs="Univers"/>
          <w:sz w:val="18"/>
          <w:szCs w:val="18"/>
        </w:rPr>
        <w:t>.</w:t>
      </w:r>
      <w:r w:rsidRPr="005E7EAC">
        <w:rPr>
          <w:rFonts w:ascii="Verdana" w:hAnsi="Verdana" w:cs="Univers"/>
          <w:sz w:val="18"/>
          <w:szCs w:val="18"/>
        </w:rPr>
        <w:t xml:space="preserve"> </w:t>
      </w:r>
    </w:p>
    <w:p w:rsidRPr="005E7EAC" w:rsidR="001617A2" w:rsidP="00152503" w:rsidRDefault="001617A2">
      <w:pPr>
        <w:spacing w:line="240" w:lineRule="atLeast"/>
        <w:rPr>
          <w:rFonts w:ascii="Verdana" w:hAnsi="Verdana" w:cs="Univers"/>
          <w:sz w:val="18"/>
          <w:szCs w:val="18"/>
        </w:rPr>
      </w:pPr>
    </w:p>
    <w:p w:rsidRPr="005E7EAC" w:rsidR="00152503" w:rsidP="00152503" w:rsidRDefault="00F0373A">
      <w:pPr>
        <w:spacing w:line="240" w:lineRule="atLeast"/>
        <w:rPr>
          <w:rFonts w:ascii="Verdana" w:hAnsi="Verdana" w:cs="Univers"/>
          <w:sz w:val="18"/>
          <w:szCs w:val="18"/>
        </w:rPr>
      </w:pPr>
      <w:r w:rsidRPr="005E7EAC">
        <w:rPr>
          <w:rFonts w:ascii="Verdana" w:hAnsi="Verdana"/>
          <w:sz w:val="18"/>
          <w:szCs w:val="18"/>
        </w:rPr>
        <w:t>De</w:t>
      </w:r>
      <w:r w:rsidRPr="005E7EAC" w:rsidR="00152503">
        <w:rPr>
          <w:rFonts w:ascii="Verdana" w:hAnsi="Verdana"/>
          <w:sz w:val="18"/>
          <w:szCs w:val="18"/>
        </w:rPr>
        <w:t xml:space="preserve"> tabel</w:t>
      </w:r>
      <w:r w:rsidRPr="005E7EAC">
        <w:rPr>
          <w:rFonts w:ascii="Verdana" w:hAnsi="Verdana"/>
          <w:sz w:val="18"/>
          <w:szCs w:val="18"/>
        </w:rPr>
        <w:t xml:space="preserve"> op de volgende pagina</w:t>
      </w:r>
      <w:r w:rsidRPr="005E7EAC" w:rsidR="00152503">
        <w:rPr>
          <w:rFonts w:ascii="Verdana" w:hAnsi="Verdana"/>
          <w:sz w:val="18"/>
          <w:szCs w:val="18"/>
        </w:rPr>
        <w:t xml:space="preserve"> geeft inzicht in het totaal van mutaties per begroting. </w:t>
      </w:r>
      <w:r w:rsidRPr="005E7EAC" w:rsidR="00152503">
        <w:rPr>
          <w:rFonts w:ascii="Verdana" w:hAnsi="Verdana" w:cs="Univers"/>
          <w:sz w:val="18"/>
          <w:szCs w:val="18"/>
        </w:rPr>
        <w:t>Verder wordt per begroting een cijfermatig overzicht gepresenteerd van de voornaamste mutaties, gevolgd door een toelichting hierop. Voor een meer gedetailleerde toelichting op de mutaties wordt verwezen naar de afzonderlijke suppletoire begrotingen.</w:t>
      </w:r>
    </w:p>
    <w:p w:rsidRPr="005E7EAC" w:rsidR="00B06639" w:rsidP="00B06639" w:rsidRDefault="00B06639">
      <w:pPr>
        <w:autoSpaceDE w:val="0"/>
        <w:autoSpaceDN w:val="0"/>
        <w:adjustRightInd w:val="0"/>
        <w:spacing w:line="240" w:lineRule="exact"/>
        <w:rPr>
          <w:rFonts w:ascii="Verdana" w:hAnsi="Verdana" w:cs="Univers"/>
          <w:sz w:val="18"/>
          <w:szCs w:val="18"/>
        </w:rPr>
      </w:pPr>
    </w:p>
    <w:p w:rsidRPr="005E7EAC" w:rsidR="00B06639" w:rsidP="00B06639" w:rsidRDefault="00B06639">
      <w:pPr>
        <w:autoSpaceDE w:val="0"/>
        <w:autoSpaceDN w:val="0"/>
        <w:adjustRightInd w:val="0"/>
        <w:spacing w:line="240" w:lineRule="exact"/>
        <w:rPr>
          <w:rFonts w:ascii="Verdana" w:hAnsi="Verdana" w:cs="Univers"/>
          <w:sz w:val="18"/>
          <w:szCs w:val="18"/>
        </w:rPr>
      </w:pPr>
      <w:r w:rsidRPr="005E7EAC">
        <w:rPr>
          <w:rFonts w:ascii="Verdana" w:hAnsi="Verdana" w:cs="Univers"/>
          <w:sz w:val="18"/>
          <w:szCs w:val="18"/>
        </w:rPr>
        <w:t xml:space="preserve">De verticale toelichting </w:t>
      </w:r>
      <w:r w:rsidRPr="005E7EAC" w:rsidR="001617A2">
        <w:rPr>
          <w:rFonts w:ascii="Verdana" w:hAnsi="Verdana" w:cs="Univers"/>
          <w:sz w:val="18"/>
          <w:szCs w:val="18"/>
        </w:rPr>
        <w:t xml:space="preserve">per begrotingshoofdstuk </w:t>
      </w:r>
      <w:r w:rsidRPr="005E7EAC">
        <w:rPr>
          <w:rFonts w:ascii="Verdana" w:hAnsi="Verdana" w:cs="Univers"/>
          <w:sz w:val="18"/>
          <w:szCs w:val="18"/>
        </w:rPr>
        <w:t>onderscheidt drie categorieën mutaties:</w:t>
      </w:r>
    </w:p>
    <w:p w:rsidRPr="005E7EAC" w:rsidR="00B06639" w:rsidP="00B06639" w:rsidRDefault="00B06639">
      <w:pPr>
        <w:autoSpaceDE w:val="0"/>
        <w:autoSpaceDN w:val="0"/>
        <w:adjustRightInd w:val="0"/>
        <w:spacing w:line="240" w:lineRule="exact"/>
        <w:rPr>
          <w:rFonts w:ascii="Verdana" w:hAnsi="Verdana" w:cs="Univers"/>
          <w:sz w:val="18"/>
          <w:szCs w:val="18"/>
        </w:rPr>
      </w:pPr>
      <w:r w:rsidRPr="005E7EAC">
        <w:rPr>
          <w:rFonts w:ascii="Verdana" w:hAnsi="Verdana" w:cs="Univers"/>
          <w:sz w:val="18"/>
          <w:szCs w:val="18"/>
        </w:rPr>
        <w:t>1. mee- en tegenvallers;</w:t>
      </w:r>
    </w:p>
    <w:p w:rsidRPr="005E7EAC" w:rsidR="00B06639" w:rsidP="00B06639" w:rsidRDefault="00B06639">
      <w:pPr>
        <w:autoSpaceDE w:val="0"/>
        <w:autoSpaceDN w:val="0"/>
        <w:adjustRightInd w:val="0"/>
        <w:spacing w:line="240" w:lineRule="exact"/>
        <w:rPr>
          <w:rFonts w:ascii="Verdana" w:hAnsi="Verdana" w:cs="Univers"/>
          <w:sz w:val="18"/>
          <w:szCs w:val="18"/>
        </w:rPr>
      </w:pPr>
      <w:r w:rsidRPr="005E7EAC">
        <w:rPr>
          <w:rFonts w:ascii="Verdana" w:hAnsi="Verdana" w:cs="Univers"/>
          <w:sz w:val="18"/>
          <w:szCs w:val="18"/>
        </w:rPr>
        <w:t>2. beleidsmatige mutaties;</w:t>
      </w:r>
    </w:p>
    <w:p w:rsidRPr="005E7EAC" w:rsidR="00B06639" w:rsidP="00B06639" w:rsidRDefault="00B06639">
      <w:pPr>
        <w:autoSpaceDE w:val="0"/>
        <w:autoSpaceDN w:val="0"/>
        <w:adjustRightInd w:val="0"/>
        <w:spacing w:line="240" w:lineRule="exact"/>
        <w:rPr>
          <w:rFonts w:ascii="Verdana" w:hAnsi="Verdana" w:cs="Univers"/>
          <w:sz w:val="18"/>
          <w:szCs w:val="18"/>
        </w:rPr>
      </w:pPr>
      <w:r w:rsidRPr="005E7EAC">
        <w:rPr>
          <w:rFonts w:ascii="Verdana" w:hAnsi="Verdana" w:cs="Univers"/>
          <w:sz w:val="18"/>
          <w:szCs w:val="18"/>
        </w:rPr>
        <w:t>3. technische mutaties.</w:t>
      </w:r>
    </w:p>
    <w:p w:rsidRPr="005E7EAC" w:rsidR="00B06639" w:rsidP="00B06639" w:rsidRDefault="00B06639">
      <w:pPr>
        <w:autoSpaceDE w:val="0"/>
        <w:autoSpaceDN w:val="0"/>
        <w:adjustRightInd w:val="0"/>
        <w:spacing w:line="240" w:lineRule="exact"/>
        <w:rPr>
          <w:rFonts w:ascii="Verdana" w:hAnsi="Verdana" w:cs="Univers"/>
          <w:sz w:val="18"/>
          <w:szCs w:val="18"/>
        </w:rPr>
      </w:pPr>
    </w:p>
    <w:p w:rsidRPr="005E7EAC" w:rsidR="00B06639" w:rsidP="00B06639" w:rsidRDefault="00B06639">
      <w:pPr>
        <w:autoSpaceDE w:val="0"/>
        <w:autoSpaceDN w:val="0"/>
        <w:adjustRightInd w:val="0"/>
        <w:spacing w:line="240" w:lineRule="exact"/>
        <w:rPr>
          <w:rFonts w:ascii="Verdana" w:hAnsi="Verdana" w:cs="Univers"/>
          <w:sz w:val="18"/>
          <w:szCs w:val="18"/>
        </w:rPr>
      </w:pPr>
      <w:r w:rsidRPr="005E7EAC">
        <w:rPr>
          <w:rFonts w:ascii="Verdana" w:hAnsi="Verdana" w:cs="Univers"/>
          <w:sz w:val="18"/>
          <w:szCs w:val="18"/>
        </w:rPr>
        <w:t xml:space="preserve">Alle overboekingen, desalderingen, statistische correcties en mutaties die niet </w:t>
      </w:r>
      <w:r w:rsidRPr="005E7EAC" w:rsidR="00F0373A">
        <w:rPr>
          <w:rFonts w:ascii="Verdana" w:hAnsi="Verdana" w:cs="Univers"/>
          <w:sz w:val="18"/>
          <w:szCs w:val="18"/>
        </w:rPr>
        <w:t>onder een kader vallen</w:t>
      </w:r>
      <w:r w:rsidRPr="005E7EAC">
        <w:rPr>
          <w:rFonts w:ascii="Verdana" w:hAnsi="Verdana" w:cs="Univers"/>
          <w:sz w:val="18"/>
          <w:szCs w:val="18"/>
        </w:rPr>
        <w:t xml:space="preserve">, zijn in de laatste categorie </w:t>
      </w:r>
      <w:r w:rsidRPr="005E7EAC">
        <w:rPr>
          <w:rFonts w:ascii="Verdana" w:hAnsi="Verdana" w:cs="Univers"/>
          <w:i/>
          <w:sz w:val="18"/>
          <w:szCs w:val="18"/>
        </w:rPr>
        <w:t>technische mutaties</w:t>
      </w:r>
      <w:r w:rsidRPr="005E7EAC">
        <w:rPr>
          <w:rFonts w:ascii="Verdana" w:hAnsi="Verdana" w:cs="Univers"/>
          <w:sz w:val="18"/>
          <w:szCs w:val="18"/>
        </w:rPr>
        <w:t xml:space="preserve"> geclusterd. Ingeval samenhangende mutaties in meerdere categorieën voorkomen, worden deze eenmaal toegelicht.</w:t>
      </w:r>
    </w:p>
    <w:p w:rsidRPr="005E7EAC" w:rsidR="0007153F" w:rsidP="00B06639" w:rsidRDefault="0007153F">
      <w:pPr>
        <w:autoSpaceDE w:val="0"/>
        <w:autoSpaceDN w:val="0"/>
        <w:adjustRightInd w:val="0"/>
        <w:spacing w:line="240" w:lineRule="exact"/>
        <w:rPr>
          <w:rFonts w:ascii="Verdana" w:hAnsi="Verdana" w:cs="Univers"/>
          <w:sz w:val="18"/>
          <w:szCs w:val="18"/>
        </w:rPr>
      </w:pPr>
    </w:p>
    <w:p w:rsidRPr="005E7EAC" w:rsidR="00B06639" w:rsidP="00B06639" w:rsidRDefault="00B06639">
      <w:pPr>
        <w:autoSpaceDE w:val="0"/>
        <w:autoSpaceDN w:val="0"/>
        <w:adjustRightInd w:val="0"/>
        <w:spacing w:line="240" w:lineRule="exact"/>
        <w:rPr>
          <w:rFonts w:ascii="Verdana" w:hAnsi="Verdana" w:cs="Univers"/>
          <w:sz w:val="18"/>
          <w:szCs w:val="18"/>
        </w:rPr>
      </w:pPr>
      <w:r w:rsidRPr="005E7EAC">
        <w:rPr>
          <w:rFonts w:ascii="Verdana" w:hAnsi="Verdana" w:cs="Univers"/>
          <w:sz w:val="18"/>
          <w:szCs w:val="18"/>
        </w:rPr>
        <w:t xml:space="preserve">De totalen per begroting worden in eerste instantie gepresenteerd exclusief de bedragen die onder de Homogene Groep Internationale Samenwerking (HGIS) vallen. Door middel van een aansluitregel wordt het deel van de begroting dat onder HGIS valt, zichtbaar gemaakt. </w:t>
      </w:r>
      <w:r w:rsidRPr="005E7EAC" w:rsidR="001617A2">
        <w:rPr>
          <w:rFonts w:ascii="Verdana" w:hAnsi="Verdana" w:cs="Univers"/>
          <w:sz w:val="18"/>
          <w:szCs w:val="18"/>
        </w:rPr>
        <w:t xml:space="preserve">De laatste regel geeft per begroting de totaalstand inclusief HGIS aan. </w:t>
      </w:r>
      <w:r w:rsidRPr="005E7EAC">
        <w:rPr>
          <w:rFonts w:ascii="Verdana" w:hAnsi="Verdana" w:cs="Univers"/>
          <w:sz w:val="18"/>
          <w:szCs w:val="18"/>
        </w:rPr>
        <w:t>De veranderingen die optreden binnen het HGIS-deel van de begroting worden gepresenteerd en toegelicht in de verticale toelichting van alle HGIS-uitgaven.</w:t>
      </w:r>
    </w:p>
    <w:p w:rsidRPr="005E7EAC" w:rsidR="00B06639" w:rsidP="00B06639" w:rsidRDefault="00B06639">
      <w:pPr>
        <w:autoSpaceDE w:val="0"/>
        <w:autoSpaceDN w:val="0"/>
        <w:adjustRightInd w:val="0"/>
        <w:spacing w:line="240" w:lineRule="exact"/>
        <w:rPr>
          <w:rFonts w:ascii="Verdana" w:hAnsi="Verdana" w:cs="Univers"/>
          <w:sz w:val="18"/>
          <w:szCs w:val="18"/>
        </w:rPr>
      </w:pPr>
    </w:p>
    <w:p w:rsidRPr="005E7EAC" w:rsidR="00B06639" w:rsidP="00B911D7" w:rsidRDefault="00B06639">
      <w:pPr>
        <w:autoSpaceDE w:val="0"/>
        <w:autoSpaceDN w:val="0"/>
        <w:adjustRightInd w:val="0"/>
        <w:spacing w:line="240" w:lineRule="atLeast"/>
        <w:rPr>
          <w:rFonts w:ascii="Verdana" w:hAnsi="Verdana" w:cs="Arial"/>
          <w:sz w:val="18"/>
          <w:szCs w:val="18"/>
        </w:rPr>
      </w:pPr>
      <w:r w:rsidRPr="005E7EAC">
        <w:rPr>
          <w:rFonts w:ascii="Verdana" w:hAnsi="Verdana"/>
          <w:sz w:val="18"/>
          <w:szCs w:val="18"/>
        </w:rPr>
        <w:t>De ondergrens is afhankelijk van de omvang van de begroting en verschilt voor de verschillende categorieën mutaties. De post diversen bevat de mutaties die onder de ondergrens vallen en wordt in principe alleen toegelicht, indien</w:t>
      </w:r>
      <w:r w:rsidRPr="005E7EAC" w:rsidR="00F0373A">
        <w:rPr>
          <w:rFonts w:ascii="Verdana" w:hAnsi="Verdana"/>
          <w:sz w:val="18"/>
          <w:szCs w:val="18"/>
        </w:rPr>
        <w:t xml:space="preserve"> er</w:t>
      </w:r>
      <w:r w:rsidRPr="005E7EAC">
        <w:rPr>
          <w:rFonts w:ascii="Verdana" w:hAnsi="Verdana"/>
          <w:sz w:val="18"/>
          <w:szCs w:val="18"/>
        </w:rPr>
        <w:t xml:space="preserve"> bijzonderheden voordoen.</w:t>
      </w:r>
    </w:p>
    <w:p w:rsidRPr="005E7EAC" w:rsidR="00B911D7" w:rsidP="00B911D7" w:rsidRDefault="00B911D7">
      <w:pPr>
        <w:spacing w:line="240" w:lineRule="atLeast"/>
        <w:rPr>
          <w:rFonts w:ascii="Verdana" w:hAnsi="Verdana"/>
          <w:sz w:val="18"/>
          <w:szCs w:val="18"/>
        </w:rPr>
      </w:pPr>
    </w:p>
    <w:p w:rsidRPr="005E7EAC" w:rsidR="000935CC" w:rsidRDefault="000935CC">
      <w:pPr>
        <w:spacing w:after="200" w:line="276" w:lineRule="auto"/>
        <w:rPr>
          <w:rFonts w:ascii="Verdana" w:hAnsi="Verdana"/>
          <w:bCs/>
          <w:i/>
          <w:sz w:val="16"/>
          <w:szCs w:val="16"/>
        </w:rPr>
      </w:pPr>
      <w:r w:rsidRPr="005E7EAC">
        <w:rPr>
          <w:rFonts w:ascii="Verdana" w:hAnsi="Verdana"/>
          <w:b/>
          <w:i/>
          <w:sz w:val="16"/>
          <w:szCs w:val="16"/>
        </w:rPr>
        <w:br w:type="page"/>
      </w:r>
    </w:p>
    <w:p w:rsidRPr="005E7EAC" w:rsidR="004C5CAD" w:rsidP="00A26D50" w:rsidRDefault="004C5CAD">
      <w:pPr>
        <w:pStyle w:val="Bijschrift"/>
        <w:keepNext/>
        <w:spacing w:after="0"/>
        <w:rPr>
          <w:rFonts w:ascii="Verdana" w:hAnsi="Verdana"/>
          <w:b w:val="0"/>
          <w:i/>
          <w:color w:val="auto"/>
        </w:rPr>
      </w:pPr>
      <w:r w:rsidRPr="005E7EAC">
        <w:rPr>
          <w:rFonts w:ascii="Verdana" w:hAnsi="Verdana"/>
          <w:b w:val="0"/>
          <w:i/>
          <w:color w:val="auto"/>
        </w:rPr>
        <w:lastRenderedPageBreak/>
        <w:t>Samenvattend overzicht mutaties</w:t>
      </w:r>
      <w:r w:rsidRPr="005E7EAC" w:rsidR="00DC7EAE">
        <w:rPr>
          <w:rFonts w:ascii="Verdana" w:hAnsi="Verdana"/>
          <w:b w:val="0"/>
          <w:i/>
          <w:color w:val="auto"/>
        </w:rPr>
        <w:t xml:space="preserve"> voor 201</w:t>
      </w:r>
      <w:r w:rsidRPr="005E7EAC" w:rsidR="002936B1">
        <w:rPr>
          <w:rFonts w:ascii="Verdana" w:hAnsi="Verdana"/>
          <w:b w:val="0"/>
          <w:i/>
          <w:color w:val="auto"/>
        </w:rPr>
        <w:t xml:space="preserve">5 </w:t>
      </w:r>
      <w:r w:rsidRPr="005E7EAC" w:rsidR="00357F64">
        <w:rPr>
          <w:rFonts w:ascii="Verdana" w:hAnsi="Verdana"/>
          <w:b w:val="0"/>
          <w:i/>
          <w:color w:val="auto"/>
        </w:rPr>
        <w:t>bij Voorjaarsnota</w:t>
      </w:r>
    </w:p>
    <w:p w:rsidRPr="005E7EAC" w:rsidR="001807B3" w:rsidP="00B911D7" w:rsidRDefault="001807B3">
      <w:pPr>
        <w:spacing w:line="240" w:lineRule="atLeast"/>
        <w:rPr>
          <w:rFonts w:ascii="Verdana" w:hAnsi="Verdana"/>
          <w:sz w:val="18"/>
          <w:szCs w:val="18"/>
        </w:rPr>
      </w:pPr>
    </w:p>
    <w:tbl>
      <w:tblPr>
        <w:tblW w:w="5000" w:type="pct"/>
        <w:tblCellMar>
          <w:left w:w="70" w:type="dxa"/>
          <w:right w:w="70" w:type="dxa"/>
        </w:tblCellMar>
        <w:tblLook w:val="04A0"/>
      </w:tblPr>
      <w:tblGrid>
        <w:gridCol w:w="762"/>
        <w:gridCol w:w="4553"/>
        <w:gridCol w:w="1701"/>
        <w:gridCol w:w="2196"/>
      </w:tblGrid>
      <w:tr w:rsidRPr="005E7EAC" w:rsidR="00357F64" w:rsidTr="007331F0">
        <w:trPr>
          <w:trHeight w:val="227"/>
        </w:trPr>
        <w:tc>
          <w:tcPr>
            <w:tcW w:w="414" w:type="pct"/>
            <w:tcBorders>
              <w:top w:val="single" w:color="auto" w:sz="12" w:space="0"/>
              <w:left w:val="nil"/>
              <w:bottom w:val="single" w:color="auto" w:sz="12" w:space="0"/>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 </w:t>
            </w:r>
          </w:p>
        </w:tc>
        <w:tc>
          <w:tcPr>
            <w:tcW w:w="2471" w:type="pct"/>
            <w:tcBorders>
              <w:top w:val="single" w:color="auto" w:sz="12" w:space="0"/>
              <w:left w:val="nil"/>
              <w:bottom w:val="single" w:color="auto" w:sz="12" w:space="0"/>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Bedragen in miljoenen euro’s</w:t>
            </w:r>
          </w:p>
        </w:tc>
        <w:tc>
          <w:tcPr>
            <w:tcW w:w="923" w:type="pct"/>
            <w:tcBorders>
              <w:top w:val="single" w:color="auto" w:sz="12" w:space="0"/>
              <w:left w:val="nil"/>
              <w:bottom w:val="single" w:color="auto" w:sz="12" w:space="0"/>
              <w:right w:val="nil"/>
            </w:tcBorders>
            <w:shd w:val="clear" w:color="auto" w:fill="auto"/>
            <w:hideMark/>
          </w:tcPr>
          <w:p w:rsidRPr="005E7EAC" w:rsidR="00357F64" w:rsidP="00A26D50" w:rsidRDefault="00357F64">
            <w:pPr>
              <w:jc w:val="right"/>
              <w:rPr>
                <w:rFonts w:ascii="Verdana" w:hAnsi="Verdana"/>
                <w:sz w:val="16"/>
                <w:szCs w:val="16"/>
              </w:rPr>
            </w:pPr>
            <w:r w:rsidRPr="005E7EAC">
              <w:rPr>
                <w:rFonts w:ascii="Verdana" w:hAnsi="Verdana"/>
                <w:sz w:val="16"/>
                <w:szCs w:val="16"/>
              </w:rPr>
              <w:t>Mutaties uitgaven</w:t>
            </w:r>
          </w:p>
        </w:tc>
        <w:tc>
          <w:tcPr>
            <w:tcW w:w="1192" w:type="pct"/>
            <w:tcBorders>
              <w:top w:val="single" w:color="auto" w:sz="12" w:space="0"/>
              <w:left w:val="nil"/>
              <w:bottom w:val="single" w:color="auto" w:sz="12" w:space="0"/>
              <w:right w:val="nil"/>
            </w:tcBorders>
            <w:shd w:val="clear" w:color="auto" w:fill="auto"/>
            <w:hideMark/>
          </w:tcPr>
          <w:p w:rsidRPr="005E7EAC" w:rsidR="00357F64" w:rsidP="00A26D50" w:rsidRDefault="00357F64">
            <w:pPr>
              <w:jc w:val="right"/>
              <w:rPr>
                <w:rFonts w:ascii="Verdana" w:hAnsi="Verdana"/>
                <w:sz w:val="16"/>
                <w:szCs w:val="16"/>
              </w:rPr>
            </w:pPr>
            <w:r w:rsidRPr="005E7EAC">
              <w:rPr>
                <w:rFonts w:ascii="Verdana" w:hAnsi="Verdana"/>
                <w:sz w:val="16"/>
                <w:szCs w:val="16"/>
              </w:rPr>
              <w:t xml:space="preserve">Mutaties ontvangsten </w:t>
            </w:r>
          </w:p>
        </w:tc>
      </w:tr>
      <w:tr w:rsidRPr="005E7EAC" w:rsidR="00357F64" w:rsidTr="00DC7EAE">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5E7EAC" w:rsidR="00357F64" w:rsidP="00DC7EAE" w:rsidRDefault="00357F64">
            <w:pPr>
              <w:rPr>
                <w:rFonts w:ascii="Verdana" w:hAnsi="Verdana"/>
                <w:i/>
                <w:iCs/>
                <w:sz w:val="16"/>
                <w:szCs w:val="16"/>
              </w:rPr>
            </w:pPr>
            <w:r w:rsidRPr="005E7EAC">
              <w:rPr>
                <w:rFonts w:ascii="Verdana" w:hAnsi="Verdana"/>
                <w:i/>
                <w:iCs/>
                <w:sz w:val="16"/>
                <w:szCs w:val="16"/>
              </w:rPr>
              <w:t>Departementale begrotingen</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w:t>
            </w:r>
          </w:p>
        </w:tc>
        <w:tc>
          <w:tcPr>
            <w:tcW w:w="2471" w:type="pct"/>
            <w:tcBorders>
              <w:top w:val="nil"/>
              <w:left w:val="nil"/>
              <w:bottom w:val="nil"/>
              <w:right w:val="nil"/>
            </w:tcBorders>
            <w:shd w:val="clear" w:color="auto" w:fill="auto"/>
            <w:vAlign w:val="bottom"/>
            <w:hideMark/>
          </w:tcPr>
          <w:p w:rsidRPr="005E7EAC" w:rsidR="00357F64" w:rsidP="003177E2" w:rsidRDefault="00357F64">
            <w:pPr>
              <w:rPr>
                <w:rFonts w:ascii="Verdana" w:hAnsi="Verdana"/>
                <w:sz w:val="16"/>
                <w:szCs w:val="16"/>
              </w:rPr>
            </w:pPr>
            <w:r w:rsidRPr="005E7EAC">
              <w:rPr>
                <w:rFonts w:ascii="Verdana" w:hAnsi="Verdana"/>
                <w:sz w:val="16"/>
                <w:szCs w:val="16"/>
              </w:rPr>
              <w:t xml:space="preserve">De </w:t>
            </w:r>
            <w:r w:rsidRPr="005E7EAC" w:rsidR="003177E2">
              <w:rPr>
                <w:rFonts w:ascii="Verdana" w:hAnsi="Verdana"/>
                <w:sz w:val="16"/>
                <w:szCs w:val="16"/>
              </w:rPr>
              <w:t>K</w:t>
            </w:r>
            <w:r w:rsidRPr="005E7EAC">
              <w:rPr>
                <w:rFonts w:ascii="Verdana" w:hAnsi="Verdana"/>
                <w:sz w:val="16"/>
                <w:szCs w:val="16"/>
              </w:rPr>
              <w:t>oning</w:t>
            </w:r>
          </w:p>
        </w:tc>
        <w:tc>
          <w:tcPr>
            <w:tcW w:w="923" w:type="pct"/>
            <w:tcBorders>
              <w:top w:val="nil"/>
              <w:left w:val="nil"/>
              <w:bottom w:val="nil"/>
              <w:right w:val="nil"/>
            </w:tcBorders>
            <w:shd w:val="clear" w:color="auto" w:fill="auto"/>
            <w:vAlign w:val="bottom"/>
            <w:hideMark/>
          </w:tcPr>
          <w:p w:rsidRPr="005E7EAC" w:rsidR="00357F64" w:rsidP="0039025B" w:rsidRDefault="007331F0">
            <w:pPr>
              <w:jc w:val="right"/>
              <w:rPr>
                <w:rFonts w:ascii="Verdana" w:hAnsi="Verdana"/>
                <w:sz w:val="16"/>
                <w:szCs w:val="16"/>
              </w:rPr>
            </w:pPr>
            <w:r w:rsidRPr="005E7EAC">
              <w:rPr>
                <w:rFonts w:ascii="Verdana" w:hAnsi="Verdana"/>
                <w:sz w:val="16"/>
                <w:szCs w:val="16"/>
              </w:rPr>
              <w:t>0,2</w:t>
            </w:r>
          </w:p>
        </w:tc>
        <w:tc>
          <w:tcPr>
            <w:tcW w:w="1192" w:type="pct"/>
            <w:tcBorders>
              <w:top w:val="nil"/>
              <w:left w:val="nil"/>
              <w:bottom w:val="nil"/>
              <w:right w:val="nil"/>
            </w:tcBorders>
            <w:shd w:val="clear" w:color="auto" w:fill="auto"/>
            <w:vAlign w:val="bottom"/>
            <w:hideMark/>
          </w:tcPr>
          <w:p w:rsidRPr="005E7EAC" w:rsidR="00357F64" w:rsidP="0039025B" w:rsidRDefault="007331F0">
            <w:pPr>
              <w:jc w:val="right"/>
              <w:rPr>
                <w:rFonts w:ascii="Verdana" w:hAnsi="Verdana"/>
                <w:sz w:val="16"/>
                <w:szCs w:val="16"/>
              </w:rPr>
            </w:pPr>
            <w:r w:rsidRPr="005E7EAC">
              <w:rPr>
                <w:rFonts w:ascii="Verdana" w:hAnsi="Verdana"/>
                <w:sz w:val="16"/>
                <w:szCs w:val="16"/>
              </w:rPr>
              <w:t>0,1</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IIA</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Staten Generaal</w:t>
            </w:r>
          </w:p>
        </w:tc>
        <w:tc>
          <w:tcPr>
            <w:tcW w:w="923" w:type="pct"/>
            <w:tcBorders>
              <w:top w:val="nil"/>
              <w:left w:val="nil"/>
              <w:bottom w:val="nil"/>
              <w:right w:val="nil"/>
            </w:tcBorders>
            <w:shd w:val="clear" w:color="auto" w:fill="auto"/>
            <w:vAlign w:val="bottom"/>
            <w:hideMark/>
          </w:tcPr>
          <w:p w:rsidRPr="005E7EAC" w:rsidR="00357F64" w:rsidP="0039025B" w:rsidRDefault="00084120">
            <w:pPr>
              <w:jc w:val="right"/>
              <w:rPr>
                <w:rFonts w:ascii="Verdana" w:hAnsi="Verdana"/>
                <w:sz w:val="16"/>
                <w:szCs w:val="16"/>
              </w:rPr>
            </w:pPr>
            <w:r w:rsidRPr="005E7EAC">
              <w:rPr>
                <w:rFonts w:ascii="Verdana" w:hAnsi="Verdana"/>
                <w:sz w:val="16"/>
                <w:szCs w:val="16"/>
              </w:rPr>
              <w:t>6,8</w:t>
            </w:r>
          </w:p>
        </w:tc>
        <w:tc>
          <w:tcPr>
            <w:tcW w:w="1192" w:type="pct"/>
            <w:tcBorders>
              <w:top w:val="nil"/>
              <w:left w:val="nil"/>
              <w:bottom w:val="nil"/>
              <w:right w:val="nil"/>
            </w:tcBorders>
            <w:shd w:val="clear" w:color="auto" w:fill="auto"/>
            <w:vAlign w:val="bottom"/>
            <w:hideMark/>
          </w:tcPr>
          <w:p w:rsidRPr="005E7EAC" w:rsidR="00357F64" w:rsidP="0039025B" w:rsidRDefault="00084120">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IIB</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Hoge Colleges van Staat</w:t>
            </w:r>
          </w:p>
        </w:tc>
        <w:tc>
          <w:tcPr>
            <w:tcW w:w="923" w:type="pct"/>
            <w:tcBorders>
              <w:top w:val="nil"/>
              <w:left w:val="nil"/>
              <w:bottom w:val="nil"/>
              <w:right w:val="nil"/>
            </w:tcBorders>
            <w:shd w:val="clear" w:color="auto" w:fill="auto"/>
            <w:vAlign w:val="bottom"/>
            <w:hideMark/>
          </w:tcPr>
          <w:p w:rsidRPr="005E7EAC" w:rsidR="00357F64" w:rsidP="0039025B" w:rsidRDefault="009E50B6">
            <w:pPr>
              <w:jc w:val="right"/>
              <w:rPr>
                <w:rFonts w:ascii="Verdana" w:hAnsi="Verdana"/>
                <w:sz w:val="16"/>
                <w:szCs w:val="16"/>
              </w:rPr>
            </w:pPr>
            <w:r w:rsidRPr="005E7EAC">
              <w:rPr>
                <w:rFonts w:ascii="Verdana" w:hAnsi="Verdana"/>
                <w:sz w:val="16"/>
                <w:szCs w:val="16"/>
              </w:rPr>
              <w:t>2,0</w:t>
            </w:r>
          </w:p>
        </w:tc>
        <w:tc>
          <w:tcPr>
            <w:tcW w:w="1192" w:type="pct"/>
            <w:tcBorders>
              <w:top w:val="nil"/>
              <w:left w:val="nil"/>
              <w:bottom w:val="nil"/>
              <w:right w:val="nil"/>
            </w:tcBorders>
            <w:shd w:val="clear" w:color="auto" w:fill="auto"/>
            <w:vAlign w:val="bottom"/>
            <w:hideMark/>
          </w:tcPr>
          <w:p w:rsidRPr="005E7EAC" w:rsidR="00357F64" w:rsidP="0039025B" w:rsidRDefault="009E50B6">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III</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Algemene Zaken</w:t>
            </w:r>
          </w:p>
        </w:tc>
        <w:tc>
          <w:tcPr>
            <w:tcW w:w="923" w:type="pct"/>
            <w:tcBorders>
              <w:top w:val="nil"/>
              <w:left w:val="nil"/>
              <w:bottom w:val="nil"/>
              <w:right w:val="nil"/>
            </w:tcBorders>
            <w:shd w:val="clear" w:color="auto" w:fill="auto"/>
            <w:vAlign w:val="bottom"/>
            <w:hideMark/>
          </w:tcPr>
          <w:p w:rsidRPr="005E7EAC" w:rsidR="00357F64" w:rsidP="0039025B" w:rsidRDefault="005C1DDB">
            <w:pPr>
              <w:jc w:val="right"/>
              <w:rPr>
                <w:rFonts w:ascii="Verdana" w:hAnsi="Verdana"/>
                <w:sz w:val="16"/>
                <w:szCs w:val="16"/>
              </w:rPr>
            </w:pPr>
            <w:r w:rsidRPr="005E7EAC">
              <w:rPr>
                <w:rFonts w:ascii="Verdana" w:hAnsi="Verdana"/>
                <w:sz w:val="16"/>
                <w:szCs w:val="16"/>
              </w:rPr>
              <w:t>2,2</w:t>
            </w:r>
          </w:p>
        </w:tc>
        <w:tc>
          <w:tcPr>
            <w:tcW w:w="1192" w:type="pct"/>
            <w:tcBorders>
              <w:top w:val="nil"/>
              <w:left w:val="nil"/>
              <w:bottom w:val="nil"/>
              <w:right w:val="nil"/>
            </w:tcBorders>
            <w:shd w:val="clear" w:color="auto" w:fill="auto"/>
            <w:vAlign w:val="bottom"/>
            <w:hideMark/>
          </w:tcPr>
          <w:p w:rsidRPr="005E7EAC" w:rsidR="00357F64" w:rsidP="0039025B" w:rsidRDefault="005C1DDB">
            <w:pPr>
              <w:jc w:val="right"/>
              <w:rPr>
                <w:rFonts w:ascii="Verdana" w:hAnsi="Verdana"/>
                <w:sz w:val="16"/>
                <w:szCs w:val="16"/>
              </w:rPr>
            </w:pPr>
            <w:r w:rsidRPr="005E7EAC">
              <w:rPr>
                <w:rFonts w:ascii="Verdana" w:hAnsi="Verdana"/>
                <w:sz w:val="16"/>
                <w:szCs w:val="16"/>
              </w:rPr>
              <w:t>0,4</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IV</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Koninkrijksrelaties</w:t>
            </w:r>
          </w:p>
        </w:tc>
        <w:tc>
          <w:tcPr>
            <w:tcW w:w="923" w:type="pct"/>
            <w:tcBorders>
              <w:top w:val="nil"/>
              <w:left w:val="nil"/>
              <w:bottom w:val="nil"/>
              <w:right w:val="nil"/>
            </w:tcBorders>
            <w:shd w:val="clear" w:color="auto" w:fill="auto"/>
            <w:vAlign w:val="bottom"/>
            <w:hideMark/>
          </w:tcPr>
          <w:p w:rsidRPr="005E7EAC" w:rsidR="00357F64" w:rsidP="0039025B" w:rsidRDefault="00113777">
            <w:pPr>
              <w:jc w:val="right"/>
              <w:rPr>
                <w:rFonts w:ascii="Verdana" w:hAnsi="Verdana"/>
                <w:sz w:val="16"/>
                <w:szCs w:val="16"/>
              </w:rPr>
            </w:pPr>
            <w:r w:rsidRPr="005E7EAC">
              <w:rPr>
                <w:rFonts w:ascii="Verdana" w:hAnsi="Verdana"/>
                <w:sz w:val="16"/>
                <w:szCs w:val="16"/>
              </w:rPr>
              <w:t>134,0</w:t>
            </w:r>
          </w:p>
        </w:tc>
        <w:tc>
          <w:tcPr>
            <w:tcW w:w="1192" w:type="pct"/>
            <w:tcBorders>
              <w:top w:val="nil"/>
              <w:left w:val="nil"/>
              <w:bottom w:val="nil"/>
              <w:right w:val="nil"/>
            </w:tcBorders>
            <w:shd w:val="clear" w:color="auto" w:fill="auto"/>
            <w:vAlign w:val="bottom"/>
            <w:hideMark/>
          </w:tcPr>
          <w:p w:rsidRPr="005E7EAC" w:rsidR="00357F64" w:rsidP="0039025B" w:rsidRDefault="00113777">
            <w:pPr>
              <w:jc w:val="right"/>
              <w:rPr>
                <w:rFonts w:ascii="Verdana" w:hAnsi="Verdana"/>
                <w:sz w:val="16"/>
                <w:szCs w:val="16"/>
              </w:rPr>
            </w:pPr>
            <w:r w:rsidRPr="005E7EAC">
              <w:rPr>
                <w:rFonts w:ascii="Verdana" w:hAnsi="Verdana"/>
                <w:sz w:val="16"/>
                <w:szCs w:val="16"/>
              </w:rPr>
              <w:t>12,1</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V</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Buitenlandse Zaken</w:t>
            </w:r>
          </w:p>
        </w:tc>
        <w:tc>
          <w:tcPr>
            <w:tcW w:w="923" w:type="pct"/>
            <w:tcBorders>
              <w:top w:val="nil"/>
              <w:left w:val="nil"/>
              <w:bottom w:val="nil"/>
              <w:right w:val="nil"/>
            </w:tcBorders>
            <w:shd w:val="clear" w:color="auto" w:fill="auto"/>
            <w:vAlign w:val="bottom"/>
            <w:hideMark/>
          </w:tcPr>
          <w:p w:rsidRPr="005E7EAC" w:rsidR="00357F64" w:rsidP="009D787C" w:rsidRDefault="00552337">
            <w:pPr>
              <w:jc w:val="right"/>
              <w:rPr>
                <w:rFonts w:ascii="Verdana" w:hAnsi="Verdana"/>
                <w:sz w:val="16"/>
                <w:szCs w:val="16"/>
              </w:rPr>
            </w:pPr>
            <w:r w:rsidRPr="005E7EAC">
              <w:rPr>
                <w:rFonts w:ascii="Verdana" w:hAnsi="Verdana"/>
                <w:sz w:val="16"/>
                <w:szCs w:val="16"/>
              </w:rPr>
              <w:t>1,</w:t>
            </w:r>
            <w:r w:rsidRPr="005E7EAC" w:rsidR="009D787C">
              <w:rPr>
                <w:rFonts w:ascii="Verdana" w:hAnsi="Verdana"/>
                <w:sz w:val="16"/>
                <w:szCs w:val="16"/>
              </w:rPr>
              <w:t>433,7</w:t>
            </w:r>
          </w:p>
        </w:tc>
        <w:tc>
          <w:tcPr>
            <w:tcW w:w="1192" w:type="pct"/>
            <w:tcBorders>
              <w:top w:val="nil"/>
              <w:left w:val="nil"/>
              <w:bottom w:val="nil"/>
              <w:right w:val="nil"/>
            </w:tcBorders>
            <w:shd w:val="clear" w:color="auto" w:fill="auto"/>
            <w:vAlign w:val="bottom"/>
            <w:hideMark/>
          </w:tcPr>
          <w:p w:rsidRPr="005E7EAC" w:rsidR="00357F64" w:rsidP="0039025B" w:rsidRDefault="009D787C">
            <w:pPr>
              <w:jc w:val="right"/>
              <w:rPr>
                <w:rFonts w:ascii="Verdana" w:hAnsi="Verdana"/>
                <w:sz w:val="16"/>
                <w:szCs w:val="16"/>
              </w:rPr>
            </w:pPr>
            <w:r w:rsidRPr="005E7EAC">
              <w:rPr>
                <w:rFonts w:ascii="Verdana" w:hAnsi="Verdana"/>
                <w:sz w:val="16"/>
                <w:szCs w:val="16"/>
              </w:rPr>
              <w:t>260,9</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VI</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Veiligheid en Justitie</w:t>
            </w:r>
          </w:p>
        </w:tc>
        <w:tc>
          <w:tcPr>
            <w:tcW w:w="923" w:type="pct"/>
            <w:tcBorders>
              <w:top w:val="nil"/>
              <w:left w:val="nil"/>
              <w:bottom w:val="nil"/>
              <w:right w:val="nil"/>
            </w:tcBorders>
            <w:shd w:val="clear" w:color="auto" w:fill="auto"/>
            <w:vAlign w:val="bottom"/>
            <w:hideMark/>
          </w:tcPr>
          <w:p w:rsidRPr="005E7EAC" w:rsidR="00357F64" w:rsidP="0039025B" w:rsidRDefault="00552337">
            <w:pPr>
              <w:jc w:val="right"/>
              <w:rPr>
                <w:rFonts w:ascii="Verdana" w:hAnsi="Verdana"/>
                <w:sz w:val="16"/>
                <w:szCs w:val="16"/>
              </w:rPr>
            </w:pPr>
            <w:r w:rsidRPr="005E7EAC">
              <w:rPr>
                <w:rFonts w:ascii="Verdana" w:hAnsi="Verdana"/>
                <w:sz w:val="16"/>
                <w:szCs w:val="16"/>
              </w:rPr>
              <w:t>770,2</w:t>
            </w:r>
          </w:p>
        </w:tc>
        <w:tc>
          <w:tcPr>
            <w:tcW w:w="1192" w:type="pct"/>
            <w:tcBorders>
              <w:top w:val="nil"/>
              <w:left w:val="nil"/>
              <w:bottom w:val="nil"/>
              <w:right w:val="nil"/>
            </w:tcBorders>
            <w:shd w:val="clear" w:color="auto" w:fill="auto"/>
            <w:vAlign w:val="bottom"/>
            <w:hideMark/>
          </w:tcPr>
          <w:p w:rsidRPr="005E7EAC" w:rsidR="00357F64" w:rsidP="0039025B" w:rsidRDefault="00552337">
            <w:pPr>
              <w:jc w:val="right"/>
              <w:rPr>
                <w:rFonts w:ascii="Verdana" w:hAnsi="Verdana"/>
                <w:sz w:val="16"/>
                <w:szCs w:val="16"/>
              </w:rPr>
            </w:pPr>
            <w:r w:rsidRPr="005E7EAC">
              <w:rPr>
                <w:rFonts w:ascii="Verdana" w:hAnsi="Verdana"/>
                <w:sz w:val="16"/>
                <w:szCs w:val="16"/>
              </w:rPr>
              <w:t>49,5</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VII</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Binnenlandse Zaken en Koninkrijksrelaties</w:t>
            </w:r>
          </w:p>
        </w:tc>
        <w:tc>
          <w:tcPr>
            <w:tcW w:w="923" w:type="pct"/>
            <w:tcBorders>
              <w:top w:val="nil"/>
              <w:left w:val="nil"/>
              <w:bottom w:val="nil"/>
              <w:right w:val="nil"/>
            </w:tcBorders>
            <w:shd w:val="clear" w:color="auto" w:fill="auto"/>
            <w:vAlign w:val="bottom"/>
            <w:hideMark/>
          </w:tcPr>
          <w:p w:rsidRPr="005E7EAC" w:rsidR="00357F64" w:rsidP="0039025B" w:rsidRDefault="001F461D">
            <w:pPr>
              <w:jc w:val="right"/>
              <w:rPr>
                <w:rFonts w:ascii="Verdana" w:hAnsi="Verdana"/>
                <w:sz w:val="16"/>
                <w:szCs w:val="16"/>
              </w:rPr>
            </w:pPr>
            <w:r w:rsidRPr="005E7EAC">
              <w:rPr>
                <w:rFonts w:ascii="Verdana" w:hAnsi="Verdana"/>
                <w:sz w:val="16"/>
                <w:szCs w:val="16"/>
              </w:rPr>
              <w:t>111,9</w:t>
            </w:r>
          </w:p>
        </w:tc>
        <w:tc>
          <w:tcPr>
            <w:tcW w:w="1192" w:type="pct"/>
            <w:tcBorders>
              <w:top w:val="nil"/>
              <w:left w:val="nil"/>
              <w:bottom w:val="nil"/>
              <w:right w:val="nil"/>
            </w:tcBorders>
            <w:shd w:val="clear" w:color="auto" w:fill="auto"/>
            <w:vAlign w:val="bottom"/>
            <w:hideMark/>
          </w:tcPr>
          <w:p w:rsidRPr="005E7EAC" w:rsidR="00357F64" w:rsidP="0039025B" w:rsidRDefault="001F461D">
            <w:pPr>
              <w:jc w:val="right"/>
              <w:rPr>
                <w:rFonts w:ascii="Verdana" w:hAnsi="Verdana"/>
                <w:sz w:val="16"/>
                <w:szCs w:val="16"/>
              </w:rPr>
            </w:pPr>
            <w:r w:rsidRPr="005E7EAC">
              <w:rPr>
                <w:rFonts w:ascii="Verdana" w:hAnsi="Verdana"/>
                <w:sz w:val="16"/>
                <w:szCs w:val="16"/>
              </w:rPr>
              <w:t>163,0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VIII</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Onderwijs, Cultuur en Wetenschap</w:t>
            </w:r>
          </w:p>
        </w:tc>
        <w:tc>
          <w:tcPr>
            <w:tcW w:w="923" w:type="pct"/>
            <w:tcBorders>
              <w:top w:val="nil"/>
              <w:left w:val="nil"/>
              <w:bottom w:val="nil"/>
              <w:right w:val="nil"/>
            </w:tcBorders>
            <w:shd w:val="clear" w:color="auto" w:fill="auto"/>
            <w:vAlign w:val="bottom"/>
            <w:hideMark/>
          </w:tcPr>
          <w:p w:rsidRPr="005E7EAC" w:rsidR="00357F64" w:rsidP="0039025B" w:rsidRDefault="001C4741">
            <w:pPr>
              <w:jc w:val="right"/>
              <w:rPr>
                <w:rFonts w:ascii="Verdana" w:hAnsi="Verdana"/>
                <w:sz w:val="16"/>
                <w:szCs w:val="16"/>
              </w:rPr>
            </w:pPr>
            <w:r w:rsidRPr="005E7EAC">
              <w:rPr>
                <w:rFonts w:ascii="Verdana" w:hAnsi="Verdana"/>
                <w:sz w:val="16"/>
                <w:szCs w:val="16"/>
              </w:rPr>
              <w:t>129,1</w:t>
            </w:r>
          </w:p>
        </w:tc>
        <w:tc>
          <w:tcPr>
            <w:tcW w:w="1192" w:type="pct"/>
            <w:tcBorders>
              <w:top w:val="nil"/>
              <w:left w:val="nil"/>
              <w:bottom w:val="nil"/>
              <w:right w:val="nil"/>
            </w:tcBorders>
            <w:shd w:val="clear" w:color="auto" w:fill="auto"/>
            <w:vAlign w:val="bottom"/>
            <w:hideMark/>
          </w:tcPr>
          <w:p w:rsidRPr="005E7EAC" w:rsidR="00357F64" w:rsidP="0039025B" w:rsidRDefault="001C4741">
            <w:pPr>
              <w:jc w:val="right"/>
              <w:rPr>
                <w:rFonts w:ascii="Verdana" w:hAnsi="Verdana"/>
                <w:sz w:val="16"/>
                <w:szCs w:val="16"/>
              </w:rPr>
            </w:pPr>
            <w:r w:rsidRPr="005E7EAC">
              <w:rPr>
                <w:rFonts w:ascii="Verdana" w:hAnsi="Verdana"/>
                <w:sz w:val="16"/>
                <w:szCs w:val="16"/>
              </w:rPr>
              <w:t>17,9</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IXA</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Nationale Schuld</w:t>
            </w:r>
          </w:p>
        </w:tc>
        <w:tc>
          <w:tcPr>
            <w:tcW w:w="923" w:type="pct"/>
            <w:tcBorders>
              <w:top w:val="nil"/>
              <w:left w:val="nil"/>
              <w:bottom w:val="nil"/>
              <w:right w:val="nil"/>
            </w:tcBorders>
            <w:shd w:val="clear" w:color="auto" w:fill="auto"/>
            <w:vAlign w:val="bottom"/>
            <w:hideMark/>
          </w:tcPr>
          <w:p w:rsidRPr="005E7EAC" w:rsidR="00357F64" w:rsidP="0039025B" w:rsidRDefault="00A830AA">
            <w:pPr>
              <w:jc w:val="right"/>
              <w:rPr>
                <w:rFonts w:ascii="Verdana" w:hAnsi="Verdana"/>
                <w:sz w:val="16"/>
                <w:szCs w:val="16"/>
              </w:rPr>
            </w:pPr>
            <w:r w:rsidRPr="005E7EAC">
              <w:rPr>
                <w:rFonts w:ascii="Verdana" w:hAnsi="Verdana"/>
                <w:sz w:val="16"/>
                <w:szCs w:val="16"/>
              </w:rPr>
              <w:t>-1.695,4</w:t>
            </w:r>
          </w:p>
        </w:tc>
        <w:tc>
          <w:tcPr>
            <w:tcW w:w="1192" w:type="pct"/>
            <w:tcBorders>
              <w:top w:val="nil"/>
              <w:left w:val="nil"/>
              <w:bottom w:val="nil"/>
              <w:right w:val="nil"/>
            </w:tcBorders>
            <w:shd w:val="clear" w:color="auto" w:fill="auto"/>
            <w:vAlign w:val="bottom"/>
            <w:hideMark/>
          </w:tcPr>
          <w:p w:rsidRPr="005E7EAC" w:rsidR="00357F64" w:rsidP="0039025B" w:rsidRDefault="00A830AA">
            <w:pPr>
              <w:jc w:val="right"/>
              <w:rPr>
                <w:rFonts w:ascii="Verdana" w:hAnsi="Verdana"/>
                <w:sz w:val="16"/>
                <w:szCs w:val="16"/>
              </w:rPr>
            </w:pPr>
            <w:r w:rsidRPr="005E7EAC">
              <w:rPr>
                <w:rFonts w:ascii="Verdana" w:hAnsi="Verdana"/>
                <w:sz w:val="16"/>
                <w:szCs w:val="16"/>
              </w:rPr>
              <w:t>181,8</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IXB</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Financiën</w:t>
            </w:r>
          </w:p>
        </w:tc>
        <w:tc>
          <w:tcPr>
            <w:tcW w:w="923" w:type="pct"/>
            <w:tcBorders>
              <w:top w:val="nil"/>
              <w:left w:val="nil"/>
              <w:bottom w:val="nil"/>
              <w:right w:val="nil"/>
            </w:tcBorders>
            <w:shd w:val="clear" w:color="auto" w:fill="auto"/>
            <w:vAlign w:val="bottom"/>
            <w:hideMark/>
          </w:tcPr>
          <w:p w:rsidRPr="005E7EAC" w:rsidR="00357F64" w:rsidP="0039025B" w:rsidRDefault="008D2BD1">
            <w:pPr>
              <w:jc w:val="right"/>
              <w:rPr>
                <w:rFonts w:ascii="Verdana" w:hAnsi="Verdana"/>
                <w:sz w:val="16"/>
                <w:szCs w:val="16"/>
              </w:rPr>
            </w:pPr>
            <w:r w:rsidRPr="005E7EAC">
              <w:rPr>
                <w:rFonts w:ascii="Verdana" w:hAnsi="Verdana"/>
                <w:sz w:val="16"/>
                <w:szCs w:val="16"/>
              </w:rPr>
              <w:t>61,5</w:t>
            </w:r>
          </w:p>
        </w:tc>
        <w:tc>
          <w:tcPr>
            <w:tcW w:w="1192" w:type="pct"/>
            <w:tcBorders>
              <w:top w:val="nil"/>
              <w:left w:val="nil"/>
              <w:bottom w:val="nil"/>
              <w:right w:val="nil"/>
            </w:tcBorders>
            <w:shd w:val="clear" w:color="auto" w:fill="auto"/>
            <w:vAlign w:val="bottom"/>
            <w:hideMark/>
          </w:tcPr>
          <w:p w:rsidRPr="005E7EAC" w:rsidR="00357F64" w:rsidP="0039025B" w:rsidRDefault="008D2BD1">
            <w:pPr>
              <w:jc w:val="right"/>
              <w:rPr>
                <w:rFonts w:ascii="Verdana" w:hAnsi="Verdana"/>
                <w:sz w:val="16"/>
                <w:szCs w:val="16"/>
              </w:rPr>
            </w:pPr>
            <w:r w:rsidRPr="005E7EAC">
              <w:rPr>
                <w:rFonts w:ascii="Verdana" w:hAnsi="Verdana"/>
                <w:sz w:val="16"/>
                <w:szCs w:val="16"/>
              </w:rPr>
              <w:t>-569,6</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X</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Defensie</w:t>
            </w:r>
          </w:p>
        </w:tc>
        <w:tc>
          <w:tcPr>
            <w:tcW w:w="923" w:type="pct"/>
            <w:tcBorders>
              <w:top w:val="nil"/>
              <w:left w:val="nil"/>
              <w:bottom w:val="nil"/>
              <w:right w:val="nil"/>
            </w:tcBorders>
            <w:shd w:val="clear" w:color="auto" w:fill="auto"/>
            <w:vAlign w:val="bottom"/>
            <w:hideMark/>
          </w:tcPr>
          <w:p w:rsidRPr="005E7EAC" w:rsidR="00357F64" w:rsidP="0039025B" w:rsidRDefault="00EE42F6">
            <w:pPr>
              <w:jc w:val="right"/>
              <w:rPr>
                <w:rFonts w:ascii="Verdana" w:hAnsi="Verdana"/>
                <w:sz w:val="16"/>
                <w:szCs w:val="16"/>
              </w:rPr>
            </w:pPr>
            <w:r w:rsidRPr="005E7EAC">
              <w:rPr>
                <w:rFonts w:ascii="Verdana" w:hAnsi="Verdana"/>
                <w:sz w:val="16"/>
                <w:szCs w:val="16"/>
              </w:rPr>
              <w:t>-19,8</w:t>
            </w:r>
          </w:p>
        </w:tc>
        <w:tc>
          <w:tcPr>
            <w:tcW w:w="1192" w:type="pct"/>
            <w:tcBorders>
              <w:top w:val="nil"/>
              <w:left w:val="nil"/>
              <w:bottom w:val="nil"/>
              <w:right w:val="nil"/>
            </w:tcBorders>
            <w:shd w:val="clear" w:color="auto" w:fill="auto"/>
            <w:vAlign w:val="bottom"/>
            <w:hideMark/>
          </w:tcPr>
          <w:p w:rsidRPr="005E7EAC" w:rsidR="00357F64" w:rsidP="0039025B" w:rsidRDefault="00EE42F6">
            <w:pPr>
              <w:jc w:val="right"/>
              <w:rPr>
                <w:rFonts w:ascii="Verdana" w:hAnsi="Verdana"/>
                <w:sz w:val="16"/>
                <w:szCs w:val="16"/>
              </w:rPr>
            </w:pPr>
            <w:r w:rsidRPr="005E7EAC">
              <w:rPr>
                <w:rFonts w:ascii="Verdana" w:hAnsi="Verdana"/>
                <w:sz w:val="16"/>
                <w:szCs w:val="16"/>
              </w:rPr>
              <w:t>35,8</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XII</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Infrastructuur en Milieu</w:t>
            </w:r>
          </w:p>
        </w:tc>
        <w:tc>
          <w:tcPr>
            <w:tcW w:w="923" w:type="pct"/>
            <w:tcBorders>
              <w:top w:val="nil"/>
              <w:left w:val="nil"/>
              <w:bottom w:val="nil"/>
              <w:right w:val="nil"/>
            </w:tcBorders>
            <w:shd w:val="clear" w:color="auto" w:fill="auto"/>
            <w:vAlign w:val="bottom"/>
            <w:hideMark/>
          </w:tcPr>
          <w:p w:rsidRPr="005E7EAC" w:rsidR="00357F64" w:rsidP="0039025B" w:rsidRDefault="007351FE">
            <w:pPr>
              <w:jc w:val="right"/>
              <w:rPr>
                <w:rFonts w:ascii="Verdana" w:hAnsi="Verdana"/>
                <w:sz w:val="16"/>
                <w:szCs w:val="16"/>
              </w:rPr>
            </w:pPr>
            <w:r w:rsidRPr="005E7EAC">
              <w:rPr>
                <w:rFonts w:ascii="Verdana" w:hAnsi="Verdana"/>
                <w:sz w:val="16"/>
                <w:szCs w:val="16"/>
              </w:rPr>
              <w:t>-289,0</w:t>
            </w:r>
          </w:p>
        </w:tc>
        <w:tc>
          <w:tcPr>
            <w:tcW w:w="1192" w:type="pct"/>
            <w:tcBorders>
              <w:top w:val="nil"/>
              <w:left w:val="nil"/>
              <w:bottom w:val="nil"/>
              <w:right w:val="nil"/>
            </w:tcBorders>
            <w:shd w:val="clear" w:color="auto" w:fill="auto"/>
            <w:vAlign w:val="bottom"/>
            <w:hideMark/>
          </w:tcPr>
          <w:p w:rsidRPr="005E7EAC" w:rsidR="00357F64" w:rsidP="0039025B" w:rsidRDefault="007351FE">
            <w:pPr>
              <w:jc w:val="right"/>
              <w:rPr>
                <w:rFonts w:ascii="Verdana" w:hAnsi="Verdana"/>
                <w:sz w:val="16"/>
                <w:szCs w:val="16"/>
              </w:rPr>
            </w:pPr>
            <w:r w:rsidRPr="005E7EAC">
              <w:rPr>
                <w:rFonts w:ascii="Verdana" w:hAnsi="Verdana"/>
                <w:sz w:val="16"/>
                <w:szCs w:val="16"/>
              </w:rPr>
              <w:t>24,6</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XIII</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Economische Zaken</w:t>
            </w:r>
          </w:p>
        </w:tc>
        <w:tc>
          <w:tcPr>
            <w:tcW w:w="923" w:type="pct"/>
            <w:tcBorders>
              <w:top w:val="nil"/>
              <w:left w:val="nil"/>
              <w:bottom w:val="nil"/>
              <w:right w:val="nil"/>
            </w:tcBorders>
            <w:shd w:val="clear" w:color="auto" w:fill="auto"/>
            <w:vAlign w:val="bottom"/>
            <w:hideMark/>
          </w:tcPr>
          <w:p w:rsidRPr="005E7EAC" w:rsidR="00357F64" w:rsidP="0039025B" w:rsidRDefault="00BC4AF8">
            <w:pPr>
              <w:jc w:val="right"/>
              <w:rPr>
                <w:rFonts w:ascii="Verdana" w:hAnsi="Verdana"/>
                <w:sz w:val="16"/>
                <w:szCs w:val="16"/>
              </w:rPr>
            </w:pPr>
            <w:r w:rsidRPr="005E7EAC">
              <w:rPr>
                <w:rFonts w:ascii="Verdana" w:hAnsi="Verdana"/>
                <w:sz w:val="16"/>
                <w:szCs w:val="16"/>
              </w:rPr>
              <w:t>306,4</w:t>
            </w:r>
          </w:p>
        </w:tc>
        <w:tc>
          <w:tcPr>
            <w:tcW w:w="1192" w:type="pct"/>
            <w:tcBorders>
              <w:top w:val="nil"/>
              <w:left w:val="nil"/>
              <w:bottom w:val="nil"/>
              <w:right w:val="nil"/>
            </w:tcBorders>
            <w:shd w:val="clear" w:color="auto" w:fill="auto"/>
            <w:vAlign w:val="bottom"/>
            <w:hideMark/>
          </w:tcPr>
          <w:p w:rsidRPr="005E7EAC" w:rsidR="00357F64" w:rsidP="0039025B" w:rsidRDefault="00BC4AF8">
            <w:pPr>
              <w:jc w:val="right"/>
              <w:rPr>
                <w:rFonts w:ascii="Verdana" w:hAnsi="Verdana"/>
                <w:sz w:val="16"/>
                <w:szCs w:val="16"/>
              </w:rPr>
            </w:pPr>
            <w:r w:rsidRPr="005E7EAC">
              <w:rPr>
                <w:rFonts w:ascii="Verdana" w:hAnsi="Verdana"/>
                <w:sz w:val="16"/>
                <w:szCs w:val="16"/>
              </w:rPr>
              <w:t>-1.187,4</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XV</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Sociale Zaken en Werkgelegenheid</w:t>
            </w:r>
          </w:p>
        </w:tc>
        <w:tc>
          <w:tcPr>
            <w:tcW w:w="923" w:type="pct"/>
            <w:tcBorders>
              <w:top w:val="nil"/>
              <w:left w:val="nil"/>
              <w:bottom w:val="nil"/>
              <w:right w:val="nil"/>
            </w:tcBorders>
            <w:shd w:val="clear" w:color="auto" w:fill="auto"/>
            <w:vAlign w:val="bottom"/>
            <w:hideMark/>
          </w:tcPr>
          <w:p w:rsidRPr="005E7EAC" w:rsidR="00357F64" w:rsidP="0039025B" w:rsidRDefault="003E459B">
            <w:pPr>
              <w:jc w:val="right"/>
              <w:rPr>
                <w:rFonts w:ascii="Verdana" w:hAnsi="Verdana"/>
                <w:sz w:val="16"/>
                <w:szCs w:val="16"/>
              </w:rPr>
            </w:pPr>
            <w:r w:rsidRPr="005E7EAC">
              <w:rPr>
                <w:rFonts w:ascii="Verdana" w:hAnsi="Verdana"/>
                <w:sz w:val="16"/>
                <w:szCs w:val="16"/>
              </w:rPr>
              <w:t>-956,1</w:t>
            </w:r>
          </w:p>
        </w:tc>
        <w:tc>
          <w:tcPr>
            <w:tcW w:w="1192" w:type="pct"/>
            <w:tcBorders>
              <w:top w:val="nil"/>
              <w:left w:val="nil"/>
              <w:bottom w:val="nil"/>
              <w:right w:val="nil"/>
            </w:tcBorders>
            <w:shd w:val="clear" w:color="auto" w:fill="auto"/>
            <w:vAlign w:val="bottom"/>
            <w:hideMark/>
          </w:tcPr>
          <w:p w:rsidRPr="005E7EAC" w:rsidR="00357F64" w:rsidP="0039025B" w:rsidRDefault="003E459B">
            <w:pPr>
              <w:jc w:val="right"/>
              <w:rPr>
                <w:rFonts w:ascii="Verdana" w:hAnsi="Verdana"/>
                <w:sz w:val="16"/>
                <w:szCs w:val="16"/>
              </w:rPr>
            </w:pPr>
            <w:r w:rsidRPr="005E7EAC">
              <w:rPr>
                <w:rFonts w:ascii="Verdana" w:hAnsi="Verdana"/>
                <w:sz w:val="16"/>
                <w:szCs w:val="16"/>
              </w:rPr>
              <w:t>133,1</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XVI</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Volksgezondheid, Welzijn en Sport</w:t>
            </w:r>
          </w:p>
        </w:tc>
        <w:tc>
          <w:tcPr>
            <w:tcW w:w="923" w:type="pct"/>
            <w:tcBorders>
              <w:top w:val="nil"/>
              <w:left w:val="nil"/>
              <w:bottom w:val="nil"/>
              <w:right w:val="nil"/>
            </w:tcBorders>
            <w:shd w:val="clear" w:color="auto" w:fill="auto"/>
            <w:vAlign w:val="bottom"/>
            <w:hideMark/>
          </w:tcPr>
          <w:p w:rsidRPr="005E7EAC" w:rsidR="00357F64" w:rsidP="0039025B" w:rsidRDefault="00063729">
            <w:pPr>
              <w:jc w:val="right"/>
              <w:rPr>
                <w:rFonts w:ascii="Verdana" w:hAnsi="Verdana"/>
                <w:sz w:val="16"/>
                <w:szCs w:val="16"/>
              </w:rPr>
            </w:pPr>
            <w:r w:rsidRPr="005E7EAC">
              <w:rPr>
                <w:rFonts w:ascii="Verdana" w:hAnsi="Verdana"/>
                <w:sz w:val="16"/>
                <w:szCs w:val="16"/>
              </w:rPr>
              <w:t>152,6</w:t>
            </w:r>
          </w:p>
        </w:tc>
        <w:tc>
          <w:tcPr>
            <w:tcW w:w="1192" w:type="pct"/>
            <w:tcBorders>
              <w:top w:val="nil"/>
              <w:left w:val="nil"/>
              <w:bottom w:val="nil"/>
              <w:right w:val="nil"/>
            </w:tcBorders>
            <w:shd w:val="clear" w:color="auto" w:fill="auto"/>
            <w:vAlign w:val="bottom"/>
            <w:hideMark/>
          </w:tcPr>
          <w:p w:rsidRPr="005E7EAC" w:rsidR="00357F64" w:rsidP="0039025B" w:rsidRDefault="00063729">
            <w:pPr>
              <w:jc w:val="right"/>
              <w:rPr>
                <w:rFonts w:ascii="Verdana" w:hAnsi="Verdana"/>
                <w:sz w:val="16"/>
                <w:szCs w:val="16"/>
              </w:rPr>
            </w:pPr>
            <w:r w:rsidRPr="005E7EAC">
              <w:rPr>
                <w:rFonts w:ascii="Verdana" w:hAnsi="Verdana"/>
                <w:sz w:val="16"/>
                <w:szCs w:val="16"/>
              </w:rPr>
              <w:t>30,2</w:t>
            </w:r>
          </w:p>
        </w:tc>
      </w:tr>
      <w:tr w:rsidRPr="005E7EAC" w:rsidR="00357F64" w:rsidTr="002936B1">
        <w:trPr>
          <w:trHeight w:val="180"/>
        </w:trPr>
        <w:tc>
          <w:tcPr>
            <w:tcW w:w="414" w:type="pct"/>
            <w:tcBorders>
              <w:top w:val="nil"/>
              <w:left w:val="nil"/>
              <w:bottom w:val="nil"/>
              <w:right w:val="nil"/>
            </w:tcBorders>
            <w:shd w:val="clear" w:color="auto" w:fill="auto"/>
            <w:hideMark/>
          </w:tcPr>
          <w:p w:rsidRPr="005E7EAC" w:rsidR="00357F64" w:rsidP="00DC7EAE" w:rsidRDefault="00357F64">
            <w:pPr>
              <w:rPr>
                <w:rFonts w:ascii="Verdana" w:hAnsi="Verdana"/>
                <w:sz w:val="16"/>
                <w:szCs w:val="16"/>
              </w:rPr>
            </w:pPr>
            <w:r w:rsidRPr="005E7EAC">
              <w:rPr>
                <w:rFonts w:ascii="Verdana" w:hAnsi="Verdana"/>
                <w:sz w:val="16"/>
                <w:szCs w:val="16"/>
              </w:rPr>
              <w:t>XVII</w:t>
            </w: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Buitenlandse Handel en Ontwikkelingssamenwerking</w:t>
            </w:r>
          </w:p>
        </w:tc>
        <w:tc>
          <w:tcPr>
            <w:tcW w:w="923" w:type="pct"/>
            <w:tcBorders>
              <w:top w:val="nil"/>
              <w:left w:val="nil"/>
              <w:bottom w:val="nil"/>
              <w:right w:val="nil"/>
            </w:tcBorders>
            <w:shd w:val="clear" w:color="auto" w:fill="auto"/>
            <w:hideMark/>
          </w:tcPr>
          <w:p w:rsidRPr="005E7EAC" w:rsidR="00357F64" w:rsidP="0039025B" w:rsidRDefault="00FF49CD">
            <w:pPr>
              <w:jc w:val="right"/>
              <w:rPr>
                <w:rFonts w:ascii="Verdana" w:hAnsi="Verdana"/>
                <w:sz w:val="16"/>
                <w:szCs w:val="16"/>
              </w:rPr>
            </w:pPr>
            <w:r w:rsidRPr="005E7EAC">
              <w:rPr>
                <w:rFonts w:ascii="Verdana" w:hAnsi="Verdana"/>
                <w:sz w:val="16"/>
                <w:szCs w:val="16"/>
              </w:rPr>
              <w:t>0,0</w:t>
            </w:r>
          </w:p>
        </w:tc>
        <w:tc>
          <w:tcPr>
            <w:tcW w:w="1192" w:type="pct"/>
            <w:tcBorders>
              <w:top w:val="nil"/>
              <w:left w:val="nil"/>
              <w:bottom w:val="nil"/>
              <w:right w:val="nil"/>
            </w:tcBorders>
            <w:shd w:val="clear" w:color="auto" w:fill="auto"/>
            <w:hideMark/>
          </w:tcPr>
          <w:p w:rsidRPr="005E7EAC" w:rsidR="00357F64" w:rsidP="0039025B" w:rsidRDefault="00FF49CD">
            <w:pPr>
              <w:jc w:val="right"/>
              <w:rPr>
                <w:rFonts w:ascii="Verdana" w:hAnsi="Verdana"/>
                <w:sz w:val="16"/>
                <w:szCs w:val="16"/>
              </w:rPr>
            </w:pPr>
            <w:r w:rsidRPr="005E7EAC">
              <w:rPr>
                <w:rFonts w:ascii="Verdana" w:hAnsi="Verdana"/>
                <w:sz w:val="16"/>
                <w:szCs w:val="16"/>
              </w:rPr>
              <w:t>0,0</w:t>
            </w:r>
          </w:p>
        </w:tc>
      </w:tr>
      <w:tr w:rsidRPr="005E7EAC" w:rsidR="00357F64" w:rsidTr="002936B1">
        <w:trPr>
          <w:trHeight w:val="195"/>
        </w:trPr>
        <w:tc>
          <w:tcPr>
            <w:tcW w:w="414" w:type="pct"/>
            <w:tcBorders>
              <w:top w:val="nil"/>
              <w:left w:val="nil"/>
              <w:bottom w:val="single" w:color="auto" w:sz="8" w:space="0"/>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XVIII</w:t>
            </w:r>
          </w:p>
        </w:tc>
        <w:tc>
          <w:tcPr>
            <w:tcW w:w="2471" w:type="pct"/>
            <w:tcBorders>
              <w:top w:val="nil"/>
              <w:left w:val="nil"/>
              <w:bottom w:val="single" w:color="auto" w:sz="8" w:space="0"/>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Wonen en Rijksdienst</w:t>
            </w:r>
          </w:p>
        </w:tc>
        <w:tc>
          <w:tcPr>
            <w:tcW w:w="923" w:type="pct"/>
            <w:tcBorders>
              <w:top w:val="nil"/>
              <w:left w:val="nil"/>
              <w:bottom w:val="single" w:color="auto" w:sz="8" w:space="0"/>
              <w:right w:val="nil"/>
            </w:tcBorders>
            <w:shd w:val="clear" w:color="auto" w:fill="auto"/>
            <w:vAlign w:val="bottom"/>
            <w:hideMark/>
          </w:tcPr>
          <w:p w:rsidRPr="005E7EAC" w:rsidR="00357F64" w:rsidP="0039025B" w:rsidRDefault="003B0A8C">
            <w:pPr>
              <w:jc w:val="right"/>
              <w:rPr>
                <w:rFonts w:ascii="Verdana" w:hAnsi="Verdana"/>
                <w:sz w:val="16"/>
                <w:szCs w:val="16"/>
              </w:rPr>
            </w:pPr>
            <w:r w:rsidRPr="005E7EAC">
              <w:rPr>
                <w:rFonts w:ascii="Verdana" w:hAnsi="Verdana"/>
                <w:sz w:val="16"/>
                <w:szCs w:val="16"/>
              </w:rPr>
              <w:t>282,5</w:t>
            </w:r>
          </w:p>
        </w:tc>
        <w:tc>
          <w:tcPr>
            <w:tcW w:w="1192" w:type="pct"/>
            <w:tcBorders>
              <w:top w:val="nil"/>
              <w:left w:val="nil"/>
              <w:bottom w:val="single" w:color="auto" w:sz="8" w:space="0"/>
              <w:right w:val="nil"/>
            </w:tcBorders>
            <w:shd w:val="clear" w:color="auto" w:fill="auto"/>
            <w:vAlign w:val="bottom"/>
            <w:hideMark/>
          </w:tcPr>
          <w:p w:rsidRPr="005E7EAC" w:rsidR="00357F64" w:rsidP="0039025B" w:rsidRDefault="003B0A8C">
            <w:pPr>
              <w:jc w:val="right"/>
              <w:rPr>
                <w:rFonts w:ascii="Verdana" w:hAnsi="Verdana"/>
                <w:sz w:val="16"/>
                <w:szCs w:val="16"/>
              </w:rPr>
            </w:pPr>
            <w:r w:rsidRPr="005E7EAC">
              <w:rPr>
                <w:rFonts w:ascii="Verdana" w:hAnsi="Verdana"/>
                <w:sz w:val="16"/>
                <w:szCs w:val="16"/>
              </w:rPr>
              <w:t>-19,1</w:t>
            </w:r>
          </w:p>
        </w:tc>
      </w:tr>
      <w:tr w:rsidRPr="005E7EAC" w:rsidR="00357F64" w:rsidTr="00DC7EAE">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5E7EAC" w:rsidR="00357F64" w:rsidP="0039025B" w:rsidRDefault="00357F64">
            <w:pPr>
              <w:jc w:val="right"/>
              <w:rPr>
                <w:rFonts w:ascii="Verdana" w:hAnsi="Verdana"/>
                <w:i/>
                <w:iCs/>
                <w:sz w:val="16"/>
                <w:szCs w:val="16"/>
              </w:rPr>
            </w:pP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Sociale Zekerheid</w:t>
            </w:r>
          </w:p>
        </w:tc>
        <w:tc>
          <w:tcPr>
            <w:tcW w:w="923" w:type="pct"/>
            <w:tcBorders>
              <w:top w:val="nil"/>
              <w:left w:val="nil"/>
              <w:bottom w:val="nil"/>
              <w:right w:val="nil"/>
            </w:tcBorders>
            <w:shd w:val="clear" w:color="auto" w:fill="auto"/>
            <w:vAlign w:val="bottom"/>
            <w:hideMark/>
          </w:tcPr>
          <w:p w:rsidRPr="005E7EAC" w:rsidR="00357F64" w:rsidP="0039025B" w:rsidRDefault="003E459B">
            <w:pPr>
              <w:jc w:val="right"/>
              <w:rPr>
                <w:rFonts w:ascii="Verdana" w:hAnsi="Verdana"/>
                <w:sz w:val="16"/>
                <w:szCs w:val="16"/>
              </w:rPr>
            </w:pPr>
            <w:r w:rsidRPr="005E7EAC">
              <w:rPr>
                <w:rFonts w:ascii="Verdana" w:hAnsi="Verdana"/>
                <w:sz w:val="16"/>
                <w:szCs w:val="16"/>
              </w:rPr>
              <w:t>-558,6</w:t>
            </w:r>
          </w:p>
        </w:tc>
        <w:tc>
          <w:tcPr>
            <w:tcW w:w="1192" w:type="pct"/>
            <w:tcBorders>
              <w:top w:val="nil"/>
              <w:left w:val="nil"/>
              <w:bottom w:val="nil"/>
              <w:right w:val="nil"/>
            </w:tcBorders>
            <w:shd w:val="clear" w:color="auto" w:fill="auto"/>
            <w:vAlign w:val="bottom"/>
            <w:hideMark/>
          </w:tcPr>
          <w:p w:rsidRPr="005E7EAC" w:rsidR="00357F64" w:rsidP="0039025B" w:rsidRDefault="003E459B">
            <w:pPr>
              <w:jc w:val="right"/>
              <w:rPr>
                <w:rFonts w:ascii="Verdana" w:hAnsi="Verdana"/>
                <w:sz w:val="16"/>
                <w:szCs w:val="16"/>
              </w:rPr>
            </w:pPr>
            <w:r w:rsidRPr="005E7EAC">
              <w:rPr>
                <w:rFonts w:ascii="Verdana" w:hAnsi="Verdana"/>
                <w:sz w:val="16"/>
                <w:szCs w:val="16"/>
              </w:rPr>
              <w:t>130,5</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Budgettair kader Zorg</w:t>
            </w:r>
          </w:p>
        </w:tc>
        <w:tc>
          <w:tcPr>
            <w:tcW w:w="923" w:type="pct"/>
            <w:tcBorders>
              <w:top w:val="nil"/>
              <w:left w:val="nil"/>
              <w:bottom w:val="nil"/>
              <w:right w:val="nil"/>
            </w:tcBorders>
            <w:shd w:val="clear" w:color="auto" w:fill="auto"/>
            <w:vAlign w:val="bottom"/>
            <w:hideMark/>
          </w:tcPr>
          <w:p w:rsidRPr="005E7EAC" w:rsidR="00357F64" w:rsidP="007E5A56" w:rsidRDefault="004F1AA4">
            <w:pPr>
              <w:jc w:val="right"/>
              <w:rPr>
                <w:rFonts w:ascii="Verdana" w:hAnsi="Verdana"/>
                <w:sz w:val="16"/>
                <w:szCs w:val="16"/>
              </w:rPr>
            </w:pPr>
            <w:r w:rsidRPr="005E7EAC">
              <w:rPr>
                <w:rFonts w:ascii="Verdana" w:hAnsi="Verdana"/>
                <w:sz w:val="16"/>
                <w:szCs w:val="16"/>
              </w:rPr>
              <w:t>-7</w:t>
            </w:r>
            <w:r w:rsidRPr="005E7EAC" w:rsidR="007E5A56">
              <w:rPr>
                <w:rFonts w:ascii="Verdana" w:hAnsi="Verdana"/>
                <w:sz w:val="16"/>
                <w:szCs w:val="16"/>
              </w:rPr>
              <w:t>54,9</w:t>
            </w:r>
          </w:p>
        </w:tc>
        <w:tc>
          <w:tcPr>
            <w:tcW w:w="1192" w:type="pct"/>
            <w:tcBorders>
              <w:top w:val="nil"/>
              <w:left w:val="nil"/>
              <w:bottom w:val="nil"/>
              <w:right w:val="nil"/>
            </w:tcBorders>
            <w:shd w:val="clear" w:color="auto" w:fill="auto"/>
            <w:vAlign w:val="bottom"/>
            <w:hideMark/>
          </w:tcPr>
          <w:p w:rsidRPr="005E7EAC" w:rsidR="00357F64" w:rsidP="0039025B" w:rsidRDefault="004F1AA4">
            <w:pPr>
              <w:jc w:val="right"/>
              <w:rPr>
                <w:rFonts w:ascii="Verdana" w:hAnsi="Verdana"/>
                <w:sz w:val="16"/>
                <w:szCs w:val="16"/>
              </w:rPr>
            </w:pPr>
            <w:r w:rsidRPr="005E7EAC">
              <w:rPr>
                <w:rFonts w:ascii="Verdana" w:hAnsi="Verdana"/>
                <w:sz w:val="16"/>
                <w:szCs w:val="16"/>
              </w:rPr>
              <w:t>154,0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Gemeentefonds</w:t>
            </w:r>
          </w:p>
        </w:tc>
        <w:tc>
          <w:tcPr>
            <w:tcW w:w="923" w:type="pct"/>
            <w:tcBorders>
              <w:top w:val="nil"/>
              <w:left w:val="nil"/>
              <w:bottom w:val="nil"/>
              <w:right w:val="nil"/>
            </w:tcBorders>
            <w:shd w:val="clear" w:color="auto" w:fill="auto"/>
            <w:vAlign w:val="bottom"/>
            <w:hideMark/>
          </w:tcPr>
          <w:p w:rsidRPr="005E7EAC" w:rsidR="00357F64" w:rsidP="00E13E34" w:rsidRDefault="00E13E34">
            <w:pPr>
              <w:jc w:val="right"/>
              <w:rPr>
                <w:rFonts w:ascii="Verdana" w:hAnsi="Verdana"/>
                <w:sz w:val="16"/>
                <w:szCs w:val="16"/>
              </w:rPr>
            </w:pPr>
            <w:r w:rsidRPr="005E7EAC">
              <w:rPr>
                <w:rFonts w:ascii="Verdana" w:hAnsi="Verdana"/>
                <w:sz w:val="16"/>
                <w:szCs w:val="16"/>
              </w:rPr>
              <w:t>-337</w:t>
            </w:r>
            <w:r w:rsidRPr="005E7EAC" w:rsidR="007D7942">
              <w:rPr>
                <w:rFonts w:ascii="Verdana" w:hAnsi="Verdana"/>
                <w:sz w:val="16"/>
                <w:szCs w:val="16"/>
              </w:rPr>
              <w:t>,</w:t>
            </w:r>
            <w:r w:rsidRPr="005E7EAC">
              <w:rPr>
                <w:rFonts w:ascii="Verdana" w:hAnsi="Verdana"/>
                <w:sz w:val="16"/>
                <w:szCs w:val="16"/>
              </w:rPr>
              <w:t>9</w:t>
            </w:r>
          </w:p>
        </w:tc>
        <w:tc>
          <w:tcPr>
            <w:tcW w:w="1192" w:type="pct"/>
            <w:tcBorders>
              <w:top w:val="nil"/>
              <w:left w:val="nil"/>
              <w:bottom w:val="nil"/>
              <w:right w:val="nil"/>
            </w:tcBorders>
            <w:shd w:val="clear" w:color="auto" w:fill="auto"/>
            <w:vAlign w:val="bottom"/>
            <w:hideMark/>
          </w:tcPr>
          <w:p w:rsidRPr="005E7EAC" w:rsidR="00357F64" w:rsidP="0039025B" w:rsidRDefault="007D7942">
            <w:pPr>
              <w:jc w:val="right"/>
              <w:rPr>
                <w:rFonts w:ascii="Verdana" w:hAnsi="Verdana"/>
                <w:sz w:val="16"/>
                <w:szCs w:val="16"/>
              </w:rPr>
            </w:pPr>
            <w:r w:rsidRPr="005E7EAC">
              <w:rPr>
                <w:rFonts w:ascii="Verdana" w:hAnsi="Verdana"/>
                <w:sz w:val="16"/>
                <w:szCs w:val="16"/>
              </w:rPr>
              <w:t>0,0</w:t>
            </w:r>
          </w:p>
        </w:tc>
      </w:tr>
      <w:tr w:rsidRPr="005E7EAC" w:rsidR="00357F64" w:rsidTr="002936B1">
        <w:trPr>
          <w:trHeight w:val="95"/>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Provinciefonds</w:t>
            </w:r>
          </w:p>
        </w:tc>
        <w:tc>
          <w:tcPr>
            <w:tcW w:w="923" w:type="pct"/>
            <w:tcBorders>
              <w:top w:val="nil"/>
              <w:left w:val="nil"/>
              <w:bottom w:val="nil"/>
              <w:right w:val="nil"/>
            </w:tcBorders>
            <w:shd w:val="clear" w:color="auto" w:fill="auto"/>
            <w:vAlign w:val="bottom"/>
            <w:hideMark/>
          </w:tcPr>
          <w:p w:rsidRPr="005E7EAC" w:rsidR="00357F64" w:rsidP="0039025B" w:rsidRDefault="004D1E81">
            <w:pPr>
              <w:jc w:val="right"/>
              <w:rPr>
                <w:rFonts w:ascii="Verdana" w:hAnsi="Verdana"/>
                <w:sz w:val="16"/>
                <w:szCs w:val="16"/>
              </w:rPr>
            </w:pPr>
            <w:r w:rsidRPr="005E7EAC">
              <w:rPr>
                <w:rFonts w:ascii="Verdana" w:hAnsi="Verdana"/>
                <w:sz w:val="16"/>
                <w:szCs w:val="16"/>
              </w:rPr>
              <w:t>50,9</w:t>
            </w:r>
          </w:p>
        </w:tc>
        <w:tc>
          <w:tcPr>
            <w:tcW w:w="1192" w:type="pct"/>
            <w:tcBorders>
              <w:top w:val="nil"/>
              <w:left w:val="nil"/>
              <w:bottom w:val="nil"/>
              <w:right w:val="nil"/>
            </w:tcBorders>
            <w:shd w:val="clear" w:color="auto" w:fill="auto"/>
            <w:vAlign w:val="bottom"/>
            <w:hideMark/>
          </w:tcPr>
          <w:p w:rsidRPr="005E7EAC" w:rsidR="00357F64" w:rsidP="0039025B" w:rsidRDefault="004D1E81">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Infrastructuurfonds</w:t>
            </w:r>
          </w:p>
        </w:tc>
        <w:tc>
          <w:tcPr>
            <w:tcW w:w="923" w:type="pct"/>
            <w:tcBorders>
              <w:top w:val="nil"/>
              <w:left w:val="nil"/>
              <w:bottom w:val="nil"/>
              <w:right w:val="nil"/>
            </w:tcBorders>
            <w:shd w:val="clear" w:color="auto" w:fill="auto"/>
            <w:vAlign w:val="bottom"/>
            <w:hideMark/>
          </w:tcPr>
          <w:p w:rsidRPr="005E7EAC" w:rsidR="00357F64" w:rsidP="0039025B" w:rsidRDefault="00CB64D0">
            <w:pPr>
              <w:jc w:val="right"/>
              <w:rPr>
                <w:rFonts w:ascii="Verdana" w:hAnsi="Verdana"/>
                <w:sz w:val="16"/>
                <w:szCs w:val="16"/>
              </w:rPr>
            </w:pPr>
            <w:r w:rsidRPr="005E7EAC">
              <w:rPr>
                <w:rFonts w:ascii="Verdana" w:hAnsi="Verdana"/>
                <w:sz w:val="16"/>
                <w:szCs w:val="16"/>
              </w:rPr>
              <w:t>52,4</w:t>
            </w:r>
          </w:p>
        </w:tc>
        <w:tc>
          <w:tcPr>
            <w:tcW w:w="1192" w:type="pct"/>
            <w:tcBorders>
              <w:top w:val="nil"/>
              <w:left w:val="nil"/>
              <w:bottom w:val="nil"/>
              <w:right w:val="nil"/>
            </w:tcBorders>
            <w:shd w:val="clear" w:color="auto" w:fill="auto"/>
            <w:vAlign w:val="bottom"/>
            <w:hideMark/>
          </w:tcPr>
          <w:p w:rsidRPr="005E7EAC" w:rsidR="00357F64" w:rsidP="0039025B" w:rsidRDefault="00CB64D0">
            <w:pPr>
              <w:jc w:val="right"/>
              <w:rPr>
                <w:rFonts w:ascii="Verdana" w:hAnsi="Verdana"/>
                <w:sz w:val="16"/>
                <w:szCs w:val="16"/>
              </w:rPr>
            </w:pPr>
            <w:r w:rsidRPr="005E7EAC">
              <w:rPr>
                <w:rFonts w:ascii="Verdana" w:hAnsi="Verdana"/>
                <w:sz w:val="16"/>
                <w:szCs w:val="16"/>
              </w:rPr>
              <w:t>52,4</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Diergezondheidsfonds</w:t>
            </w:r>
          </w:p>
        </w:tc>
        <w:tc>
          <w:tcPr>
            <w:tcW w:w="923" w:type="pct"/>
            <w:tcBorders>
              <w:top w:val="nil"/>
              <w:left w:val="nil"/>
              <w:bottom w:val="nil"/>
              <w:right w:val="nil"/>
            </w:tcBorders>
            <w:shd w:val="clear" w:color="auto" w:fill="auto"/>
            <w:vAlign w:val="bottom"/>
            <w:hideMark/>
          </w:tcPr>
          <w:p w:rsidRPr="005E7EAC" w:rsidR="00357F64" w:rsidP="0039025B" w:rsidRDefault="008A3D16">
            <w:pPr>
              <w:jc w:val="right"/>
              <w:rPr>
                <w:rFonts w:ascii="Verdana" w:hAnsi="Verdana"/>
                <w:sz w:val="16"/>
                <w:szCs w:val="16"/>
              </w:rPr>
            </w:pPr>
            <w:r w:rsidRPr="005E7EAC">
              <w:rPr>
                <w:rFonts w:ascii="Verdana" w:hAnsi="Verdana"/>
                <w:sz w:val="16"/>
                <w:szCs w:val="16"/>
              </w:rPr>
              <w:t>21,0</w:t>
            </w:r>
          </w:p>
        </w:tc>
        <w:tc>
          <w:tcPr>
            <w:tcW w:w="1192" w:type="pct"/>
            <w:tcBorders>
              <w:top w:val="nil"/>
              <w:left w:val="nil"/>
              <w:bottom w:val="nil"/>
              <w:right w:val="nil"/>
            </w:tcBorders>
            <w:shd w:val="clear" w:color="auto" w:fill="auto"/>
            <w:vAlign w:val="bottom"/>
            <w:hideMark/>
          </w:tcPr>
          <w:p w:rsidRPr="005E7EAC" w:rsidR="00357F64" w:rsidP="0039025B" w:rsidRDefault="008A3D16">
            <w:pPr>
              <w:jc w:val="right"/>
              <w:rPr>
                <w:rFonts w:ascii="Verdana" w:hAnsi="Verdana"/>
                <w:sz w:val="16"/>
                <w:szCs w:val="16"/>
              </w:rPr>
            </w:pPr>
            <w:r w:rsidRPr="005E7EAC">
              <w:rPr>
                <w:rFonts w:ascii="Verdana" w:hAnsi="Verdana"/>
                <w:sz w:val="16"/>
                <w:szCs w:val="16"/>
              </w:rPr>
              <w:t>21,0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Accres Gemeentefonds</w:t>
            </w:r>
          </w:p>
        </w:tc>
        <w:tc>
          <w:tcPr>
            <w:tcW w:w="923" w:type="pct"/>
            <w:tcBorders>
              <w:top w:val="nil"/>
              <w:left w:val="nil"/>
              <w:bottom w:val="nil"/>
              <w:right w:val="nil"/>
            </w:tcBorders>
            <w:shd w:val="clear" w:color="auto" w:fill="auto"/>
            <w:vAlign w:val="bottom"/>
            <w:hideMark/>
          </w:tcPr>
          <w:p w:rsidRPr="005E7EAC" w:rsidR="00357F64" w:rsidP="007008B6" w:rsidRDefault="00B32D48">
            <w:pPr>
              <w:jc w:val="right"/>
              <w:rPr>
                <w:rFonts w:ascii="Verdana" w:hAnsi="Verdana"/>
                <w:sz w:val="16"/>
                <w:szCs w:val="16"/>
              </w:rPr>
            </w:pPr>
            <w:r w:rsidRPr="005E7EAC">
              <w:rPr>
                <w:rFonts w:ascii="Verdana" w:hAnsi="Verdana"/>
                <w:sz w:val="16"/>
                <w:szCs w:val="16"/>
              </w:rPr>
              <w:t>-141,5</w:t>
            </w:r>
          </w:p>
        </w:tc>
        <w:tc>
          <w:tcPr>
            <w:tcW w:w="1192" w:type="pct"/>
            <w:tcBorders>
              <w:top w:val="nil"/>
              <w:left w:val="nil"/>
              <w:bottom w:val="nil"/>
              <w:right w:val="nil"/>
            </w:tcBorders>
            <w:shd w:val="clear" w:color="auto" w:fill="auto"/>
            <w:vAlign w:val="bottom"/>
            <w:hideMark/>
          </w:tcPr>
          <w:p w:rsidRPr="005E7EAC" w:rsidR="00357F64" w:rsidP="0039025B" w:rsidRDefault="008A3D16">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Accres Provinciefonds</w:t>
            </w:r>
          </w:p>
        </w:tc>
        <w:tc>
          <w:tcPr>
            <w:tcW w:w="923" w:type="pct"/>
            <w:tcBorders>
              <w:top w:val="nil"/>
              <w:left w:val="nil"/>
              <w:bottom w:val="nil"/>
              <w:right w:val="nil"/>
            </w:tcBorders>
            <w:shd w:val="clear" w:color="auto" w:fill="auto"/>
            <w:vAlign w:val="bottom"/>
            <w:hideMark/>
          </w:tcPr>
          <w:p w:rsidRPr="005E7EAC" w:rsidR="00357F64" w:rsidP="0039025B" w:rsidRDefault="00B32D48">
            <w:pPr>
              <w:jc w:val="right"/>
              <w:rPr>
                <w:rFonts w:ascii="Verdana" w:hAnsi="Verdana"/>
                <w:sz w:val="16"/>
                <w:szCs w:val="16"/>
              </w:rPr>
            </w:pPr>
            <w:r w:rsidRPr="005E7EAC">
              <w:rPr>
                <w:rFonts w:ascii="Verdana" w:hAnsi="Verdana"/>
                <w:sz w:val="16"/>
                <w:szCs w:val="16"/>
              </w:rPr>
              <w:t>-10,6</w:t>
            </w:r>
          </w:p>
        </w:tc>
        <w:tc>
          <w:tcPr>
            <w:tcW w:w="1192" w:type="pct"/>
            <w:tcBorders>
              <w:top w:val="nil"/>
              <w:left w:val="nil"/>
              <w:bottom w:val="nil"/>
              <w:right w:val="nil"/>
            </w:tcBorders>
            <w:shd w:val="clear" w:color="auto" w:fill="auto"/>
            <w:vAlign w:val="bottom"/>
            <w:hideMark/>
          </w:tcPr>
          <w:p w:rsidRPr="005E7EAC" w:rsidR="00357F64" w:rsidP="0039025B" w:rsidRDefault="008A3D16">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BES fonds</w:t>
            </w:r>
          </w:p>
        </w:tc>
        <w:tc>
          <w:tcPr>
            <w:tcW w:w="923" w:type="pct"/>
            <w:tcBorders>
              <w:top w:val="nil"/>
              <w:left w:val="nil"/>
              <w:bottom w:val="nil"/>
              <w:right w:val="nil"/>
            </w:tcBorders>
            <w:shd w:val="clear" w:color="auto" w:fill="auto"/>
            <w:vAlign w:val="bottom"/>
            <w:hideMark/>
          </w:tcPr>
          <w:p w:rsidRPr="005E7EAC" w:rsidR="00357F64" w:rsidP="0039025B" w:rsidRDefault="0006359E">
            <w:pPr>
              <w:jc w:val="right"/>
              <w:rPr>
                <w:rFonts w:ascii="Verdana" w:hAnsi="Verdana"/>
                <w:sz w:val="16"/>
                <w:szCs w:val="16"/>
              </w:rPr>
            </w:pPr>
            <w:r w:rsidRPr="005E7EAC">
              <w:rPr>
                <w:rFonts w:ascii="Verdana" w:hAnsi="Verdana"/>
                <w:sz w:val="16"/>
                <w:szCs w:val="16"/>
              </w:rPr>
              <w:t>1,7</w:t>
            </w:r>
          </w:p>
        </w:tc>
        <w:tc>
          <w:tcPr>
            <w:tcW w:w="1192" w:type="pct"/>
            <w:tcBorders>
              <w:top w:val="nil"/>
              <w:left w:val="nil"/>
              <w:bottom w:val="nil"/>
              <w:right w:val="nil"/>
            </w:tcBorders>
            <w:shd w:val="clear" w:color="auto" w:fill="auto"/>
            <w:vAlign w:val="bottom"/>
            <w:hideMark/>
          </w:tcPr>
          <w:p w:rsidRPr="005E7EAC" w:rsidR="00357F64" w:rsidP="0039025B" w:rsidRDefault="0006359E">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Deltafonds</w:t>
            </w:r>
          </w:p>
        </w:tc>
        <w:tc>
          <w:tcPr>
            <w:tcW w:w="923" w:type="pct"/>
            <w:tcBorders>
              <w:top w:val="nil"/>
              <w:left w:val="nil"/>
              <w:bottom w:val="nil"/>
              <w:right w:val="nil"/>
            </w:tcBorders>
            <w:shd w:val="clear" w:color="auto" w:fill="auto"/>
            <w:vAlign w:val="bottom"/>
            <w:hideMark/>
          </w:tcPr>
          <w:p w:rsidRPr="005E7EAC" w:rsidR="00357F64" w:rsidP="0039025B" w:rsidRDefault="000E3357">
            <w:pPr>
              <w:jc w:val="right"/>
              <w:rPr>
                <w:rFonts w:ascii="Verdana" w:hAnsi="Verdana"/>
                <w:sz w:val="16"/>
                <w:szCs w:val="16"/>
              </w:rPr>
            </w:pPr>
            <w:r w:rsidRPr="005E7EAC">
              <w:rPr>
                <w:rFonts w:ascii="Verdana" w:hAnsi="Verdana"/>
                <w:sz w:val="16"/>
                <w:szCs w:val="16"/>
              </w:rPr>
              <w:t>-127,8</w:t>
            </w:r>
          </w:p>
        </w:tc>
        <w:tc>
          <w:tcPr>
            <w:tcW w:w="1192" w:type="pct"/>
            <w:tcBorders>
              <w:top w:val="nil"/>
              <w:left w:val="nil"/>
              <w:bottom w:val="nil"/>
              <w:right w:val="nil"/>
            </w:tcBorders>
            <w:shd w:val="clear" w:color="auto" w:fill="auto"/>
            <w:vAlign w:val="bottom"/>
            <w:hideMark/>
          </w:tcPr>
          <w:p w:rsidRPr="005E7EAC" w:rsidR="00357F64" w:rsidP="0039025B" w:rsidRDefault="000E3357">
            <w:pPr>
              <w:jc w:val="right"/>
              <w:rPr>
                <w:rFonts w:ascii="Verdana" w:hAnsi="Verdana"/>
                <w:sz w:val="16"/>
                <w:szCs w:val="16"/>
              </w:rPr>
            </w:pPr>
            <w:r w:rsidRPr="005E7EAC">
              <w:rPr>
                <w:rFonts w:ascii="Verdana" w:hAnsi="Verdana"/>
                <w:sz w:val="16"/>
                <w:szCs w:val="16"/>
              </w:rPr>
              <w:t>-127,8</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Prijsbijstelling</w:t>
            </w:r>
          </w:p>
        </w:tc>
        <w:tc>
          <w:tcPr>
            <w:tcW w:w="923" w:type="pct"/>
            <w:tcBorders>
              <w:top w:val="nil"/>
              <w:left w:val="nil"/>
              <w:bottom w:val="nil"/>
              <w:right w:val="nil"/>
            </w:tcBorders>
            <w:shd w:val="clear" w:color="auto" w:fill="auto"/>
            <w:vAlign w:val="bottom"/>
            <w:hideMark/>
          </w:tcPr>
          <w:p w:rsidRPr="005E7EAC" w:rsidR="00357F64" w:rsidP="0039025B" w:rsidRDefault="000A3D01">
            <w:pPr>
              <w:jc w:val="right"/>
              <w:rPr>
                <w:rFonts w:ascii="Verdana" w:hAnsi="Verdana"/>
                <w:sz w:val="16"/>
                <w:szCs w:val="16"/>
              </w:rPr>
            </w:pPr>
            <w:r w:rsidRPr="005E7EAC">
              <w:rPr>
                <w:rFonts w:ascii="Verdana" w:hAnsi="Verdana"/>
                <w:sz w:val="16"/>
                <w:szCs w:val="16"/>
              </w:rPr>
              <w:t>-520,1</w:t>
            </w:r>
          </w:p>
        </w:tc>
        <w:tc>
          <w:tcPr>
            <w:tcW w:w="1192" w:type="pct"/>
            <w:tcBorders>
              <w:top w:val="nil"/>
              <w:left w:val="nil"/>
              <w:bottom w:val="nil"/>
              <w:right w:val="nil"/>
            </w:tcBorders>
            <w:shd w:val="clear" w:color="auto" w:fill="auto"/>
            <w:vAlign w:val="bottom"/>
            <w:hideMark/>
          </w:tcPr>
          <w:p w:rsidRPr="005E7EAC" w:rsidR="00357F64" w:rsidP="0039025B" w:rsidRDefault="000A3D01">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Arbeidsvoorwaarden</w:t>
            </w:r>
          </w:p>
        </w:tc>
        <w:tc>
          <w:tcPr>
            <w:tcW w:w="923" w:type="pct"/>
            <w:tcBorders>
              <w:top w:val="nil"/>
              <w:left w:val="nil"/>
              <w:bottom w:val="nil"/>
              <w:right w:val="nil"/>
            </w:tcBorders>
            <w:shd w:val="clear" w:color="auto" w:fill="auto"/>
            <w:vAlign w:val="bottom"/>
            <w:hideMark/>
          </w:tcPr>
          <w:p w:rsidRPr="005E7EAC" w:rsidR="00357F64" w:rsidP="0039025B" w:rsidRDefault="00424CAB">
            <w:pPr>
              <w:jc w:val="right"/>
              <w:rPr>
                <w:rFonts w:ascii="Verdana" w:hAnsi="Verdana"/>
                <w:sz w:val="16"/>
                <w:szCs w:val="16"/>
              </w:rPr>
            </w:pPr>
            <w:r w:rsidRPr="005E7EAC">
              <w:rPr>
                <w:rFonts w:ascii="Verdana" w:hAnsi="Verdana"/>
                <w:sz w:val="16"/>
                <w:szCs w:val="16"/>
              </w:rPr>
              <w:t>-590,2</w:t>
            </w:r>
          </w:p>
        </w:tc>
        <w:tc>
          <w:tcPr>
            <w:tcW w:w="1192" w:type="pct"/>
            <w:tcBorders>
              <w:top w:val="nil"/>
              <w:left w:val="nil"/>
              <w:bottom w:val="nil"/>
              <w:right w:val="nil"/>
            </w:tcBorders>
            <w:shd w:val="clear" w:color="auto" w:fill="auto"/>
            <w:vAlign w:val="bottom"/>
            <w:hideMark/>
          </w:tcPr>
          <w:p w:rsidRPr="005E7EAC" w:rsidR="00357F64" w:rsidP="0039025B" w:rsidRDefault="00424CAB">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Koppeling Uitkeringen</w:t>
            </w:r>
          </w:p>
        </w:tc>
        <w:tc>
          <w:tcPr>
            <w:tcW w:w="923" w:type="pct"/>
            <w:tcBorders>
              <w:top w:val="nil"/>
              <w:left w:val="nil"/>
              <w:bottom w:val="nil"/>
              <w:right w:val="nil"/>
            </w:tcBorders>
            <w:shd w:val="clear" w:color="auto" w:fill="auto"/>
            <w:vAlign w:val="bottom"/>
            <w:hideMark/>
          </w:tcPr>
          <w:p w:rsidRPr="005E7EAC" w:rsidR="00357F64" w:rsidP="0039025B" w:rsidRDefault="003E459B">
            <w:pPr>
              <w:jc w:val="right"/>
              <w:rPr>
                <w:rFonts w:ascii="Verdana" w:hAnsi="Verdana"/>
                <w:sz w:val="16"/>
                <w:szCs w:val="16"/>
              </w:rPr>
            </w:pPr>
            <w:r w:rsidRPr="005E7EAC">
              <w:rPr>
                <w:rFonts w:ascii="Verdana" w:hAnsi="Verdana"/>
                <w:sz w:val="16"/>
                <w:szCs w:val="16"/>
              </w:rPr>
              <w:t>-28,5</w:t>
            </w:r>
          </w:p>
        </w:tc>
        <w:tc>
          <w:tcPr>
            <w:tcW w:w="1192" w:type="pct"/>
            <w:tcBorders>
              <w:top w:val="nil"/>
              <w:left w:val="nil"/>
              <w:bottom w:val="nil"/>
              <w:right w:val="nil"/>
            </w:tcBorders>
            <w:shd w:val="clear" w:color="auto" w:fill="auto"/>
            <w:vAlign w:val="bottom"/>
            <w:hideMark/>
          </w:tcPr>
          <w:p w:rsidRPr="005E7EAC" w:rsidR="00357F64" w:rsidP="0039025B" w:rsidRDefault="003E459B">
            <w:pPr>
              <w:jc w:val="right"/>
              <w:rPr>
                <w:rFonts w:ascii="Verdana" w:hAnsi="Verdana"/>
                <w:sz w:val="16"/>
                <w:szCs w:val="16"/>
              </w:rPr>
            </w:pPr>
            <w:r w:rsidRPr="005E7EAC">
              <w:rPr>
                <w:rFonts w:ascii="Verdana" w:hAnsi="Verdana"/>
                <w:sz w:val="16"/>
                <w:szCs w:val="16"/>
              </w:rPr>
              <w:t>0,0</w:t>
            </w:r>
          </w:p>
        </w:tc>
      </w:tr>
      <w:tr w:rsidRPr="005E7EAC" w:rsidR="00357F64" w:rsidTr="002936B1">
        <w:trPr>
          <w:trHeight w:val="180"/>
        </w:trPr>
        <w:tc>
          <w:tcPr>
            <w:tcW w:w="414"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color w:val="000000"/>
                <w:sz w:val="16"/>
                <w:szCs w:val="16"/>
              </w:rPr>
            </w:pPr>
          </w:p>
        </w:tc>
        <w:tc>
          <w:tcPr>
            <w:tcW w:w="2471" w:type="pct"/>
            <w:tcBorders>
              <w:top w:val="nil"/>
              <w:left w:val="nil"/>
              <w:bottom w:val="nil"/>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Aanvullende Post Algemeen</w:t>
            </w:r>
          </w:p>
        </w:tc>
        <w:tc>
          <w:tcPr>
            <w:tcW w:w="923" w:type="pct"/>
            <w:tcBorders>
              <w:top w:val="nil"/>
              <w:left w:val="nil"/>
              <w:bottom w:val="nil"/>
              <w:right w:val="nil"/>
            </w:tcBorders>
            <w:shd w:val="clear" w:color="auto" w:fill="auto"/>
            <w:vAlign w:val="bottom"/>
            <w:hideMark/>
          </w:tcPr>
          <w:p w:rsidRPr="005E7EAC" w:rsidR="00357F64" w:rsidP="0039025B" w:rsidRDefault="00DB6552">
            <w:pPr>
              <w:jc w:val="right"/>
              <w:rPr>
                <w:rFonts w:ascii="Verdana" w:hAnsi="Verdana"/>
                <w:sz w:val="16"/>
                <w:szCs w:val="16"/>
              </w:rPr>
            </w:pPr>
            <w:r w:rsidRPr="005E7EAC">
              <w:rPr>
                <w:rFonts w:ascii="Verdana" w:hAnsi="Verdana"/>
                <w:sz w:val="16"/>
                <w:szCs w:val="16"/>
              </w:rPr>
              <w:t>-1</w:t>
            </w:r>
            <w:r w:rsidRPr="005E7EAC" w:rsidR="007C0A72">
              <w:rPr>
                <w:rFonts w:ascii="Verdana" w:hAnsi="Verdana"/>
                <w:sz w:val="16"/>
                <w:szCs w:val="16"/>
              </w:rPr>
              <w:t>.</w:t>
            </w:r>
            <w:r w:rsidRPr="005E7EAC">
              <w:rPr>
                <w:rFonts w:ascii="Verdana" w:hAnsi="Verdana"/>
                <w:sz w:val="16"/>
                <w:szCs w:val="16"/>
              </w:rPr>
              <w:t>060,8</w:t>
            </w:r>
          </w:p>
        </w:tc>
        <w:tc>
          <w:tcPr>
            <w:tcW w:w="1192" w:type="pct"/>
            <w:tcBorders>
              <w:top w:val="nil"/>
              <w:left w:val="nil"/>
              <w:bottom w:val="nil"/>
              <w:right w:val="nil"/>
            </w:tcBorders>
            <w:shd w:val="clear" w:color="auto" w:fill="auto"/>
            <w:vAlign w:val="bottom"/>
            <w:hideMark/>
          </w:tcPr>
          <w:p w:rsidRPr="005E7EAC" w:rsidR="00357F64" w:rsidP="0039025B" w:rsidRDefault="00DB6552">
            <w:pPr>
              <w:jc w:val="right"/>
              <w:rPr>
                <w:rFonts w:ascii="Verdana" w:hAnsi="Verdana"/>
                <w:sz w:val="16"/>
                <w:szCs w:val="16"/>
              </w:rPr>
            </w:pPr>
            <w:r w:rsidRPr="005E7EAC">
              <w:rPr>
                <w:rFonts w:ascii="Verdana" w:hAnsi="Verdana"/>
                <w:sz w:val="16"/>
                <w:szCs w:val="16"/>
              </w:rPr>
              <w:t>0,0</w:t>
            </w:r>
          </w:p>
        </w:tc>
      </w:tr>
      <w:tr w:rsidRPr="005E7EAC" w:rsidR="00357F64" w:rsidTr="002936B1">
        <w:trPr>
          <w:trHeight w:val="195"/>
        </w:trPr>
        <w:tc>
          <w:tcPr>
            <w:tcW w:w="414" w:type="pct"/>
            <w:tcBorders>
              <w:top w:val="nil"/>
              <w:left w:val="nil"/>
              <w:bottom w:val="single" w:color="auto" w:sz="8" w:space="0"/>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 </w:t>
            </w:r>
          </w:p>
        </w:tc>
        <w:tc>
          <w:tcPr>
            <w:tcW w:w="2471" w:type="pct"/>
            <w:tcBorders>
              <w:top w:val="nil"/>
              <w:left w:val="nil"/>
              <w:bottom w:val="single" w:color="auto" w:sz="8" w:space="0"/>
              <w:right w:val="nil"/>
            </w:tcBorders>
            <w:shd w:val="clear" w:color="auto" w:fill="auto"/>
            <w:vAlign w:val="bottom"/>
            <w:hideMark/>
          </w:tcPr>
          <w:p w:rsidRPr="005E7EAC" w:rsidR="00357F64" w:rsidP="00DC7EAE" w:rsidRDefault="00357F64">
            <w:pPr>
              <w:rPr>
                <w:rFonts w:ascii="Verdana" w:hAnsi="Verdana"/>
                <w:sz w:val="16"/>
                <w:szCs w:val="16"/>
              </w:rPr>
            </w:pPr>
            <w:r w:rsidRPr="005E7EAC">
              <w:rPr>
                <w:rFonts w:ascii="Verdana" w:hAnsi="Verdana"/>
                <w:sz w:val="16"/>
                <w:szCs w:val="16"/>
              </w:rPr>
              <w:t>Homogene Groep Internationale Samenwerking</w:t>
            </w:r>
          </w:p>
        </w:tc>
        <w:tc>
          <w:tcPr>
            <w:tcW w:w="923" w:type="pct"/>
            <w:tcBorders>
              <w:top w:val="nil"/>
              <w:left w:val="nil"/>
              <w:bottom w:val="single" w:color="auto" w:sz="8" w:space="0"/>
              <w:right w:val="nil"/>
            </w:tcBorders>
            <w:shd w:val="clear" w:color="auto" w:fill="auto"/>
            <w:hideMark/>
          </w:tcPr>
          <w:p w:rsidRPr="005E7EAC" w:rsidR="00357F64" w:rsidP="009E0987" w:rsidRDefault="009E0987">
            <w:pPr>
              <w:jc w:val="right"/>
              <w:rPr>
                <w:rFonts w:ascii="Verdana" w:hAnsi="Verdana"/>
                <w:sz w:val="16"/>
                <w:szCs w:val="16"/>
              </w:rPr>
            </w:pPr>
            <w:r w:rsidRPr="005E7EAC">
              <w:rPr>
                <w:rFonts w:ascii="Verdana" w:hAnsi="Verdana"/>
                <w:sz w:val="16"/>
                <w:szCs w:val="16"/>
              </w:rPr>
              <w:t>274,9</w:t>
            </w:r>
          </w:p>
        </w:tc>
        <w:tc>
          <w:tcPr>
            <w:tcW w:w="1192" w:type="pct"/>
            <w:tcBorders>
              <w:top w:val="nil"/>
              <w:left w:val="nil"/>
              <w:bottom w:val="single" w:color="auto" w:sz="8" w:space="0"/>
              <w:right w:val="nil"/>
            </w:tcBorders>
            <w:shd w:val="clear" w:color="auto" w:fill="auto"/>
            <w:hideMark/>
          </w:tcPr>
          <w:p w:rsidRPr="005E7EAC" w:rsidR="00357F64" w:rsidP="009E0987" w:rsidRDefault="009E0987">
            <w:pPr>
              <w:jc w:val="right"/>
              <w:rPr>
                <w:rFonts w:ascii="Verdana" w:hAnsi="Verdana"/>
                <w:sz w:val="16"/>
                <w:szCs w:val="16"/>
              </w:rPr>
            </w:pPr>
            <w:r w:rsidRPr="005E7EAC">
              <w:rPr>
                <w:rFonts w:ascii="Verdana" w:hAnsi="Verdana"/>
                <w:sz w:val="16"/>
                <w:szCs w:val="16"/>
              </w:rPr>
              <w:t>3,4</w:t>
            </w:r>
          </w:p>
        </w:tc>
      </w:tr>
    </w:tbl>
    <w:p w:rsidRPr="005E7EAC" w:rsidR="001B5794" w:rsidRDefault="001B5794">
      <w:pPr>
        <w:spacing w:after="200" w:line="276" w:lineRule="auto"/>
        <w:rPr>
          <w:rFonts w:ascii="Verdana" w:hAnsi="Verdana" w:eastAsiaTheme="minorHAnsi" w:cstheme="minorBidi"/>
          <w:b/>
          <w:sz w:val="18"/>
          <w:szCs w:val="18"/>
          <w:lang w:eastAsia="en-US"/>
        </w:rPr>
      </w:pPr>
    </w:p>
    <w:p w:rsidRPr="005E7EAC" w:rsidR="001807B3" w:rsidRDefault="001807B3">
      <w:pPr>
        <w:spacing w:after="200" w:line="276" w:lineRule="auto"/>
        <w:rPr>
          <w:rFonts w:ascii="Verdana" w:hAnsi="Verdana" w:eastAsiaTheme="minorHAnsi" w:cstheme="minorBidi"/>
          <w:b/>
          <w:sz w:val="18"/>
          <w:szCs w:val="18"/>
          <w:lang w:eastAsia="en-US"/>
        </w:rPr>
      </w:pPr>
      <w:r w:rsidRPr="005E7EAC">
        <w:rPr>
          <w:b/>
          <w:szCs w:val="18"/>
        </w:rPr>
        <w:br w:type="page"/>
      </w:r>
    </w:p>
    <w:p w:rsidRPr="005E7EAC" w:rsidR="00457E12" w:rsidP="00E16284" w:rsidRDefault="00A87C9C">
      <w:pPr>
        <w:pStyle w:val="Geenafstand"/>
      </w:pPr>
      <w:r w:rsidRPr="005E7EAC">
        <w:rPr>
          <w:b/>
          <w:szCs w:val="18"/>
        </w:rPr>
        <w:lastRenderedPageBreak/>
        <w:t xml:space="preserve">I </w:t>
      </w:r>
      <w:r w:rsidRPr="005E7EAC" w:rsidR="00E42437">
        <w:rPr>
          <w:b/>
          <w:szCs w:val="18"/>
        </w:rPr>
        <w:t>De Koning</w:t>
      </w:r>
    </w:p>
    <w:p w:rsidRPr="005E7EAC" w:rsidR="00457E12" w:rsidRDefault="00457E12">
      <w:pPr>
        <w:rPr>
          <w:rFonts w:ascii="Verdana" w:hAnsi="Verdana"/>
          <w:sz w:val="18"/>
          <w:szCs w:val="18"/>
        </w:rPr>
      </w:pPr>
    </w:p>
    <w:tbl>
      <w:tblPr>
        <w:tblW w:w="5000" w:type="pct"/>
        <w:tblCellMar>
          <w:left w:w="70" w:type="dxa"/>
          <w:right w:w="70" w:type="dxa"/>
        </w:tblCellMar>
        <w:tblLook w:val="04A0"/>
      </w:tblPr>
      <w:tblGrid>
        <w:gridCol w:w="5362"/>
        <w:gridCol w:w="770"/>
        <w:gridCol w:w="770"/>
        <w:gridCol w:w="770"/>
        <w:gridCol w:w="770"/>
        <w:gridCol w:w="770"/>
      </w:tblGrid>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UITGAVEN</w:t>
            </w: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r>
      <w:tr w:rsidRPr="005E7EAC" w:rsidR="00952668" w:rsidTr="00952668">
        <w:trPr>
          <w:trHeight w:val="240"/>
        </w:trPr>
        <w:tc>
          <w:tcPr>
            <w:tcW w:w="2909"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 </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2015</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2016</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2017</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2018</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2019</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Stand Miljoenennota 2015 (excl. IS)</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40,0</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Beleidsmatige mutaties</w:t>
            </w: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Technische mutaties</w:t>
            </w: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r>
      <w:tr w:rsidRPr="005E7EAC" w:rsidR="00952668" w:rsidTr="00952668">
        <w:trPr>
          <w:trHeight w:val="180"/>
        </w:trPr>
        <w:tc>
          <w:tcPr>
            <w:tcW w:w="2909"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0,2</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0,2</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0,2</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0,2</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0,2</w:t>
            </w:r>
          </w:p>
        </w:tc>
      </w:tr>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Stand Voorjaarsnota 2015 (subtotaal)</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r>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Totaal Internationale samenwerking</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Stand Voorjaarsnota 2015</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40,3</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r>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NIET-BELASTINGONTVANGSTEN</w:t>
            </w: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r>
      <w:tr w:rsidRPr="005E7EAC" w:rsidR="00952668" w:rsidTr="00952668">
        <w:trPr>
          <w:trHeight w:val="240"/>
        </w:trPr>
        <w:tc>
          <w:tcPr>
            <w:tcW w:w="2909"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 </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2015</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2016</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2017</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2018</w:t>
            </w:r>
          </w:p>
        </w:tc>
        <w:tc>
          <w:tcPr>
            <w:tcW w:w="418" w:type="pct"/>
            <w:tcBorders>
              <w:top w:val="single" w:color="000000" w:sz="8" w:space="0"/>
              <w:left w:val="nil"/>
              <w:bottom w:val="single" w:color="000000" w:sz="8" w:space="0"/>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2019</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Stand Miljoenennota 2015 (excl. IS)</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Beleidsmatige mutaties</w:t>
            </w: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r>
      <w:tr w:rsidRPr="005E7EAC" w:rsidR="00952668" w:rsidTr="00952668">
        <w:trPr>
          <w:trHeight w:val="180"/>
        </w:trPr>
        <w:tc>
          <w:tcPr>
            <w:tcW w:w="2909"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r>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952668" w:rsidP="00952668" w:rsidRDefault="00952668">
            <w:pPr>
              <w:rPr>
                <w:rFonts w:ascii="Verdana" w:hAnsi="Verdana"/>
                <w:color w:val="000000"/>
                <w:sz w:val="14"/>
                <w:szCs w:val="14"/>
              </w:rPr>
            </w:pP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Stand Voorjaarsnota 2015 (subtotaal)</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r>
      <w:tr w:rsidRPr="005E7EAC" w:rsidR="00952668" w:rsidTr="00952668">
        <w:trPr>
          <w:trHeight w:val="240"/>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Totaal Internationale samenwerking</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r>
      <w:tr w:rsidRPr="005E7EAC" w:rsidR="00952668" w:rsidTr="00952668">
        <w:trPr>
          <w:trHeight w:val="225"/>
        </w:trPr>
        <w:tc>
          <w:tcPr>
            <w:tcW w:w="2909" w:type="pct"/>
            <w:tcBorders>
              <w:top w:val="nil"/>
              <w:left w:val="nil"/>
              <w:bottom w:val="nil"/>
              <w:right w:val="nil"/>
            </w:tcBorders>
            <w:shd w:val="clear" w:color="auto" w:fill="auto"/>
            <w:hideMark/>
          </w:tcPr>
          <w:p w:rsidRPr="005E7EAC" w:rsidR="00952668" w:rsidP="00952668" w:rsidRDefault="00952668">
            <w:pPr>
              <w:rPr>
                <w:rFonts w:ascii="Verdana" w:hAnsi="Verdana"/>
                <w:color w:val="000000"/>
                <w:sz w:val="18"/>
                <w:szCs w:val="18"/>
              </w:rPr>
            </w:pPr>
            <w:r w:rsidRPr="005E7EAC">
              <w:rPr>
                <w:rFonts w:ascii="Verdana" w:hAnsi="Verdana"/>
                <w:color w:val="000000"/>
                <w:sz w:val="18"/>
                <w:szCs w:val="18"/>
              </w:rPr>
              <w:t>Stand Voorjaarsnota 2015</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952668" w:rsidP="00952668" w:rsidRDefault="00952668">
            <w:pPr>
              <w:jc w:val="right"/>
              <w:rPr>
                <w:rFonts w:ascii="Verdana" w:hAnsi="Verdana"/>
                <w:color w:val="000000"/>
                <w:sz w:val="18"/>
                <w:szCs w:val="18"/>
              </w:rPr>
            </w:pPr>
            <w:r w:rsidRPr="005E7EAC">
              <w:rPr>
                <w:rFonts w:ascii="Verdana" w:hAnsi="Verdana"/>
                <w:color w:val="000000"/>
                <w:sz w:val="18"/>
                <w:szCs w:val="18"/>
              </w:rPr>
              <w:t>0,0</w:t>
            </w:r>
          </w:p>
        </w:tc>
      </w:tr>
    </w:tbl>
    <w:p w:rsidRPr="005E7EAC" w:rsidR="00457E12" w:rsidRDefault="00457E12"/>
    <w:p w:rsidRPr="005E7EAC" w:rsidR="00E16284" w:rsidRDefault="00E16284">
      <w:pPr>
        <w:spacing w:after="200" w:line="276" w:lineRule="auto"/>
        <w:rPr>
          <w:rFonts w:ascii="Verdana" w:hAnsi="Verdana"/>
          <w:b/>
          <w:sz w:val="18"/>
          <w:szCs w:val="18"/>
        </w:rPr>
      </w:pPr>
      <w:r w:rsidRPr="005E7EAC">
        <w:rPr>
          <w:rFonts w:ascii="Verdana" w:hAnsi="Verdana"/>
          <w:b/>
          <w:sz w:val="18"/>
          <w:szCs w:val="18"/>
        </w:rPr>
        <w:br w:type="page"/>
      </w:r>
    </w:p>
    <w:p w:rsidRPr="005E7EAC" w:rsidR="00B94A56" w:rsidP="005509CA" w:rsidRDefault="00532F6E">
      <w:pPr>
        <w:rPr>
          <w:rFonts w:ascii="Verdana" w:hAnsi="Verdana"/>
          <w:b/>
          <w:sz w:val="18"/>
          <w:szCs w:val="18"/>
        </w:rPr>
      </w:pPr>
      <w:r w:rsidRPr="005E7EAC">
        <w:rPr>
          <w:rFonts w:ascii="Verdana" w:hAnsi="Verdana"/>
          <w:b/>
          <w:sz w:val="18"/>
          <w:szCs w:val="18"/>
        </w:rPr>
        <w:lastRenderedPageBreak/>
        <w:t xml:space="preserve">IIA </w:t>
      </w:r>
      <w:r w:rsidRPr="005E7EAC" w:rsidR="00CE2A5B">
        <w:rPr>
          <w:rFonts w:ascii="Verdana" w:hAnsi="Verdana"/>
          <w:b/>
          <w:sz w:val="18"/>
          <w:szCs w:val="18"/>
        </w:rPr>
        <w:t>Staten-Generaal</w:t>
      </w:r>
    </w:p>
    <w:p w:rsidRPr="005E7EAC" w:rsidR="00CE2A5B" w:rsidP="00440ADF" w:rsidRDefault="00CE2A5B">
      <w:pPr>
        <w:spacing w:line="276" w:lineRule="auto"/>
        <w:rPr>
          <w:rFonts w:ascii="Verdana" w:hAnsi="Verdana"/>
          <w:b/>
          <w:sz w:val="18"/>
          <w:szCs w:val="18"/>
        </w:rPr>
      </w:pPr>
    </w:p>
    <w:tbl>
      <w:tblPr>
        <w:tblW w:w="5000" w:type="pct"/>
        <w:tblCellMar>
          <w:left w:w="70" w:type="dxa"/>
          <w:right w:w="70" w:type="dxa"/>
        </w:tblCellMar>
        <w:tblLook w:val="04A0"/>
      </w:tblPr>
      <w:tblGrid>
        <w:gridCol w:w="5002"/>
        <w:gridCol w:w="842"/>
        <w:gridCol w:w="842"/>
        <w:gridCol w:w="842"/>
        <w:gridCol w:w="842"/>
        <w:gridCol w:w="842"/>
      </w:tblGrid>
      <w:tr w:rsidRPr="005E7EAC" w:rsidR="00440ADF" w:rsidTr="00440ADF">
        <w:trPr>
          <w:trHeight w:val="240"/>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UITGAVEN</w:t>
            </w: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r>
      <w:tr w:rsidRPr="005E7EAC" w:rsidR="00440ADF" w:rsidTr="00440ADF">
        <w:trPr>
          <w:trHeight w:val="240"/>
        </w:trPr>
        <w:tc>
          <w:tcPr>
            <w:tcW w:w="2715"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 </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2015</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2016</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2017</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2018</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2019</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Stand Miljoenennota 2015 (excl. IS)</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136,9</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135,6</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139,0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135,7</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134,2</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Beleidsmatige mutaties</w:t>
            </w: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r>
      <w:tr w:rsidRPr="005E7EAC" w:rsidR="00440ADF" w:rsidTr="00440ADF">
        <w:trPr>
          <w:trHeight w:val="240"/>
        </w:trPr>
        <w:tc>
          <w:tcPr>
            <w:tcW w:w="2715" w:type="pct"/>
            <w:tcBorders>
              <w:top w:val="nil"/>
              <w:left w:val="nil"/>
              <w:bottom w:val="nil"/>
              <w:right w:val="nil"/>
            </w:tcBorders>
            <w:shd w:val="clear" w:color="auto" w:fill="auto"/>
            <w:hideMark/>
          </w:tcPr>
          <w:p w:rsidRPr="005E7EAC" w:rsidR="00440ADF" w:rsidP="00440ADF" w:rsidRDefault="00440AD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6,2</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3,4</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6,2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3,4</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Technische mutaties</w:t>
            </w: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r>
      <w:tr w:rsidRPr="005E7EAC" w:rsidR="00440ADF" w:rsidTr="00440ADF">
        <w:trPr>
          <w:trHeight w:val="240"/>
        </w:trPr>
        <w:tc>
          <w:tcPr>
            <w:tcW w:w="2715" w:type="pct"/>
            <w:tcBorders>
              <w:top w:val="nil"/>
              <w:left w:val="nil"/>
              <w:bottom w:val="nil"/>
              <w:right w:val="nil"/>
            </w:tcBorders>
            <w:shd w:val="clear" w:color="auto" w:fill="auto"/>
            <w:hideMark/>
          </w:tcPr>
          <w:p w:rsidRPr="005E7EAC" w:rsidR="00440ADF" w:rsidP="00440ADF" w:rsidRDefault="00440AD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r>
      <w:tr w:rsidRPr="005E7EAC" w:rsidR="00440ADF" w:rsidTr="00440ADF">
        <w:trPr>
          <w:trHeight w:val="180"/>
        </w:trPr>
        <w:tc>
          <w:tcPr>
            <w:tcW w:w="2715"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6,8</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3,9</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0,6</w:t>
            </w:r>
          </w:p>
        </w:tc>
      </w:tr>
      <w:tr w:rsidRPr="005E7EAC" w:rsidR="00440ADF" w:rsidTr="00440ADF">
        <w:trPr>
          <w:trHeight w:val="240"/>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Stand Voorjaarsnota 2015 (subtotaal)</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143,7</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139,6</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139,6</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136,2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134,7</w:t>
            </w:r>
          </w:p>
        </w:tc>
      </w:tr>
      <w:tr w:rsidRPr="005E7EAC" w:rsidR="00440ADF" w:rsidTr="00440ADF">
        <w:trPr>
          <w:trHeight w:val="240"/>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Totaal Internationale samenwerking</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Stand Voorjaarsnota 2015</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143,7</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139,6</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139,6</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136,2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134,7</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r>
      <w:tr w:rsidRPr="005E7EAC" w:rsidR="00440ADF" w:rsidTr="00440ADF">
        <w:trPr>
          <w:trHeight w:val="240"/>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NIET-BELASTINGONTVANGSTEN</w:t>
            </w: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r>
      <w:tr w:rsidRPr="005E7EAC" w:rsidR="00440ADF" w:rsidTr="00440ADF">
        <w:trPr>
          <w:trHeight w:val="240"/>
        </w:trPr>
        <w:tc>
          <w:tcPr>
            <w:tcW w:w="2715"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 </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2015</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2016</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2017</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2018</w:t>
            </w:r>
          </w:p>
        </w:tc>
        <w:tc>
          <w:tcPr>
            <w:tcW w:w="457" w:type="pct"/>
            <w:tcBorders>
              <w:top w:val="single" w:color="000000" w:sz="8" w:space="0"/>
              <w:left w:val="nil"/>
              <w:bottom w:val="single" w:color="000000" w:sz="8" w:space="0"/>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2019</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Stand Miljoenennota 2015 (excl. IS)</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r>
      <w:tr w:rsidRPr="005E7EAC" w:rsidR="00440ADF" w:rsidTr="00440ADF">
        <w:trPr>
          <w:trHeight w:val="180"/>
        </w:trPr>
        <w:tc>
          <w:tcPr>
            <w:tcW w:w="2715"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r>
      <w:tr w:rsidRPr="005E7EAC" w:rsidR="00440ADF" w:rsidTr="00440ADF">
        <w:trPr>
          <w:trHeight w:val="240"/>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440ADF" w:rsidP="00440ADF" w:rsidRDefault="00440ADF">
            <w:pPr>
              <w:rPr>
                <w:rFonts w:ascii="Verdana" w:hAnsi="Verdana"/>
                <w:color w:val="000000"/>
                <w:sz w:val="14"/>
                <w:szCs w:val="14"/>
              </w:rPr>
            </w:pP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Stand Voorjaarsnota 2015 (subtotaal)</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r>
      <w:tr w:rsidRPr="005E7EAC" w:rsidR="00440ADF" w:rsidTr="00440ADF">
        <w:trPr>
          <w:trHeight w:val="240"/>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Totaal Internationale samenwerking</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0,0</w:t>
            </w:r>
          </w:p>
        </w:tc>
      </w:tr>
      <w:tr w:rsidRPr="005E7EAC" w:rsidR="00440ADF" w:rsidTr="00440ADF">
        <w:trPr>
          <w:trHeight w:val="225"/>
        </w:trPr>
        <w:tc>
          <w:tcPr>
            <w:tcW w:w="2715" w:type="pct"/>
            <w:tcBorders>
              <w:top w:val="nil"/>
              <w:left w:val="nil"/>
              <w:bottom w:val="nil"/>
              <w:right w:val="nil"/>
            </w:tcBorders>
            <w:shd w:val="clear" w:color="auto" w:fill="auto"/>
            <w:hideMark/>
          </w:tcPr>
          <w:p w:rsidRPr="005E7EAC" w:rsidR="00440ADF" w:rsidP="00440ADF" w:rsidRDefault="00440ADF">
            <w:pPr>
              <w:rPr>
                <w:rFonts w:ascii="Verdana" w:hAnsi="Verdana"/>
                <w:color w:val="000000"/>
                <w:sz w:val="18"/>
                <w:szCs w:val="18"/>
              </w:rPr>
            </w:pPr>
            <w:r w:rsidRPr="005E7EAC">
              <w:rPr>
                <w:rFonts w:ascii="Verdana" w:hAnsi="Verdana"/>
                <w:color w:val="000000"/>
                <w:sz w:val="18"/>
                <w:szCs w:val="18"/>
              </w:rPr>
              <w:t>Stand Voorjaarsnota 2015</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c>
          <w:tcPr>
            <w:tcW w:w="457" w:type="pct"/>
            <w:tcBorders>
              <w:top w:val="single" w:color="000000" w:sz="8" w:space="0"/>
              <w:left w:val="nil"/>
              <w:bottom w:val="nil"/>
              <w:right w:val="nil"/>
            </w:tcBorders>
            <w:shd w:val="clear" w:color="auto" w:fill="auto"/>
            <w:hideMark/>
          </w:tcPr>
          <w:p w:rsidRPr="005E7EAC" w:rsidR="00440ADF" w:rsidP="00440ADF" w:rsidRDefault="00440ADF">
            <w:pPr>
              <w:jc w:val="right"/>
              <w:rPr>
                <w:rFonts w:ascii="Verdana" w:hAnsi="Verdana"/>
                <w:color w:val="000000"/>
                <w:sz w:val="18"/>
                <w:szCs w:val="18"/>
              </w:rPr>
            </w:pPr>
            <w:r w:rsidRPr="005E7EAC">
              <w:rPr>
                <w:rFonts w:ascii="Verdana" w:hAnsi="Verdana"/>
                <w:color w:val="000000"/>
                <w:sz w:val="18"/>
                <w:szCs w:val="18"/>
              </w:rPr>
              <w:t>5,2</w:t>
            </w:r>
          </w:p>
        </w:tc>
      </w:tr>
    </w:tbl>
    <w:p w:rsidRPr="005E7EAC" w:rsidR="00440ADF" w:rsidP="00440ADF" w:rsidRDefault="00440ADF">
      <w:pPr>
        <w:spacing w:line="240" w:lineRule="exact"/>
        <w:rPr>
          <w:rFonts w:ascii="Verdana" w:hAnsi="Verdana"/>
          <w:i/>
          <w:sz w:val="18"/>
          <w:szCs w:val="18"/>
        </w:rPr>
      </w:pPr>
    </w:p>
    <w:p w:rsidRPr="005E7EAC" w:rsidR="00440ADF" w:rsidP="00440ADF" w:rsidRDefault="00440ADF">
      <w:pPr>
        <w:spacing w:line="240" w:lineRule="exact"/>
        <w:rPr>
          <w:rFonts w:ascii="Verdana" w:hAnsi="Verdana"/>
          <w:i/>
          <w:sz w:val="18"/>
          <w:szCs w:val="18"/>
        </w:rPr>
      </w:pPr>
    </w:p>
    <w:p w:rsidRPr="005E7EAC" w:rsidR="00440ADF" w:rsidP="00440ADF" w:rsidRDefault="00440ADF">
      <w:pPr>
        <w:spacing w:line="240" w:lineRule="exact"/>
        <w:rPr>
          <w:rFonts w:ascii="Verdana" w:hAnsi="Verdana"/>
          <w:i/>
          <w:sz w:val="18"/>
          <w:szCs w:val="18"/>
        </w:rPr>
      </w:pPr>
      <w:r w:rsidRPr="005E7EAC">
        <w:rPr>
          <w:rFonts w:ascii="Verdana" w:hAnsi="Verdana"/>
          <w:i/>
          <w:sz w:val="18"/>
          <w:szCs w:val="18"/>
        </w:rPr>
        <w:t>Diversen (beleidsmatige mutaties)</w:t>
      </w:r>
    </w:p>
    <w:p w:rsidRPr="005E7EAC" w:rsidR="00440ADF" w:rsidP="00440ADF" w:rsidRDefault="00440ADF">
      <w:pPr>
        <w:spacing w:line="240" w:lineRule="exact"/>
        <w:rPr>
          <w:rFonts w:ascii="Verdana" w:hAnsi="Verdana"/>
          <w:sz w:val="18"/>
          <w:szCs w:val="18"/>
        </w:rPr>
      </w:pPr>
      <w:r w:rsidRPr="005E7EAC">
        <w:rPr>
          <w:rFonts w:ascii="Verdana" w:hAnsi="Verdana"/>
          <w:sz w:val="18"/>
          <w:szCs w:val="18"/>
        </w:rPr>
        <w:t>De Tweede Kamer heeft voor 2015 een aantal grote projecten voorzien, waaronder de aanleg van een 4G-netwerk en de aanpassing van de plenaire zaal</w:t>
      </w:r>
    </w:p>
    <w:p w:rsidRPr="005E7EAC" w:rsidR="00CE2A5B" w:rsidRDefault="00CE2A5B">
      <w:pPr>
        <w:spacing w:after="200" w:line="276" w:lineRule="auto"/>
        <w:rPr>
          <w:rFonts w:ascii="Verdana" w:hAnsi="Verdana"/>
          <w:b/>
          <w:sz w:val="18"/>
          <w:szCs w:val="18"/>
        </w:rPr>
      </w:pPr>
    </w:p>
    <w:p w:rsidRPr="005E7EAC" w:rsidR="00CE2A5B" w:rsidRDefault="00CE2A5B">
      <w:pPr>
        <w:spacing w:after="200" w:line="276" w:lineRule="auto"/>
        <w:rPr>
          <w:rFonts w:ascii="Verdana" w:hAnsi="Verdana"/>
          <w:b/>
          <w:sz w:val="18"/>
          <w:szCs w:val="18"/>
        </w:rPr>
      </w:pPr>
    </w:p>
    <w:p w:rsidRPr="005E7EAC" w:rsidR="00CE2A5B" w:rsidRDefault="00CE2A5B">
      <w:pPr>
        <w:spacing w:after="200" w:line="276" w:lineRule="auto"/>
        <w:rPr>
          <w:rFonts w:ascii="Verdana" w:hAnsi="Verdana"/>
          <w:b/>
          <w:sz w:val="18"/>
          <w:szCs w:val="18"/>
        </w:rPr>
      </w:pPr>
    </w:p>
    <w:p w:rsidRPr="005E7EAC" w:rsidR="00E16284" w:rsidRDefault="00E16284">
      <w:pPr>
        <w:spacing w:after="200" w:line="276" w:lineRule="auto"/>
        <w:rPr>
          <w:rFonts w:ascii="Verdana" w:hAnsi="Verdana"/>
          <w:b/>
          <w:sz w:val="18"/>
          <w:szCs w:val="18"/>
        </w:rPr>
      </w:pPr>
      <w:r w:rsidRPr="005E7EAC">
        <w:rPr>
          <w:rFonts w:ascii="Verdana" w:hAnsi="Verdana"/>
          <w:b/>
          <w:sz w:val="18"/>
          <w:szCs w:val="18"/>
        </w:rPr>
        <w:br w:type="page"/>
      </w:r>
    </w:p>
    <w:p w:rsidRPr="005E7EAC" w:rsidR="00CE2A5B" w:rsidRDefault="00532F6E">
      <w:pPr>
        <w:spacing w:line="276" w:lineRule="auto"/>
        <w:rPr>
          <w:rFonts w:ascii="Verdana" w:hAnsi="Verdana"/>
          <w:b/>
          <w:sz w:val="18"/>
          <w:szCs w:val="18"/>
        </w:rPr>
      </w:pPr>
      <w:r w:rsidRPr="005E7EAC">
        <w:rPr>
          <w:rFonts w:ascii="Verdana" w:hAnsi="Verdana"/>
          <w:b/>
          <w:sz w:val="18"/>
          <w:szCs w:val="18"/>
        </w:rPr>
        <w:lastRenderedPageBreak/>
        <w:t xml:space="preserve">IIB </w:t>
      </w:r>
      <w:r w:rsidRPr="005E7EAC" w:rsidR="00CE2A5B">
        <w:rPr>
          <w:rFonts w:ascii="Verdana" w:hAnsi="Verdana"/>
          <w:b/>
          <w:sz w:val="18"/>
          <w:szCs w:val="18"/>
        </w:rPr>
        <w:t>Overige Hoge Colleges van Staat</w:t>
      </w:r>
    </w:p>
    <w:p w:rsidRPr="005E7EAC" w:rsidR="00536009" w:rsidP="000F7AC1" w:rsidRDefault="00536009">
      <w:pPr>
        <w:spacing w:line="240" w:lineRule="exact"/>
        <w:rPr>
          <w:rFonts w:ascii="Verdana" w:hAnsi="Verdana"/>
          <w:b/>
          <w:sz w:val="18"/>
          <w:szCs w:val="18"/>
        </w:rPr>
      </w:pPr>
    </w:p>
    <w:tbl>
      <w:tblPr>
        <w:tblW w:w="5000" w:type="pct"/>
        <w:tblCellMar>
          <w:left w:w="0" w:type="dxa"/>
          <w:right w:w="0" w:type="dxa"/>
        </w:tblCellMar>
        <w:tblLook w:val="04A0"/>
      </w:tblPr>
      <w:tblGrid>
        <w:gridCol w:w="4946"/>
        <w:gridCol w:w="832"/>
        <w:gridCol w:w="833"/>
        <w:gridCol w:w="833"/>
        <w:gridCol w:w="833"/>
        <w:gridCol w:w="833"/>
      </w:tblGrid>
      <w:tr w:rsidRPr="005E7EAC" w:rsidR="00C245F8" w:rsidTr="00C245F8">
        <w:trPr>
          <w:trHeight w:val="240"/>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UITGAVEN</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r>
      <w:tr w:rsidRPr="005E7EAC" w:rsidR="00C245F8" w:rsidTr="00C245F8">
        <w:trPr>
          <w:trHeight w:val="240"/>
        </w:trPr>
        <w:tc>
          <w:tcPr>
            <w:tcW w:w="2715"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 </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2015</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2016</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2017</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2018</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2019</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Stand Miljoenennota 2015 (excl. IS)</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113,8</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110,1</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108,1</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107,7</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107,7</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Beleidsmatige mutaties</w:t>
            </w: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25"/>
        </w:trPr>
        <w:tc>
          <w:tcPr>
            <w:tcW w:w="2715" w:type="pct"/>
            <w:tcBorders>
              <w:top w:val="nil"/>
              <w:left w:val="nil"/>
              <w:bottom w:val="nil"/>
              <w:right w:val="nil"/>
            </w:tcBorders>
            <w:shd w:val="clear" w:color="auto" w:fill="auto"/>
            <w:tcMar>
              <w:top w:w="19" w:type="dxa"/>
              <w:left w:w="224" w:type="dxa"/>
              <w:bottom w:w="0" w:type="dxa"/>
              <w:right w:w="19" w:type="dxa"/>
            </w:tcMar>
            <w:hideMark/>
          </w:tcPr>
          <w:p w:rsidRPr="005E7EAC" w:rsidR="00C245F8" w:rsidRDefault="00C245F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40"/>
        </w:trPr>
        <w:tc>
          <w:tcPr>
            <w:tcW w:w="2715" w:type="pct"/>
            <w:tcBorders>
              <w:top w:val="nil"/>
              <w:left w:val="nil"/>
              <w:bottom w:val="nil"/>
              <w:right w:val="nil"/>
            </w:tcBorders>
            <w:shd w:val="clear" w:color="auto" w:fill="auto"/>
            <w:tcMar>
              <w:top w:w="19" w:type="dxa"/>
              <w:left w:w="449" w:type="dxa"/>
              <w:bottom w:w="0" w:type="dxa"/>
              <w:right w:w="19" w:type="dxa"/>
            </w:tcMar>
            <w:hideMark/>
          </w:tcPr>
          <w:p w:rsidRPr="005E7EAC" w:rsidR="00C245F8" w:rsidRDefault="00C245F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1,7</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1,8</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0,7</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1,8</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Technische mutaties</w:t>
            </w: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25"/>
        </w:trPr>
        <w:tc>
          <w:tcPr>
            <w:tcW w:w="2715" w:type="pct"/>
            <w:tcBorders>
              <w:top w:val="nil"/>
              <w:left w:val="nil"/>
              <w:bottom w:val="nil"/>
              <w:right w:val="nil"/>
            </w:tcBorders>
            <w:shd w:val="clear" w:color="auto" w:fill="auto"/>
            <w:tcMar>
              <w:top w:w="19" w:type="dxa"/>
              <w:left w:w="224" w:type="dxa"/>
              <w:bottom w:w="0" w:type="dxa"/>
              <w:right w:w="19" w:type="dxa"/>
            </w:tcMar>
            <w:hideMark/>
          </w:tcPr>
          <w:p w:rsidRPr="005E7EAC" w:rsidR="00C245F8" w:rsidRDefault="00C245F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40"/>
        </w:trPr>
        <w:tc>
          <w:tcPr>
            <w:tcW w:w="2715" w:type="pct"/>
            <w:tcBorders>
              <w:top w:val="nil"/>
              <w:left w:val="nil"/>
              <w:bottom w:val="nil"/>
              <w:right w:val="nil"/>
            </w:tcBorders>
            <w:shd w:val="clear" w:color="auto" w:fill="auto"/>
            <w:tcMar>
              <w:top w:w="19" w:type="dxa"/>
              <w:left w:w="449" w:type="dxa"/>
              <w:bottom w:w="0" w:type="dxa"/>
              <w:right w:w="19" w:type="dxa"/>
            </w:tcMar>
            <w:hideMark/>
          </w:tcPr>
          <w:p w:rsidRPr="005E7EAC" w:rsidR="00C245F8" w:rsidRDefault="00C245F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0,3</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0,2</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0,2</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0,3</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0,3</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0,3</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0,2</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0,2</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0,3</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0,3</w:t>
            </w:r>
          </w:p>
        </w:tc>
      </w:tr>
      <w:tr w:rsidRPr="005E7EAC" w:rsidR="00C245F8" w:rsidTr="00C245F8">
        <w:trPr>
          <w:trHeight w:val="180"/>
        </w:trPr>
        <w:tc>
          <w:tcPr>
            <w:tcW w:w="2715"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0,9</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0,3</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0,3</w:t>
            </w:r>
          </w:p>
        </w:tc>
      </w:tr>
      <w:tr w:rsidRPr="005E7EAC" w:rsidR="00C245F8" w:rsidTr="00C245F8">
        <w:trPr>
          <w:trHeight w:val="240"/>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Stand Voorjaarsnota 2015 (subtotaal)</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115,8</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112,1</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109,0</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107,9</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107,9</w:t>
            </w:r>
          </w:p>
        </w:tc>
      </w:tr>
      <w:tr w:rsidRPr="005E7EAC" w:rsidR="00C245F8" w:rsidTr="00C245F8">
        <w:trPr>
          <w:trHeight w:val="240"/>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Totaal Internationale samenwerking</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Stand Voorjaarsnota 2015</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115,8</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112,1</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109,0</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107,9</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107,9</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r>
      <w:tr w:rsidRPr="005E7EAC" w:rsidR="00C245F8" w:rsidTr="00C245F8">
        <w:trPr>
          <w:trHeight w:val="240"/>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NIET-BELASTINGONTVANGSTEN</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r>
      <w:tr w:rsidRPr="005E7EAC" w:rsidR="00C245F8" w:rsidTr="00C245F8">
        <w:trPr>
          <w:trHeight w:val="240"/>
        </w:trPr>
        <w:tc>
          <w:tcPr>
            <w:tcW w:w="2715"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 </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2015</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2016</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2017</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2018</w:t>
            </w:r>
          </w:p>
        </w:tc>
        <w:tc>
          <w:tcPr>
            <w:tcW w:w="457"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2019</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Stand Miljoenennota 2015 (excl. IS)</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Technische mutaties</w:t>
            </w: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25"/>
        </w:trPr>
        <w:tc>
          <w:tcPr>
            <w:tcW w:w="2715" w:type="pct"/>
            <w:tcBorders>
              <w:top w:val="nil"/>
              <w:left w:val="nil"/>
              <w:bottom w:val="nil"/>
              <w:right w:val="nil"/>
            </w:tcBorders>
            <w:shd w:val="clear" w:color="auto" w:fill="auto"/>
            <w:tcMar>
              <w:top w:w="19" w:type="dxa"/>
              <w:left w:w="224" w:type="dxa"/>
              <w:bottom w:w="0" w:type="dxa"/>
              <w:right w:w="19" w:type="dxa"/>
            </w:tcMar>
            <w:hideMark/>
          </w:tcPr>
          <w:p w:rsidRPr="005E7EAC" w:rsidR="00C245F8" w:rsidRDefault="00C245F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40"/>
        </w:trPr>
        <w:tc>
          <w:tcPr>
            <w:tcW w:w="2715" w:type="pct"/>
            <w:tcBorders>
              <w:top w:val="nil"/>
              <w:left w:val="nil"/>
              <w:bottom w:val="nil"/>
              <w:right w:val="nil"/>
            </w:tcBorders>
            <w:shd w:val="clear" w:color="auto" w:fill="auto"/>
            <w:tcMar>
              <w:top w:w="19" w:type="dxa"/>
              <w:left w:w="449" w:type="dxa"/>
              <w:bottom w:w="0" w:type="dxa"/>
              <w:right w:w="19" w:type="dxa"/>
            </w:tcMar>
            <w:hideMark/>
          </w:tcPr>
          <w:p w:rsidRPr="005E7EAC" w:rsidR="00C245F8" w:rsidRDefault="00C245F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r>
      <w:tr w:rsidRPr="005E7EAC" w:rsidR="00C245F8" w:rsidTr="00C245F8">
        <w:trPr>
          <w:trHeight w:val="180"/>
        </w:trPr>
        <w:tc>
          <w:tcPr>
            <w:tcW w:w="2715"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r>
      <w:tr w:rsidRPr="005E7EAC" w:rsidR="00C245F8" w:rsidTr="00C245F8">
        <w:trPr>
          <w:trHeight w:val="240"/>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c>
          <w:tcPr>
            <w:tcW w:w="457"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C245F8" w:rsidRDefault="00C245F8">
            <w:pPr>
              <w:rPr>
                <w:rFonts w:ascii="Verdana" w:hAnsi="Verdana"/>
                <w:color w:val="000000"/>
                <w:sz w:val="14"/>
                <w:szCs w:val="14"/>
              </w:rPr>
            </w:pP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Stand Voorjaarsnota 2015 (subtotaal)</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r>
      <w:tr w:rsidRPr="005E7EAC" w:rsidR="00C245F8" w:rsidTr="00C245F8">
        <w:trPr>
          <w:trHeight w:val="240"/>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Totaal Internationale samenwerking</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0,0</w:t>
            </w:r>
          </w:p>
        </w:tc>
      </w:tr>
      <w:tr w:rsidRPr="005E7EAC" w:rsidR="00C245F8" w:rsidTr="00C245F8">
        <w:trPr>
          <w:trHeight w:val="225"/>
        </w:trPr>
        <w:tc>
          <w:tcPr>
            <w:tcW w:w="2715" w:type="pct"/>
            <w:tcBorders>
              <w:top w:val="nil"/>
              <w:left w:val="nil"/>
              <w:bottom w:val="nil"/>
              <w:right w:val="nil"/>
            </w:tcBorders>
            <w:shd w:val="clear" w:color="auto" w:fill="auto"/>
            <w:tcMar>
              <w:top w:w="19" w:type="dxa"/>
              <w:left w:w="19" w:type="dxa"/>
              <w:bottom w:w="0" w:type="dxa"/>
              <w:right w:w="19" w:type="dxa"/>
            </w:tcMar>
            <w:hideMark/>
          </w:tcPr>
          <w:p w:rsidRPr="005E7EAC" w:rsidR="00C245F8" w:rsidRDefault="00C245F8">
            <w:pPr>
              <w:rPr>
                <w:rFonts w:ascii="Verdana" w:hAnsi="Verdana"/>
                <w:color w:val="000000"/>
                <w:sz w:val="18"/>
                <w:szCs w:val="18"/>
              </w:rPr>
            </w:pPr>
            <w:r w:rsidRPr="005E7EAC">
              <w:rPr>
                <w:rFonts w:ascii="Verdana" w:hAnsi="Verdana"/>
                <w:color w:val="000000"/>
                <w:sz w:val="18"/>
                <w:szCs w:val="18"/>
              </w:rPr>
              <w:t>Stand Voorjaarsnota 2015</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c>
          <w:tcPr>
            <w:tcW w:w="457"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C245F8" w:rsidRDefault="00C245F8">
            <w:pPr>
              <w:jc w:val="right"/>
              <w:rPr>
                <w:rFonts w:ascii="Verdana" w:hAnsi="Verdana"/>
                <w:color w:val="000000"/>
                <w:sz w:val="18"/>
                <w:szCs w:val="18"/>
              </w:rPr>
            </w:pPr>
            <w:r w:rsidRPr="005E7EAC">
              <w:rPr>
                <w:rFonts w:ascii="Verdana" w:hAnsi="Verdana"/>
                <w:color w:val="000000"/>
                <w:sz w:val="18"/>
                <w:szCs w:val="18"/>
              </w:rPr>
              <w:t>5,7</w:t>
            </w:r>
          </w:p>
        </w:tc>
      </w:tr>
    </w:tbl>
    <w:p w:rsidRPr="005E7EAC" w:rsidR="00C245F8" w:rsidP="00C245F8" w:rsidRDefault="00C245F8">
      <w:pPr>
        <w:spacing w:line="240" w:lineRule="exact"/>
        <w:rPr>
          <w:rFonts w:ascii="Verdana" w:hAnsi="Verdana"/>
          <w:b/>
          <w:sz w:val="18"/>
          <w:szCs w:val="18"/>
        </w:rPr>
      </w:pPr>
      <w:r w:rsidRPr="005E7EAC">
        <w:rPr>
          <w:rFonts w:ascii="Verdana" w:hAnsi="Verdana"/>
          <w:b/>
          <w:sz w:val="18"/>
          <w:szCs w:val="18"/>
        </w:rPr>
        <w:t xml:space="preserve"> </w:t>
      </w:r>
    </w:p>
    <w:p w:rsidRPr="005E7EAC" w:rsidR="00C245F8" w:rsidP="00C245F8" w:rsidRDefault="00C245F8">
      <w:pPr>
        <w:spacing w:line="240" w:lineRule="exact"/>
        <w:rPr>
          <w:rFonts w:ascii="Verdana" w:hAnsi="Verdana"/>
          <w:i/>
          <w:sz w:val="18"/>
          <w:szCs w:val="18"/>
        </w:rPr>
      </w:pPr>
    </w:p>
    <w:p w:rsidRPr="005E7EAC" w:rsidR="00C245F8" w:rsidP="00C245F8" w:rsidRDefault="00C245F8">
      <w:pPr>
        <w:spacing w:line="240" w:lineRule="exact"/>
        <w:rPr>
          <w:rFonts w:ascii="Verdana" w:hAnsi="Verdana"/>
          <w:i/>
          <w:sz w:val="18"/>
          <w:szCs w:val="18"/>
        </w:rPr>
      </w:pPr>
      <w:r w:rsidRPr="005E7EAC">
        <w:rPr>
          <w:rFonts w:ascii="Verdana" w:hAnsi="Verdana"/>
          <w:i/>
          <w:sz w:val="18"/>
          <w:szCs w:val="18"/>
        </w:rPr>
        <w:t xml:space="preserve">Diversen </w:t>
      </w:r>
      <w:r w:rsidRPr="005E7EAC" w:rsidR="001D5485">
        <w:rPr>
          <w:rFonts w:ascii="Verdana" w:hAnsi="Verdana"/>
          <w:i/>
          <w:sz w:val="18"/>
          <w:szCs w:val="18"/>
        </w:rPr>
        <w:t>(</w:t>
      </w:r>
      <w:r w:rsidRPr="005E7EAC">
        <w:rPr>
          <w:rFonts w:ascii="Verdana" w:hAnsi="Verdana"/>
          <w:i/>
          <w:sz w:val="18"/>
          <w:szCs w:val="18"/>
        </w:rPr>
        <w:t>beleidsmatige mutaties</w:t>
      </w:r>
      <w:r w:rsidRPr="005E7EAC" w:rsidR="001D5485">
        <w:rPr>
          <w:rFonts w:ascii="Verdana" w:hAnsi="Verdana"/>
          <w:i/>
          <w:sz w:val="18"/>
          <w:szCs w:val="18"/>
        </w:rPr>
        <w:t>)</w:t>
      </w:r>
    </w:p>
    <w:p w:rsidRPr="005E7EAC" w:rsidR="00C245F8" w:rsidP="00C245F8" w:rsidRDefault="00C245F8">
      <w:pPr>
        <w:spacing w:line="240" w:lineRule="exact"/>
        <w:rPr>
          <w:rFonts w:ascii="Verdana" w:hAnsi="Verdana"/>
          <w:sz w:val="18"/>
          <w:szCs w:val="18"/>
        </w:rPr>
      </w:pPr>
      <w:r w:rsidRPr="005E7EAC">
        <w:rPr>
          <w:rFonts w:ascii="Verdana" w:hAnsi="Verdana"/>
          <w:sz w:val="18"/>
          <w:szCs w:val="18"/>
        </w:rPr>
        <w:t xml:space="preserve">De Kanselarij der Nederlandse Orden maakt gebruik van een verouderd ICT-systeem </w:t>
      </w:r>
      <w:r w:rsidRPr="005E7EAC" w:rsidR="001D5485">
        <w:rPr>
          <w:rFonts w:ascii="Verdana" w:hAnsi="Verdana"/>
          <w:sz w:val="18"/>
          <w:szCs w:val="18"/>
        </w:rPr>
        <w:t>voor de aanvraag van decoraties</w:t>
      </w:r>
      <w:r w:rsidRPr="005E7EAC">
        <w:rPr>
          <w:rFonts w:ascii="Verdana" w:hAnsi="Verdana"/>
          <w:sz w:val="18"/>
          <w:szCs w:val="18"/>
        </w:rPr>
        <w:t>. Dit systeem wordt vervangen.</w:t>
      </w:r>
    </w:p>
    <w:p w:rsidRPr="005E7EAC" w:rsidR="005654F4" w:rsidRDefault="005654F4">
      <w:pPr>
        <w:spacing w:after="200" w:line="276" w:lineRule="auto"/>
        <w:rPr>
          <w:rFonts w:ascii="Verdana" w:hAnsi="Verdana"/>
          <w:b/>
          <w:sz w:val="18"/>
          <w:szCs w:val="18"/>
        </w:rPr>
      </w:pPr>
      <w:r w:rsidRPr="005E7EAC">
        <w:rPr>
          <w:rFonts w:ascii="Verdana" w:hAnsi="Verdana"/>
          <w:b/>
          <w:sz w:val="18"/>
          <w:szCs w:val="18"/>
        </w:rPr>
        <w:br w:type="page"/>
      </w:r>
    </w:p>
    <w:p w:rsidRPr="005E7EAC" w:rsidR="002065F2" w:rsidP="00E16284" w:rsidRDefault="00A87C9C">
      <w:pPr>
        <w:rPr>
          <w:szCs w:val="18"/>
        </w:rPr>
      </w:pPr>
      <w:r w:rsidRPr="005E7EAC">
        <w:rPr>
          <w:rFonts w:ascii="Verdana" w:hAnsi="Verdana"/>
          <w:b/>
          <w:sz w:val="18"/>
          <w:szCs w:val="18"/>
        </w:rPr>
        <w:lastRenderedPageBreak/>
        <w:t xml:space="preserve">III </w:t>
      </w:r>
      <w:r w:rsidRPr="005E7EAC" w:rsidR="00457E12">
        <w:rPr>
          <w:rFonts w:ascii="Verdana" w:hAnsi="Verdana"/>
          <w:b/>
          <w:sz w:val="18"/>
          <w:szCs w:val="18"/>
        </w:rPr>
        <w:t>Algemene Zaken</w:t>
      </w:r>
      <w:r w:rsidRPr="005E7EAC" w:rsidR="002065F2">
        <w:rPr>
          <w:szCs w:val="18"/>
        </w:rPr>
        <w:t xml:space="preserve"> </w:t>
      </w:r>
    </w:p>
    <w:p w:rsidRPr="005E7EAC" w:rsidR="000F6ED0" w:rsidP="000F7AC1" w:rsidRDefault="000F6ED0">
      <w:pPr>
        <w:spacing w:line="240" w:lineRule="exact"/>
        <w:rPr>
          <w:rFonts w:ascii="Verdana" w:hAnsi="Verdana"/>
          <w:b/>
          <w:sz w:val="18"/>
          <w:szCs w:val="18"/>
        </w:rPr>
      </w:pPr>
    </w:p>
    <w:tbl>
      <w:tblPr>
        <w:tblW w:w="5000" w:type="pct"/>
        <w:tblCellMar>
          <w:left w:w="70" w:type="dxa"/>
          <w:right w:w="70" w:type="dxa"/>
        </w:tblCellMar>
        <w:tblLook w:val="04A0"/>
      </w:tblPr>
      <w:tblGrid>
        <w:gridCol w:w="5362"/>
        <w:gridCol w:w="770"/>
        <w:gridCol w:w="770"/>
        <w:gridCol w:w="770"/>
        <w:gridCol w:w="770"/>
        <w:gridCol w:w="770"/>
      </w:tblGrid>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UITGAVEN</w:t>
            </w: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r>
      <w:tr w:rsidRPr="005E7EAC" w:rsidR="00FA0AA9" w:rsidTr="00FA0AA9">
        <w:trPr>
          <w:trHeight w:val="240"/>
        </w:trPr>
        <w:tc>
          <w:tcPr>
            <w:tcW w:w="2909"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 </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2015</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2016</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2017</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2018</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2019</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Stand Miljoenennota 2015 (excl. IS)</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62,8</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62,5</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62,2</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60,8</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60,8</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Beleidsmatige mutaties</w:t>
            </w: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1,1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1,1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Technische mutaties</w:t>
            </w: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1,1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1,1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r>
      <w:tr w:rsidRPr="005E7EAC" w:rsidR="00FA0AA9" w:rsidTr="00FA0AA9">
        <w:trPr>
          <w:trHeight w:val="180"/>
        </w:trPr>
        <w:tc>
          <w:tcPr>
            <w:tcW w:w="2909"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2,2</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0,7</w:t>
            </w: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Stand Voorjaarsnota 2015 (subtotaal)</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65,1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63,2</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62,9</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61,5</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61,6</w:t>
            </w: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Totaal Internationale samenwerking</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Stand Voorjaarsnota 2015</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65,1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63,2</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62,9</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61,5</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61,6</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NIET-BELASTINGONTVANGSTEN</w:t>
            </w: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r>
      <w:tr w:rsidRPr="005E7EAC" w:rsidR="00FA0AA9" w:rsidTr="00FA0AA9">
        <w:trPr>
          <w:trHeight w:val="240"/>
        </w:trPr>
        <w:tc>
          <w:tcPr>
            <w:tcW w:w="2909"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 </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2015</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2016</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2017</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2018</w:t>
            </w:r>
          </w:p>
        </w:tc>
        <w:tc>
          <w:tcPr>
            <w:tcW w:w="418" w:type="pct"/>
            <w:tcBorders>
              <w:top w:val="single" w:color="000000" w:sz="8" w:space="0"/>
              <w:left w:val="nil"/>
              <w:bottom w:val="single" w:color="000000" w:sz="8" w:space="0"/>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2019</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Stand Miljoenennota 2015 (excl. IS)</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6,6</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6,6</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6,6</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6,6</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6,6</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Beleidsmatige mutaties</w:t>
            </w: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Technische mutaties</w:t>
            </w: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0,3</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0,3</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r>
      <w:tr w:rsidRPr="005E7EAC" w:rsidR="00FA0AA9" w:rsidTr="00FA0AA9">
        <w:trPr>
          <w:trHeight w:val="180"/>
        </w:trPr>
        <w:tc>
          <w:tcPr>
            <w:tcW w:w="2909"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0,4</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0,1</w:t>
            </w: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FA0AA9" w:rsidP="00FA0AA9" w:rsidRDefault="00FA0AA9">
            <w:pPr>
              <w:rPr>
                <w:rFonts w:ascii="Verdana" w:hAnsi="Verdana"/>
                <w:color w:val="000000"/>
                <w:sz w:val="14"/>
                <w:szCs w:val="14"/>
              </w:rPr>
            </w:pP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Stand Voorjaarsnota 2015 (subtotaal)</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7,1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6,7</w:t>
            </w:r>
          </w:p>
        </w:tc>
      </w:tr>
      <w:tr w:rsidRPr="005E7EAC" w:rsidR="00FA0AA9" w:rsidTr="00FA0AA9">
        <w:trPr>
          <w:trHeight w:val="240"/>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Totaal Internationale samenwerking</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0,0</w:t>
            </w:r>
          </w:p>
        </w:tc>
      </w:tr>
      <w:tr w:rsidRPr="005E7EAC" w:rsidR="00FA0AA9" w:rsidTr="00FA0AA9">
        <w:trPr>
          <w:trHeight w:val="225"/>
        </w:trPr>
        <w:tc>
          <w:tcPr>
            <w:tcW w:w="2909" w:type="pct"/>
            <w:tcBorders>
              <w:top w:val="nil"/>
              <w:left w:val="nil"/>
              <w:bottom w:val="nil"/>
              <w:right w:val="nil"/>
            </w:tcBorders>
            <w:shd w:val="clear" w:color="auto" w:fill="auto"/>
            <w:hideMark/>
          </w:tcPr>
          <w:p w:rsidRPr="005E7EAC" w:rsidR="00FA0AA9" w:rsidP="00FA0AA9" w:rsidRDefault="00FA0AA9">
            <w:pPr>
              <w:rPr>
                <w:rFonts w:ascii="Verdana" w:hAnsi="Verdana"/>
                <w:color w:val="000000"/>
                <w:sz w:val="18"/>
                <w:szCs w:val="18"/>
              </w:rPr>
            </w:pPr>
            <w:r w:rsidRPr="005E7EAC">
              <w:rPr>
                <w:rFonts w:ascii="Verdana" w:hAnsi="Verdana"/>
                <w:color w:val="000000"/>
                <w:sz w:val="18"/>
                <w:szCs w:val="18"/>
              </w:rPr>
              <w:t>Stand Voorjaarsnota 2015</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7,1</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6,7</w:t>
            </w:r>
          </w:p>
        </w:tc>
        <w:tc>
          <w:tcPr>
            <w:tcW w:w="418" w:type="pct"/>
            <w:tcBorders>
              <w:top w:val="single" w:color="000000" w:sz="8" w:space="0"/>
              <w:left w:val="nil"/>
              <w:bottom w:val="nil"/>
              <w:right w:val="nil"/>
            </w:tcBorders>
            <w:shd w:val="clear" w:color="auto" w:fill="auto"/>
            <w:hideMark/>
          </w:tcPr>
          <w:p w:rsidRPr="005E7EAC" w:rsidR="00FA0AA9" w:rsidP="00FA0AA9" w:rsidRDefault="00FA0AA9">
            <w:pPr>
              <w:jc w:val="right"/>
              <w:rPr>
                <w:rFonts w:ascii="Verdana" w:hAnsi="Verdana"/>
                <w:color w:val="000000"/>
                <w:sz w:val="18"/>
                <w:szCs w:val="18"/>
              </w:rPr>
            </w:pPr>
            <w:r w:rsidRPr="005E7EAC">
              <w:rPr>
                <w:rFonts w:ascii="Verdana" w:hAnsi="Verdana"/>
                <w:color w:val="000000"/>
                <w:sz w:val="18"/>
                <w:szCs w:val="18"/>
              </w:rPr>
              <w:t>6,7</w:t>
            </w:r>
          </w:p>
        </w:tc>
      </w:tr>
    </w:tbl>
    <w:p w:rsidRPr="005E7EAC" w:rsidR="005654F4" w:rsidRDefault="005654F4">
      <w:pPr>
        <w:spacing w:after="200" w:line="276" w:lineRule="auto"/>
        <w:rPr>
          <w:rFonts w:ascii="Verdana" w:hAnsi="Verdana"/>
          <w:b/>
          <w:sz w:val="18"/>
          <w:szCs w:val="18"/>
        </w:rPr>
      </w:pPr>
      <w:r w:rsidRPr="005E7EAC">
        <w:rPr>
          <w:rFonts w:ascii="Verdana" w:hAnsi="Verdana"/>
          <w:b/>
          <w:sz w:val="18"/>
          <w:szCs w:val="18"/>
        </w:rPr>
        <w:br w:type="page"/>
      </w:r>
    </w:p>
    <w:p w:rsidRPr="005E7EAC" w:rsidR="00464A79" w:rsidP="00E16284" w:rsidRDefault="00A87C9C">
      <w:pPr>
        <w:rPr>
          <w:rFonts w:ascii="Verdana" w:hAnsi="Verdana"/>
          <w:b/>
          <w:sz w:val="18"/>
          <w:szCs w:val="18"/>
        </w:rPr>
      </w:pPr>
      <w:r w:rsidRPr="005E7EAC">
        <w:rPr>
          <w:rFonts w:ascii="Verdana" w:hAnsi="Verdana"/>
          <w:b/>
          <w:sz w:val="18"/>
          <w:szCs w:val="18"/>
        </w:rPr>
        <w:lastRenderedPageBreak/>
        <w:t xml:space="preserve">IV </w:t>
      </w:r>
      <w:r w:rsidRPr="005E7EAC" w:rsidR="0017300C">
        <w:rPr>
          <w:rFonts w:ascii="Verdana" w:hAnsi="Verdana"/>
          <w:b/>
          <w:sz w:val="18"/>
          <w:szCs w:val="18"/>
        </w:rPr>
        <w:t>Koninkrijksrelaties</w:t>
      </w:r>
    </w:p>
    <w:p w:rsidRPr="005E7EAC" w:rsidR="00283BA1" w:rsidP="00283BA1" w:rsidRDefault="00283BA1">
      <w:pPr>
        <w:spacing w:line="276" w:lineRule="auto"/>
        <w:rPr>
          <w:rFonts w:ascii="Verdana" w:hAnsi="Verdana"/>
          <w:b/>
          <w:sz w:val="18"/>
          <w:szCs w:val="18"/>
        </w:rPr>
      </w:pPr>
    </w:p>
    <w:tbl>
      <w:tblPr>
        <w:tblW w:w="5000" w:type="pct"/>
        <w:tblCellMar>
          <w:left w:w="70" w:type="dxa"/>
          <w:right w:w="70" w:type="dxa"/>
        </w:tblCellMar>
        <w:tblLook w:val="04A0"/>
      </w:tblPr>
      <w:tblGrid>
        <w:gridCol w:w="5002"/>
        <w:gridCol w:w="842"/>
        <w:gridCol w:w="842"/>
        <w:gridCol w:w="842"/>
        <w:gridCol w:w="842"/>
        <w:gridCol w:w="842"/>
      </w:tblGrid>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UITGAVEN</w:t>
            </w: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r>
      <w:tr w:rsidRPr="005E7EAC" w:rsidR="00E0032D" w:rsidTr="00E0032D">
        <w:trPr>
          <w:trHeight w:val="240"/>
        </w:trPr>
        <w:tc>
          <w:tcPr>
            <w:tcW w:w="2715"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 </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2015</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2016</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2017</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2018</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2019</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Stand Miljoenennota 2015 (excl. IS)</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258,9</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241,5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276,4</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258,5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114,2</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Beleidsmatige mutaties</w:t>
            </w: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-9,1</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7,5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7,4</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1,3</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0,9</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-9,1</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7,5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7,4</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1,3</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0,9</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Technische mutaties</w:t>
            </w: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13,6</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0,3</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0,8</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1,0</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ind w:firstLine="360" w:firstLineChars="200"/>
              <w:rPr>
                <w:rFonts w:ascii="Verdana" w:hAnsi="Verdana"/>
                <w:color w:val="000000"/>
                <w:sz w:val="18"/>
                <w:szCs w:val="18"/>
              </w:rPr>
            </w:pPr>
            <w:r w:rsidRPr="005E7EAC">
              <w:rPr>
                <w:rFonts w:ascii="Verdana" w:hAnsi="Verdana"/>
                <w:color w:val="000000"/>
                <w:sz w:val="18"/>
                <w:szCs w:val="18"/>
              </w:rPr>
              <w:t>Lopende inschrijving curacao</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129,6</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143,2</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0,3</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0,8</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0,6</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1,0</w:t>
            </w:r>
          </w:p>
        </w:tc>
      </w:tr>
      <w:tr w:rsidRPr="005E7EAC" w:rsidR="00E0032D" w:rsidTr="00E0032D">
        <w:trPr>
          <w:trHeight w:val="180"/>
        </w:trPr>
        <w:tc>
          <w:tcPr>
            <w:tcW w:w="2715"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134,0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7,8</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8,2</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1,9</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1,9</w:t>
            </w:r>
          </w:p>
        </w:tc>
      </w:tr>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Stand Voorjaarsnota 2015 (subtotaal)</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392,9</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249,3</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284,5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260,4</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116,1</w:t>
            </w:r>
          </w:p>
        </w:tc>
      </w:tr>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Totaal Internationale samenwerking</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Stand Voorjaarsnota 2015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392,9</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249,3</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284,5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260,4</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116,1</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r>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NIET-BELASTINGONTVANGSTEN</w:t>
            </w: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r>
      <w:tr w:rsidRPr="005E7EAC" w:rsidR="00E0032D" w:rsidTr="00E0032D">
        <w:trPr>
          <w:trHeight w:val="240"/>
        </w:trPr>
        <w:tc>
          <w:tcPr>
            <w:tcW w:w="2715"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 </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2015</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2016</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2017</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2018</w:t>
            </w:r>
          </w:p>
        </w:tc>
        <w:tc>
          <w:tcPr>
            <w:tcW w:w="457" w:type="pct"/>
            <w:tcBorders>
              <w:top w:val="single" w:color="000000" w:sz="8" w:space="0"/>
              <w:left w:val="nil"/>
              <w:bottom w:val="single" w:color="000000" w:sz="8" w:space="0"/>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2019</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Stand Miljoenennota 2015 (excl. IS)</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Technische mutaties</w:t>
            </w: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12,1</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12,1</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r>
      <w:tr w:rsidRPr="005E7EAC" w:rsidR="00E0032D" w:rsidTr="00E0032D">
        <w:trPr>
          <w:trHeight w:val="180"/>
        </w:trPr>
        <w:tc>
          <w:tcPr>
            <w:tcW w:w="2715"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12,1</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r>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E0032D" w:rsidP="00E0032D" w:rsidRDefault="00E0032D">
            <w:pPr>
              <w:rPr>
                <w:rFonts w:ascii="Verdana" w:hAnsi="Verdana"/>
                <w:color w:val="000000"/>
                <w:sz w:val="14"/>
                <w:szCs w:val="14"/>
              </w:rPr>
            </w:pP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Stand Voorjaarsnota 2015 (subtotaal)</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48,6</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r>
      <w:tr w:rsidRPr="005E7EAC" w:rsidR="00E0032D" w:rsidTr="00E0032D">
        <w:trPr>
          <w:trHeight w:val="240"/>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Totaal Internationale samenwerking</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0,0</w:t>
            </w:r>
          </w:p>
        </w:tc>
      </w:tr>
      <w:tr w:rsidRPr="005E7EAC" w:rsidR="00E0032D" w:rsidTr="00E0032D">
        <w:trPr>
          <w:trHeight w:val="225"/>
        </w:trPr>
        <w:tc>
          <w:tcPr>
            <w:tcW w:w="2715" w:type="pct"/>
            <w:tcBorders>
              <w:top w:val="nil"/>
              <w:left w:val="nil"/>
              <w:bottom w:val="nil"/>
              <w:right w:val="nil"/>
            </w:tcBorders>
            <w:shd w:val="clear" w:color="auto" w:fill="auto"/>
            <w:hideMark/>
          </w:tcPr>
          <w:p w:rsidRPr="005E7EAC" w:rsidR="00E0032D" w:rsidP="00E0032D" w:rsidRDefault="00E0032D">
            <w:pPr>
              <w:rPr>
                <w:rFonts w:ascii="Verdana" w:hAnsi="Verdana"/>
                <w:color w:val="000000"/>
                <w:sz w:val="18"/>
                <w:szCs w:val="18"/>
              </w:rPr>
            </w:pPr>
            <w:r w:rsidRPr="005E7EAC">
              <w:rPr>
                <w:rFonts w:ascii="Verdana" w:hAnsi="Verdana"/>
                <w:color w:val="000000"/>
                <w:sz w:val="18"/>
                <w:szCs w:val="18"/>
              </w:rPr>
              <w:t>Stand Voorjaarsnota 2015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48,6</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c>
          <w:tcPr>
            <w:tcW w:w="457" w:type="pct"/>
            <w:tcBorders>
              <w:top w:val="single" w:color="000000" w:sz="8" w:space="0"/>
              <w:left w:val="nil"/>
              <w:bottom w:val="nil"/>
              <w:right w:val="nil"/>
            </w:tcBorders>
            <w:shd w:val="clear" w:color="auto" w:fill="auto"/>
            <w:hideMark/>
          </w:tcPr>
          <w:p w:rsidRPr="005E7EAC" w:rsidR="00E0032D" w:rsidP="00E0032D" w:rsidRDefault="00E0032D">
            <w:pPr>
              <w:jc w:val="right"/>
              <w:rPr>
                <w:rFonts w:ascii="Verdana" w:hAnsi="Verdana"/>
                <w:color w:val="000000"/>
                <w:sz w:val="18"/>
                <w:szCs w:val="18"/>
              </w:rPr>
            </w:pPr>
            <w:r w:rsidRPr="005E7EAC">
              <w:rPr>
                <w:rFonts w:ascii="Verdana" w:hAnsi="Verdana"/>
                <w:color w:val="000000"/>
                <w:sz w:val="18"/>
                <w:szCs w:val="18"/>
              </w:rPr>
              <w:t>36,5</w:t>
            </w:r>
          </w:p>
        </w:tc>
      </w:tr>
    </w:tbl>
    <w:p w:rsidRPr="005E7EAC" w:rsidR="004032A8" w:rsidP="00E0032D" w:rsidRDefault="004032A8">
      <w:pPr>
        <w:spacing w:line="240" w:lineRule="exact"/>
        <w:rPr>
          <w:rFonts w:ascii="Verdana" w:hAnsi="Verdana"/>
          <w:i/>
          <w:sz w:val="18"/>
          <w:szCs w:val="18"/>
        </w:rPr>
      </w:pPr>
    </w:p>
    <w:p w:rsidRPr="005E7EAC" w:rsidR="00E0032D" w:rsidP="00E0032D" w:rsidRDefault="00E0032D">
      <w:pPr>
        <w:spacing w:line="240" w:lineRule="exact"/>
        <w:rPr>
          <w:rFonts w:ascii="Verdana" w:hAnsi="Verdana"/>
          <w:i/>
          <w:sz w:val="18"/>
          <w:szCs w:val="18"/>
        </w:rPr>
      </w:pPr>
    </w:p>
    <w:p w:rsidRPr="005E7EAC" w:rsidR="00E0032D" w:rsidP="00E0032D" w:rsidRDefault="00E0032D">
      <w:pPr>
        <w:spacing w:line="240" w:lineRule="exact"/>
        <w:rPr>
          <w:rFonts w:ascii="Verdana" w:hAnsi="Verdana"/>
          <w:i/>
          <w:sz w:val="18"/>
          <w:szCs w:val="18"/>
        </w:rPr>
      </w:pPr>
      <w:r w:rsidRPr="005E7EAC">
        <w:rPr>
          <w:rFonts w:ascii="Verdana" w:hAnsi="Verdana"/>
          <w:i/>
          <w:sz w:val="18"/>
          <w:szCs w:val="18"/>
        </w:rPr>
        <w:t xml:space="preserve">Diversen </w:t>
      </w:r>
      <w:r w:rsidRPr="005E7EAC" w:rsidR="001D1915">
        <w:rPr>
          <w:rFonts w:ascii="Verdana" w:hAnsi="Verdana"/>
          <w:i/>
          <w:sz w:val="18"/>
          <w:szCs w:val="18"/>
        </w:rPr>
        <w:t>(</w:t>
      </w:r>
      <w:r w:rsidRPr="005E7EAC">
        <w:rPr>
          <w:rFonts w:ascii="Verdana" w:hAnsi="Verdana"/>
          <w:i/>
          <w:sz w:val="18"/>
          <w:szCs w:val="18"/>
        </w:rPr>
        <w:t>beleidsmatige en technische mutaties</w:t>
      </w:r>
      <w:r w:rsidRPr="005E7EAC" w:rsidR="001D1915">
        <w:rPr>
          <w:rFonts w:ascii="Verdana" w:hAnsi="Verdana"/>
          <w:i/>
          <w:sz w:val="18"/>
          <w:szCs w:val="18"/>
        </w:rPr>
        <w:t>,</w:t>
      </w:r>
      <w:r w:rsidRPr="005E7EAC">
        <w:rPr>
          <w:rFonts w:ascii="Verdana" w:hAnsi="Verdana"/>
          <w:i/>
          <w:sz w:val="18"/>
          <w:szCs w:val="18"/>
        </w:rPr>
        <w:t xml:space="preserve"> uitgaven</w:t>
      </w:r>
      <w:r w:rsidRPr="005E7EAC" w:rsidR="001D1915">
        <w:rPr>
          <w:rFonts w:ascii="Verdana" w:hAnsi="Verdana"/>
          <w:i/>
          <w:sz w:val="18"/>
          <w:szCs w:val="18"/>
        </w:rPr>
        <w:t>)</w:t>
      </w:r>
      <w:r w:rsidRPr="005E7EAC">
        <w:rPr>
          <w:rFonts w:ascii="Verdana" w:hAnsi="Verdana"/>
          <w:i/>
          <w:sz w:val="18"/>
          <w:szCs w:val="18"/>
        </w:rPr>
        <w:t xml:space="preserve"> </w:t>
      </w:r>
    </w:p>
    <w:p w:rsidRPr="005E7EAC" w:rsidR="00E0032D" w:rsidP="00E0032D" w:rsidRDefault="00E0032D">
      <w:pPr>
        <w:spacing w:line="240" w:lineRule="exact"/>
        <w:rPr>
          <w:rFonts w:ascii="Verdana" w:hAnsi="Verdana"/>
          <w:sz w:val="18"/>
          <w:szCs w:val="18"/>
        </w:rPr>
      </w:pPr>
      <w:r w:rsidRPr="005E7EAC">
        <w:rPr>
          <w:rFonts w:ascii="Verdana" w:hAnsi="Verdana"/>
          <w:sz w:val="18"/>
          <w:szCs w:val="18"/>
        </w:rPr>
        <w:t xml:space="preserve">Er is besloten tot de oprichting van een Integriteitsautoriteit Sint Maarten. Tevens wordt ingezet op de aanpak van acute knelpunten in de rechtshandhaving op Sint Maarten en op versterking van kinderrechten, ter uitvoering van het amendement Van Laar/Segers (kamerstuk 34000-IV-9). </w:t>
      </w:r>
    </w:p>
    <w:p w:rsidRPr="005E7EAC" w:rsidR="00E0032D" w:rsidP="00E0032D" w:rsidRDefault="00E0032D">
      <w:pPr>
        <w:spacing w:line="240" w:lineRule="exact"/>
        <w:rPr>
          <w:rFonts w:ascii="Verdana" w:hAnsi="Verdana"/>
          <w:i/>
          <w:sz w:val="18"/>
          <w:szCs w:val="18"/>
        </w:rPr>
      </w:pPr>
    </w:p>
    <w:p w:rsidRPr="005E7EAC" w:rsidR="00E0032D" w:rsidP="00E0032D" w:rsidRDefault="00E0032D">
      <w:pPr>
        <w:spacing w:line="240" w:lineRule="exact"/>
        <w:rPr>
          <w:rFonts w:ascii="Verdana" w:hAnsi="Verdana"/>
          <w:i/>
          <w:sz w:val="18"/>
          <w:szCs w:val="18"/>
        </w:rPr>
      </w:pPr>
      <w:r w:rsidRPr="005E7EAC">
        <w:rPr>
          <w:rFonts w:ascii="Verdana" w:hAnsi="Verdana"/>
          <w:i/>
          <w:sz w:val="18"/>
          <w:szCs w:val="18"/>
        </w:rPr>
        <w:t>Lopende inschrijving Curaçao</w:t>
      </w:r>
    </w:p>
    <w:p w:rsidRPr="005E7EAC" w:rsidR="00E0032D" w:rsidP="00E0032D" w:rsidRDefault="00E0032D">
      <w:pPr>
        <w:spacing w:line="240" w:lineRule="exact"/>
        <w:rPr>
          <w:rFonts w:ascii="Verdana" w:hAnsi="Verdana"/>
          <w:sz w:val="18"/>
          <w:szCs w:val="18"/>
        </w:rPr>
      </w:pPr>
      <w:r w:rsidRPr="005E7EAC">
        <w:rPr>
          <w:rFonts w:ascii="Verdana" w:hAnsi="Verdana"/>
          <w:sz w:val="18"/>
          <w:szCs w:val="18"/>
        </w:rPr>
        <w:t xml:space="preserve">De landen Curaçao en Sint Maarten hebben op grond van de Rijkswet Financieel toezicht de mogelijkheid om, via een lopende inschrijving met Nederland, leningen voor investeringen aan te gaan. De geldleningen waarop Nederland inschrijft dienen te voldoen aan de normen en criteria van de Rijkswet, zoals een positief advies van het College financieel toezicht. Voor Curaçao is een leenaanvraag ingewilligd van ANG 267 mln. (€ 129,6 mln.) voor de 2e tranche van het nieuwe ziekenhuis (ANG 187 mln.) en voor overige investeringen (ANG 80 mln.). </w:t>
      </w:r>
    </w:p>
    <w:p w:rsidRPr="005E7EAC" w:rsidR="004032A8" w:rsidRDefault="004032A8">
      <w:pPr>
        <w:spacing w:after="200" w:line="276" w:lineRule="auto"/>
        <w:rPr>
          <w:rFonts w:ascii="Verdana" w:hAnsi="Verdana"/>
          <w:b/>
          <w:sz w:val="18"/>
          <w:szCs w:val="18"/>
        </w:rPr>
      </w:pPr>
      <w:r w:rsidRPr="005E7EAC">
        <w:rPr>
          <w:rFonts w:ascii="Verdana" w:hAnsi="Verdana"/>
          <w:b/>
          <w:sz w:val="18"/>
          <w:szCs w:val="18"/>
        </w:rPr>
        <w:br w:type="page"/>
      </w:r>
    </w:p>
    <w:p w:rsidRPr="005E7EAC" w:rsidR="00435346" w:rsidP="00E16284" w:rsidRDefault="00A87C9C">
      <w:pPr>
        <w:rPr>
          <w:rFonts w:ascii="Verdana" w:hAnsi="Verdana" w:eastAsia="Calibri"/>
          <w:sz w:val="18"/>
          <w:szCs w:val="18"/>
        </w:rPr>
      </w:pPr>
      <w:r w:rsidRPr="005E7EAC">
        <w:rPr>
          <w:rFonts w:ascii="Verdana" w:hAnsi="Verdana"/>
          <w:b/>
          <w:sz w:val="18"/>
          <w:szCs w:val="18"/>
        </w:rPr>
        <w:lastRenderedPageBreak/>
        <w:t xml:space="preserve">V </w:t>
      </w:r>
      <w:r w:rsidRPr="005E7EAC" w:rsidR="00174971">
        <w:rPr>
          <w:rFonts w:ascii="Verdana" w:hAnsi="Verdana"/>
          <w:b/>
          <w:sz w:val="18"/>
          <w:szCs w:val="18"/>
        </w:rPr>
        <w:t>Buitenlandse Zaken</w:t>
      </w:r>
      <w:r w:rsidRPr="005E7EAC" w:rsidR="00435346">
        <w:rPr>
          <w:rFonts w:ascii="Verdana" w:hAnsi="Verdana" w:eastAsia="Calibri"/>
          <w:sz w:val="18"/>
          <w:szCs w:val="18"/>
        </w:rPr>
        <w:t xml:space="preserve"> </w:t>
      </w:r>
    </w:p>
    <w:p w:rsidRPr="005E7EAC" w:rsidR="00A77074" w:rsidP="00927307" w:rsidRDefault="00A77074">
      <w:pPr>
        <w:spacing w:line="276" w:lineRule="auto"/>
        <w:rPr>
          <w:rFonts w:ascii="Verdana" w:hAnsi="Verdana"/>
          <w:b/>
          <w:sz w:val="18"/>
          <w:szCs w:val="18"/>
        </w:rPr>
      </w:pPr>
    </w:p>
    <w:tbl>
      <w:tblPr>
        <w:tblW w:w="5000" w:type="pct"/>
        <w:tblCellMar>
          <w:left w:w="70" w:type="dxa"/>
          <w:right w:w="70" w:type="dxa"/>
        </w:tblCellMar>
        <w:tblLook w:val="04A0"/>
      </w:tblPr>
      <w:tblGrid>
        <w:gridCol w:w="4376"/>
        <w:gridCol w:w="951"/>
        <w:gridCol w:w="1032"/>
        <w:gridCol w:w="951"/>
        <w:gridCol w:w="951"/>
        <w:gridCol w:w="951"/>
      </w:tblGrid>
      <w:tr w:rsidRPr="005E7EAC" w:rsidR="00100629" w:rsidTr="00100629">
        <w:trPr>
          <w:trHeight w:val="240"/>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UITGAVEN</w:t>
            </w: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60"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r>
      <w:tr w:rsidRPr="005E7EAC" w:rsidR="00100629" w:rsidTr="00100629">
        <w:trPr>
          <w:trHeight w:val="240"/>
        </w:trPr>
        <w:tc>
          <w:tcPr>
            <w:tcW w:w="2374"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 </w:t>
            </w:r>
          </w:p>
        </w:tc>
        <w:tc>
          <w:tcPr>
            <w:tcW w:w="516"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2015</w:t>
            </w:r>
          </w:p>
        </w:tc>
        <w:tc>
          <w:tcPr>
            <w:tcW w:w="560"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2016</w:t>
            </w:r>
          </w:p>
        </w:tc>
        <w:tc>
          <w:tcPr>
            <w:tcW w:w="516"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2017</w:t>
            </w:r>
          </w:p>
        </w:tc>
        <w:tc>
          <w:tcPr>
            <w:tcW w:w="516"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2018</w:t>
            </w:r>
          </w:p>
        </w:tc>
        <w:tc>
          <w:tcPr>
            <w:tcW w:w="516"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2019</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Stand Miljoenennota 2015 (excl. IS)</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6.479,0</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7.681,6</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7.635,7</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7.911,2</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8.120,2</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Beleidsmatige mutaties</w:t>
            </w: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ind w:firstLine="360" w:firstLineChars="200"/>
              <w:rPr>
                <w:rFonts w:ascii="Verdana" w:hAnsi="Verdana"/>
                <w:color w:val="000000"/>
                <w:sz w:val="18"/>
                <w:szCs w:val="18"/>
              </w:rPr>
            </w:pPr>
            <w:r w:rsidRPr="005E7EAC">
              <w:rPr>
                <w:rFonts w:ascii="Verdana" w:hAnsi="Verdana"/>
                <w:color w:val="000000"/>
                <w:sz w:val="18"/>
                <w:szCs w:val="18"/>
              </w:rPr>
              <w:t>Eu-afdrachten (overig)</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-182,7</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4478C3" w:rsidRDefault="00100629">
            <w:pPr>
              <w:ind w:firstLine="360" w:firstLineChars="200"/>
              <w:rPr>
                <w:rFonts w:ascii="Verdana" w:hAnsi="Verdana"/>
                <w:color w:val="000000"/>
                <w:sz w:val="18"/>
                <w:szCs w:val="18"/>
              </w:rPr>
            </w:pPr>
            <w:r w:rsidRPr="005E7EAC">
              <w:rPr>
                <w:rFonts w:ascii="Verdana" w:hAnsi="Verdana"/>
                <w:color w:val="000000"/>
                <w:sz w:val="18"/>
                <w:szCs w:val="18"/>
              </w:rPr>
              <w:t>Eu-afdrachten (terug</w:t>
            </w:r>
            <w:r w:rsidRPr="005E7EAC" w:rsidR="004478C3">
              <w:rPr>
                <w:rFonts w:ascii="Verdana" w:hAnsi="Verdana"/>
                <w:color w:val="000000"/>
                <w:sz w:val="18"/>
                <w:szCs w:val="18"/>
              </w:rPr>
              <w:t>ontvangst</w:t>
            </w:r>
            <w:r w:rsidRPr="005E7EAC">
              <w:rPr>
                <w:rFonts w:ascii="Verdana" w:hAnsi="Verdana"/>
                <w:color w:val="000000"/>
                <w:sz w:val="18"/>
                <w:szCs w:val="18"/>
              </w:rPr>
              <w:t xml:space="preserve"> naheffing)</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-460,7</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r>
      <w:tr w:rsidRPr="005E7EAC" w:rsidR="00100629" w:rsidTr="00100629">
        <w:trPr>
          <w:trHeight w:val="240"/>
        </w:trPr>
        <w:tc>
          <w:tcPr>
            <w:tcW w:w="2374" w:type="pct"/>
            <w:tcBorders>
              <w:top w:val="nil"/>
              <w:left w:val="nil"/>
              <w:bottom w:val="nil"/>
              <w:right w:val="nil"/>
            </w:tcBorders>
            <w:shd w:val="clear" w:color="auto" w:fill="auto"/>
            <w:hideMark/>
          </w:tcPr>
          <w:p w:rsidRPr="005E7EAC" w:rsidR="00100629" w:rsidP="00100629" w:rsidRDefault="00100629">
            <w:pPr>
              <w:ind w:firstLine="360" w:firstLineChars="200"/>
              <w:rPr>
                <w:rFonts w:ascii="Verdana" w:hAnsi="Verdana"/>
                <w:color w:val="000000"/>
                <w:sz w:val="18"/>
                <w:szCs w:val="18"/>
              </w:rPr>
            </w:pPr>
            <w:r w:rsidRPr="005E7EAC">
              <w:rPr>
                <w:rFonts w:ascii="Verdana" w:hAnsi="Verdana"/>
                <w:color w:val="000000"/>
                <w:sz w:val="18"/>
                <w:szCs w:val="18"/>
              </w:rPr>
              <w:t>Eu-afdrachten (vertraagde ratificatie)</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2.077,1</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-2.077,1</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1.433,7</w:t>
            </w:r>
          </w:p>
        </w:tc>
        <w:tc>
          <w:tcPr>
            <w:tcW w:w="560"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-2.077,1</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r>
      <w:tr w:rsidRPr="005E7EAC" w:rsidR="00100629" w:rsidTr="00100629">
        <w:trPr>
          <w:trHeight w:val="180"/>
        </w:trPr>
        <w:tc>
          <w:tcPr>
            <w:tcW w:w="2374"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1.433,</w:t>
            </w:r>
            <w:r w:rsidRPr="005E7EAC" w:rsidR="00CB333E">
              <w:rPr>
                <w:rFonts w:ascii="Verdana" w:hAnsi="Verdana"/>
                <w:color w:val="000000"/>
                <w:sz w:val="18"/>
                <w:szCs w:val="18"/>
              </w:rPr>
              <w:t>7</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-2.077,1</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r>
      <w:tr w:rsidRPr="005E7EAC" w:rsidR="00100629" w:rsidTr="00100629">
        <w:trPr>
          <w:trHeight w:val="240"/>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Stand Voorjaarsnota 2015 (subtotaal)</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7.912,6</w:t>
            </w:r>
          </w:p>
        </w:tc>
        <w:tc>
          <w:tcPr>
            <w:tcW w:w="560"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5.604,6</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7.635,7</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7.911,2</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8.120,2</w:t>
            </w:r>
          </w:p>
        </w:tc>
      </w:tr>
      <w:tr w:rsidRPr="005E7EAC" w:rsidR="00100629" w:rsidTr="00100629">
        <w:trPr>
          <w:trHeight w:val="240"/>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Totaal Internationale samenwerking</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1.401,4</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1.381,9</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1.333,4</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1.333,4</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1.338,3</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Stand Voorjaarsnota 2015</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9.314,1</w:t>
            </w:r>
          </w:p>
        </w:tc>
        <w:tc>
          <w:tcPr>
            <w:tcW w:w="560"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6.986,4</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8.969,1</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9.244,6</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9.458,5</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60"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r>
      <w:tr w:rsidRPr="005E7EAC" w:rsidR="00100629" w:rsidTr="00100629">
        <w:trPr>
          <w:trHeight w:val="240"/>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NIET-BELASTINGONTVANGSTEN</w:t>
            </w: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60"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r>
      <w:tr w:rsidRPr="005E7EAC" w:rsidR="00100629" w:rsidTr="00100629">
        <w:trPr>
          <w:trHeight w:val="240"/>
        </w:trPr>
        <w:tc>
          <w:tcPr>
            <w:tcW w:w="2374"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 </w:t>
            </w:r>
          </w:p>
        </w:tc>
        <w:tc>
          <w:tcPr>
            <w:tcW w:w="516"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2015</w:t>
            </w:r>
          </w:p>
        </w:tc>
        <w:tc>
          <w:tcPr>
            <w:tcW w:w="560"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2016</w:t>
            </w:r>
          </w:p>
        </w:tc>
        <w:tc>
          <w:tcPr>
            <w:tcW w:w="516"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2017</w:t>
            </w:r>
          </w:p>
        </w:tc>
        <w:tc>
          <w:tcPr>
            <w:tcW w:w="516"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2018</w:t>
            </w:r>
          </w:p>
        </w:tc>
        <w:tc>
          <w:tcPr>
            <w:tcW w:w="516" w:type="pct"/>
            <w:tcBorders>
              <w:top w:val="single" w:color="000000" w:sz="8" w:space="0"/>
              <w:left w:val="nil"/>
              <w:bottom w:val="single" w:color="000000" w:sz="8" w:space="0"/>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2019</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Stand Miljoenennota 2015 (excl. IS)</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413,7</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550,7</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561,9</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573,4</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585,0</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Beleidsmatige mutaties</w:t>
            </w: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r>
      <w:tr w:rsidRPr="005E7EAC" w:rsidR="00100629" w:rsidTr="00100629">
        <w:trPr>
          <w:trHeight w:val="240"/>
        </w:trPr>
        <w:tc>
          <w:tcPr>
            <w:tcW w:w="2374" w:type="pct"/>
            <w:tcBorders>
              <w:top w:val="nil"/>
              <w:left w:val="nil"/>
              <w:bottom w:val="nil"/>
              <w:right w:val="nil"/>
            </w:tcBorders>
            <w:shd w:val="clear" w:color="auto" w:fill="auto"/>
            <w:hideMark/>
          </w:tcPr>
          <w:p w:rsidRPr="005E7EAC" w:rsidR="00100629" w:rsidP="00100629" w:rsidRDefault="00100629">
            <w:pPr>
              <w:ind w:firstLine="360" w:firstLineChars="200"/>
              <w:rPr>
                <w:rFonts w:ascii="Verdana" w:hAnsi="Verdana"/>
                <w:color w:val="000000"/>
                <w:sz w:val="18"/>
                <w:szCs w:val="18"/>
              </w:rPr>
            </w:pPr>
            <w:r w:rsidRPr="005E7EAC">
              <w:rPr>
                <w:rFonts w:ascii="Verdana" w:hAnsi="Verdana"/>
                <w:color w:val="000000"/>
                <w:sz w:val="18"/>
                <w:szCs w:val="18"/>
              </w:rPr>
              <w:t>Eu-afdrachten (vertraagde ratificatie)</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260,9</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-260,9</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260,9</w:t>
            </w:r>
          </w:p>
        </w:tc>
        <w:tc>
          <w:tcPr>
            <w:tcW w:w="560"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-260,9</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r>
      <w:tr w:rsidRPr="005E7EAC" w:rsidR="00100629" w:rsidTr="00100629">
        <w:trPr>
          <w:trHeight w:val="180"/>
        </w:trPr>
        <w:tc>
          <w:tcPr>
            <w:tcW w:w="2374"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260,9</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-260,9</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0,0</w:t>
            </w:r>
          </w:p>
        </w:tc>
      </w:tr>
      <w:tr w:rsidRPr="005E7EAC" w:rsidR="00100629" w:rsidTr="00100629">
        <w:trPr>
          <w:trHeight w:val="240"/>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100629" w:rsidP="00100629" w:rsidRDefault="00100629">
            <w:pPr>
              <w:rPr>
                <w:rFonts w:ascii="Verdana" w:hAnsi="Verdana"/>
                <w:color w:val="000000"/>
                <w:sz w:val="14"/>
                <w:szCs w:val="14"/>
              </w:rPr>
            </w:pP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Stand Voorjaarsnota 2015 (subtotaal)</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674,6</w:t>
            </w:r>
          </w:p>
        </w:tc>
        <w:tc>
          <w:tcPr>
            <w:tcW w:w="560"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289,8</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561,9</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573,4</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585,0</w:t>
            </w:r>
          </w:p>
        </w:tc>
      </w:tr>
      <w:tr w:rsidRPr="005E7EAC" w:rsidR="00100629" w:rsidTr="00100629">
        <w:trPr>
          <w:trHeight w:val="240"/>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Totaal Internationale samenwerking</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64,9</w:t>
            </w:r>
          </w:p>
        </w:tc>
        <w:tc>
          <w:tcPr>
            <w:tcW w:w="560"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64,9</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64,9</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64,9</w:t>
            </w:r>
          </w:p>
        </w:tc>
        <w:tc>
          <w:tcPr>
            <w:tcW w:w="516" w:type="pct"/>
            <w:tcBorders>
              <w:top w:val="nil"/>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64,9</w:t>
            </w:r>
          </w:p>
        </w:tc>
      </w:tr>
      <w:tr w:rsidRPr="005E7EAC" w:rsidR="00100629" w:rsidTr="00100629">
        <w:trPr>
          <w:trHeight w:val="225"/>
        </w:trPr>
        <w:tc>
          <w:tcPr>
            <w:tcW w:w="2374" w:type="pct"/>
            <w:tcBorders>
              <w:top w:val="nil"/>
              <w:left w:val="nil"/>
              <w:bottom w:val="nil"/>
              <w:right w:val="nil"/>
            </w:tcBorders>
            <w:shd w:val="clear" w:color="auto" w:fill="auto"/>
            <w:hideMark/>
          </w:tcPr>
          <w:p w:rsidRPr="005E7EAC" w:rsidR="00100629" w:rsidP="00100629" w:rsidRDefault="00100629">
            <w:pPr>
              <w:rPr>
                <w:rFonts w:ascii="Verdana" w:hAnsi="Verdana"/>
                <w:color w:val="000000"/>
                <w:sz w:val="18"/>
                <w:szCs w:val="18"/>
              </w:rPr>
            </w:pPr>
            <w:r w:rsidRPr="005E7EAC">
              <w:rPr>
                <w:rFonts w:ascii="Verdana" w:hAnsi="Verdana"/>
                <w:color w:val="000000"/>
                <w:sz w:val="18"/>
                <w:szCs w:val="18"/>
              </w:rPr>
              <w:t>Stand Voorjaarsnota 2015</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739,6</w:t>
            </w:r>
          </w:p>
        </w:tc>
        <w:tc>
          <w:tcPr>
            <w:tcW w:w="560"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354,7</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626,8</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638,3</w:t>
            </w:r>
          </w:p>
        </w:tc>
        <w:tc>
          <w:tcPr>
            <w:tcW w:w="516" w:type="pct"/>
            <w:tcBorders>
              <w:top w:val="single" w:color="000000" w:sz="8" w:space="0"/>
              <w:left w:val="nil"/>
              <w:bottom w:val="nil"/>
              <w:right w:val="nil"/>
            </w:tcBorders>
            <w:shd w:val="clear" w:color="auto" w:fill="auto"/>
            <w:hideMark/>
          </w:tcPr>
          <w:p w:rsidRPr="005E7EAC" w:rsidR="00100629" w:rsidP="00100629" w:rsidRDefault="00100629">
            <w:pPr>
              <w:jc w:val="right"/>
              <w:rPr>
                <w:rFonts w:ascii="Verdana" w:hAnsi="Verdana"/>
                <w:color w:val="000000"/>
                <w:sz w:val="18"/>
                <w:szCs w:val="18"/>
              </w:rPr>
            </w:pPr>
            <w:r w:rsidRPr="005E7EAC">
              <w:rPr>
                <w:rFonts w:ascii="Verdana" w:hAnsi="Verdana"/>
                <w:color w:val="000000"/>
                <w:sz w:val="18"/>
                <w:szCs w:val="18"/>
              </w:rPr>
              <w:t>650,0</w:t>
            </w:r>
          </w:p>
        </w:tc>
      </w:tr>
    </w:tbl>
    <w:p w:rsidRPr="005E7EAC" w:rsidR="00506AC9" w:rsidP="00927307" w:rsidRDefault="00506AC9">
      <w:pPr>
        <w:spacing w:line="276" w:lineRule="auto"/>
        <w:rPr>
          <w:rFonts w:ascii="Verdana" w:hAnsi="Verdana"/>
          <w:b/>
          <w:sz w:val="18"/>
          <w:szCs w:val="18"/>
        </w:rPr>
      </w:pPr>
    </w:p>
    <w:p w:rsidRPr="005E7EAC" w:rsidR="00D37C5F" w:rsidP="00C10A57" w:rsidRDefault="00D37C5F">
      <w:pPr>
        <w:spacing w:line="276" w:lineRule="auto"/>
        <w:rPr>
          <w:rFonts w:ascii="Verdana" w:hAnsi="Verdana"/>
          <w:b/>
          <w:sz w:val="18"/>
          <w:szCs w:val="18"/>
        </w:rPr>
      </w:pPr>
    </w:p>
    <w:p w:rsidRPr="005E7EAC" w:rsidR="00100629" w:rsidP="00100629" w:rsidRDefault="00100629">
      <w:pPr>
        <w:pStyle w:val="Geenafstand"/>
        <w:spacing w:line="240" w:lineRule="exact"/>
        <w:rPr>
          <w:i/>
        </w:rPr>
      </w:pPr>
      <w:r w:rsidRPr="005E7EAC">
        <w:rPr>
          <w:i/>
        </w:rPr>
        <w:t>EU-afdrachten – Overig</w:t>
      </w:r>
    </w:p>
    <w:p w:rsidRPr="005E7EAC" w:rsidR="004478C3" w:rsidP="004478C3" w:rsidRDefault="004478C3">
      <w:pPr>
        <w:spacing w:line="240" w:lineRule="exact"/>
        <w:rPr>
          <w:rFonts w:ascii="Verdana" w:hAnsi="Verdana"/>
          <w:i/>
          <w:sz w:val="18"/>
          <w:szCs w:val="18"/>
        </w:rPr>
      </w:pPr>
      <w:r w:rsidRPr="005E7EAC">
        <w:rPr>
          <w:rFonts w:ascii="Verdana" w:hAnsi="Verdana"/>
          <w:sz w:val="18"/>
          <w:szCs w:val="18"/>
        </w:rPr>
        <w:t xml:space="preserve">Onderstaande tabel geeft een verklaring van de omvang van de overige mutaties: </w:t>
      </w:r>
    </w:p>
    <w:p w:rsidRPr="005E7EAC" w:rsidR="004478C3" w:rsidP="004478C3" w:rsidRDefault="004478C3">
      <w:pPr>
        <w:pStyle w:val="Lijstalinea"/>
        <w:numPr>
          <w:ilvl w:val="1"/>
          <w:numId w:val="2"/>
        </w:numPr>
        <w:spacing w:line="240" w:lineRule="exact"/>
        <w:rPr>
          <w:rFonts w:ascii="Verdana" w:hAnsi="Verdana"/>
          <w:i/>
          <w:sz w:val="18"/>
          <w:szCs w:val="18"/>
        </w:rPr>
      </w:pPr>
      <w:r w:rsidRPr="005E7EAC">
        <w:rPr>
          <w:rFonts w:ascii="Verdana" w:hAnsi="Verdana"/>
          <w:sz w:val="18"/>
          <w:szCs w:val="18"/>
        </w:rPr>
        <w:t>Het betreft in eerste instantie het in december vorig jaar gesloten akkoord tussen de Raad en het Europees Parlement over de begroting 2015 en de aanvullende begrotingen voor 2014. Begin december 2014 hebben de Raad en het Europees Parlement een akkoord bereikt over de aanvullende begroting voor 2014. Dat akkoord leidde tot hogere uitga</w:t>
      </w:r>
      <w:r w:rsidRPr="005E7EAC" w:rsidR="009B3C49">
        <w:rPr>
          <w:rFonts w:ascii="Verdana" w:hAnsi="Verdana"/>
          <w:sz w:val="18"/>
          <w:szCs w:val="18"/>
        </w:rPr>
        <w:t>ven voor Nederland — 150 mln.</w:t>
      </w:r>
      <w:r w:rsidRPr="005E7EAC">
        <w:rPr>
          <w:rFonts w:ascii="Verdana" w:hAnsi="Verdana"/>
          <w:sz w:val="18"/>
          <w:szCs w:val="18"/>
        </w:rPr>
        <w:t xml:space="preserve"> — en hogere inkom</w:t>
      </w:r>
      <w:r w:rsidRPr="005E7EAC" w:rsidR="009B3C49">
        <w:rPr>
          <w:rFonts w:ascii="Verdana" w:hAnsi="Verdana"/>
          <w:sz w:val="18"/>
          <w:szCs w:val="18"/>
        </w:rPr>
        <w:t>sten voor Nederland — 95 mln</w:t>
      </w:r>
      <w:r w:rsidRPr="005E7EAC">
        <w:rPr>
          <w:rFonts w:ascii="Verdana" w:hAnsi="Verdana"/>
          <w:sz w:val="18"/>
          <w:szCs w:val="18"/>
        </w:rPr>
        <w:t>. Per saldo leidde dit akkoord tot 55 m</w:t>
      </w:r>
      <w:r w:rsidRPr="005E7EAC" w:rsidR="009B3C49">
        <w:rPr>
          <w:rFonts w:ascii="Verdana" w:hAnsi="Verdana"/>
          <w:sz w:val="18"/>
          <w:szCs w:val="18"/>
        </w:rPr>
        <w:t>l</w:t>
      </w:r>
      <w:r w:rsidRPr="005E7EAC">
        <w:rPr>
          <w:rFonts w:ascii="Verdana" w:hAnsi="Verdana"/>
          <w:sz w:val="18"/>
          <w:szCs w:val="18"/>
        </w:rPr>
        <w:t>n</w:t>
      </w:r>
      <w:r w:rsidRPr="005E7EAC" w:rsidR="009B3C49">
        <w:rPr>
          <w:rFonts w:ascii="Verdana" w:hAnsi="Verdana"/>
          <w:sz w:val="18"/>
          <w:szCs w:val="18"/>
        </w:rPr>
        <w:t>.</w:t>
      </w:r>
      <w:r w:rsidRPr="005E7EAC">
        <w:rPr>
          <w:rFonts w:ascii="Verdana" w:hAnsi="Verdana"/>
          <w:sz w:val="18"/>
          <w:szCs w:val="18"/>
        </w:rPr>
        <w:t xml:space="preserve"> hogere afdrachten voor 2014. Omdat het akkoord pas in december is gesloten zijn de budgettaire effecten doorgeschoven naar 2015.  </w:t>
      </w:r>
    </w:p>
    <w:p w:rsidRPr="005E7EAC" w:rsidR="004478C3" w:rsidP="004478C3" w:rsidRDefault="004478C3">
      <w:pPr>
        <w:pStyle w:val="Lijstalinea"/>
        <w:numPr>
          <w:ilvl w:val="1"/>
          <w:numId w:val="2"/>
        </w:numPr>
        <w:spacing w:line="240" w:lineRule="exact"/>
        <w:rPr>
          <w:rFonts w:ascii="Verdana" w:hAnsi="Verdana"/>
          <w:i/>
          <w:sz w:val="18"/>
          <w:szCs w:val="18"/>
        </w:rPr>
      </w:pPr>
      <w:r w:rsidRPr="005E7EAC">
        <w:rPr>
          <w:rFonts w:ascii="Verdana" w:hAnsi="Verdana"/>
          <w:sz w:val="18"/>
          <w:szCs w:val="18"/>
        </w:rPr>
        <w:t>In tweede instantie resulteert uit de realisatie van de Europese begroting over 2014 een surplus (hogere inkomsten dan uitgaven). Dit surplus wordt toegevoegd aan de begroting voor het volgend jaar en verlaagt daarmee de afdrachten v</w:t>
      </w:r>
      <w:r w:rsidRPr="005E7EAC" w:rsidR="009B3C49">
        <w:rPr>
          <w:rFonts w:ascii="Verdana" w:hAnsi="Verdana"/>
          <w:sz w:val="18"/>
          <w:szCs w:val="18"/>
        </w:rPr>
        <w:t>an de lidstaten (66 mln.</w:t>
      </w:r>
      <w:r w:rsidRPr="005E7EAC">
        <w:rPr>
          <w:rFonts w:ascii="Verdana" w:hAnsi="Verdana"/>
          <w:sz w:val="18"/>
          <w:szCs w:val="18"/>
        </w:rPr>
        <w:t xml:space="preserve"> voor Nederland).</w:t>
      </w:r>
    </w:p>
    <w:p w:rsidRPr="005E7EAC" w:rsidR="004478C3" w:rsidP="004478C3" w:rsidRDefault="004478C3">
      <w:pPr>
        <w:pStyle w:val="Lijstalinea"/>
        <w:numPr>
          <w:ilvl w:val="1"/>
          <w:numId w:val="2"/>
        </w:numPr>
        <w:spacing w:line="240" w:lineRule="exact"/>
        <w:rPr>
          <w:rFonts w:ascii="Verdana" w:hAnsi="Verdana"/>
          <w:i/>
          <w:sz w:val="18"/>
          <w:szCs w:val="18"/>
        </w:rPr>
      </w:pPr>
      <w:r w:rsidRPr="005E7EAC">
        <w:rPr>
          <w:rFonts w:ascii="Verdana" w:hAnsi="Verdana"/>
          <w:sz w:val="18"/>
          <w:szCs w:val="18"/>
        </w:rPr>
        <w:t>In derde instantie worden de laatste ramingsbijstellingen verwerkt</w:t>
      </w:r>
      <w:r w:rsidRPr="005E7EAC" w:rsidR="008E055E">
        <w:rPr>
          <w:rFonts w:ascii="Verdana" w:hAnsi="Verdana"/>
          <w:sz w:val="18"/>
          <w:szCs w:val="18"/>
        </w:rPr>
        <w:t xml:space="preserve"> (172 </w:t>
      </w:r>
      <w:r w:rsidR="005E7EAC">
        <w:rPr>
          <w:rFonts w:ascii="Verdana" w:hAnsi="Verdana"/>
          <w:sz w:val="18"/>
          <w:szCs w:val="18"/>
        </w:rPr>
        <w:t>mln.</w:t>
      </w:r>
      <w:r w:rsidRPr="005E7EAC" w:rsidR="008E055E">
        <w:rPr>
          <w:rFonts w:ascii="Verdana" w:hAnsi="Verdana"/>
          <w:sz w:val="18"/>
          <w:szCs w:val="18"/>
        </w:rPr>
        <w:t xml:space="preserve"> minder afdrachten).</w:t>
      </w:r>
    </w:p>
    <w:p w:rsidRPr="005E7EAC" w:rsidR="004478C3" w:rsidP="004478C3" w:rsidRDefault="004478C3">
      <w:pPr>
        <w:spacing w:line="240" w:lineRule="exact"/>
        <w:rPr>
          <w:rFonts w:ascii="Verdana" w:hAnsi="Verdana"/>
          <w:i/>
          <w:sz w:val="18"/>
          <w:szCs w:val="18"/>
        </w:rPr>
      </w:pPr>
    </w:p>
    <w:tbl>
      <w:tblPr>
        <w:tblStyle w:val="Tabelraster"/>
        <w:tblW w:w="0" w:type="auto"/>
        <w:tblInd w:w="108" w:type="dxa"/>
        <w:tblLook w:val="04A0"/>
      </w:tblPr>
      <w:tblGrid>
        <w:gridCol w:w="5245"/>
        <w:gridCol w:w="1276"/>
      </w:tblGrid>
      <w:tr w:rsidRPr="005E7EAC" w:rsidR="004478C3" w:rsidTr="008E055E">
        <w:tc>
          <w:tcPr>
            <w:tcW w:w="6521" w:type="dxa"/>
            <w:gridSpan w:val="2"/>
          </w:tcPr>
          <w:p w:rsidRPr="005E7EAC" w:rsidR="004478C3" w:rsidP="008E055E" w:rsidRDefault="004478C3">
            <w:pPr>
              <w:spacing w:line="240" w:lineRule="exact"/>
              <w:rPr>
                <w:rFonts w:ascii="Verdana" w:hAnsi="Verdana"/>
                <w:sz w:val="18"/>
                <w:szCs w:val="18"/>
              </w:rPr>
            </w:pPr>
            <w:r w:rsidRPr="005E7EAC">
              <w:rPr>
                <w:rFonts w:ascii="Verdana" w:hAnsi="Verdana"/>
                <w:sz w:val="18"/>
                <w:szCs w:val="18"/>
              </w:rPr>
              <w:t>Overige mutaties EU-afdrachten (miljoenen euro)</w:t>
            </w:r>
          </w:p>
        </w:tc>
      </w:tr>
      <w:tr w:rsidRPr="005E7EAC" w:rsidR="004478C3" w:rsidTr="008E055E">
        <w:tc>
          <w:tcPr>
            <w:tcW w:w="5245" w:type="dxa"/>
          </w:tcPr>
          <w:p w:rsidRPr="005E7EAC" w:rsidR="004478C3" w:rsidP="008E055E" w:rsidRDefault="004478C3">
            <w:pPr>
              <w:spacing w:line="240" w:lineRule="exact"/>
              <w:rPr>
                <w:rFonts w:ascii="Verdana" w:hAnsi="Verdana"/>
                <w:sz w:val="18"/>
                <w:szCs w:val="18"/>
              </w:rPr>
            </w:pPr>
            <w:r w:rsidRPr="005E7EAC">
              <w:rPr>
                <w:rFonts w:ascii="Verdana" w:hAnsi="Verdana"/>
                <w:sz w:val="18"/>
                <w:szCs w:val="18"/>
              </w:rPr>
              <w:t>Omschrijving</w:t>
            </w:r>
          </w:p>
        </w:tc>
        <w:tc>
          <w:tcPr>
            <w:tcW w:w="1276" w:type="dxa"/>
          </w:tcPr>
          <w:p w:rsidRPr="005E7EAC" w:rsidR="004478C3" w:rsidP="008E055E" w:rsidRDefault="004478C3">
            <w:pPr>
              <w:spacing w:line="240" w:lineRule="exact"/>
              <w:jc w:val="right"/>
              <w:rPr>
                <w:rFonts w:ascii="Verdana" w:hAnsi="Verdana"/>
                <w:sz w:val="18"/>
                <w:szCs w:val="18"/>
              </w:rPr>
            </w:pPr>
            <w:r w:rsidRPr="005E7EAC">
              <w:rPr>
                <w:rFonts w:ascii="Verdana" w:hAnsi="Verdana"/>
                <w:sz w:val="18"/>
                <w:szCs w:val="18"/>
              </w:rPr>
              <w:t>Mutatie</w:t>
            </w:r>
          </w:p>
        </w:tc>
      </w:tr>
      <w:tr w:rsidRPr="005E7EAC" w:rsidR="004478C3" w:rsidTr="008E055E">
        <w:tc>
          <w:tcPr>
            <w:tcW w:w="5245" w:type="dxa"/>
          </w:tcPr>
          <w:p w:rsidRPr="005E7EAC" w:rsidR="004478C3" w:rsidP="004478C3" w:rsidRDefault="004478C3">
            <w:pPr>
              <w:pStyle w:val="Lijstalinea"/>
              <w:numPr>
                <w:ilvl w:val="0"/>
                <w:numId w:val="3"/>
              </w:numPr>
              <w:spacing w:line="240" w:lineRule="exact"/>
              <w:rPr>
                <w:rFonts w:ascii="Verdana" w:hAnsi="Verdana"/>
                <w:sz w:val="18"/>
                <w:szCs w:val="18"/>
              </w:rPr>
            </w:pPr>
            <w:r w:rsidRPr="005E7EAC">
              <w:rPr>
                <w:rFonts w:ascii="Verdana" w:hAnsi="Verdana"/>
                <w:sz w:val="18"/>
                <w:szCs w:val="18"/>
              </w:rPr>
              <w:t>Begrotingsakkoord</w:t>
            </w:r>
          </w:p>
        </w:tc>
        <w:tc>
          <w:tcPr>
            <w:tcW w:w="1276" w:type="dxa"/>
          </w:tcPr>
          <w:p w:rsidRPr="005E7EAC" w:rsidR="004478C3" w:rsidP="008E055E" w:rsidRDefault="004478C3">
            <w:pPr>
              <w:spacing w:line="240" w:lineRule="exact"/>
              <w:jc w:val="right"/>
              <w:rPr>
                <w:rFonts w:ascii="Verdana" w:hAnsi="Verdana"/>
                <w:sz w:val="18"/>
                <w:szCs w:val="18"/>
              </w:rPr>
            </w:pPr>
            <w:r w:rsidRPr="005E7EAC">
              <w:rPr>
                <w:rFonts w:ascii="Verdana" w:hAnsi="Verdana"/>
                <w:sz w:val="18"/>
                <w:szCs w:val="18"/>
              </w:rPr>
              <w:t>55</w:t>
            </w:r>
          </w:p>
        </w:tc>
      </w:tr>
      <w:tr w:rsidRPr="005E7EAC" w:rsidR="004478C3" w:rsidTr="008E055E">
        <w:tc>
          <w:tcPr>
            <w:tcW w:w="5245" w:type="dxa"/>
          </w:tcPr>
          <w:p w:rsidRPr="005E7EAC" w:rsidR="004478C3" w:rsidP="004478C3" w:rsidRDefault="004478C3">
            <w:pPr>
              <w:pStyle w:val="Lijstalinea"/>
              <w:numPr>
                <w:ilvl w:val="0"/>
                <w:numId w:val="3"/>
              </w:numPr>
              <w:spacing w:line="240" w:lineRule="exact"/>
              <w:rPr>
                <w:rFonts w:ascii="Verdana" w:hAnsi="Verdana"/>
                <w:sz w:val="18"/>
                <w:szCs w:val="18"/>
              </w:rPr>
            </w:pPr>
            <w:r w:rsidRPr="005E7EAC">
              <w:rPr>
                <w:rFonts w:ascii="Verdana" w:hAnsi="Verdana"/>
                <w:sz w:val="18"/>
                <w:szCs w:val="18"/>
              </w:rPr>
              <w:t>Surplus</w:t>
            </w:r>
          </w:p>
        </w:tc>
        <w:tc>
          <w:tcPr>
            <w:tcW w:w="1276" w:type="dxa"/>
          </w:tcPr>
          <w:p w:rsidRPr="005E7EAC" w:rsidR="004478C3" w:rsidP="008E055E" w:rsidRDefault="004478C3">
            <w:pPr>
              <w:spacing w:line="240" w:lineRule="exact"/>
              <w:jc w:val="right"/>
              <w:rPr>
                <w:rFonts w:ascii="Verdana" w:hAnsi="Verdana"/>
                <w:sz w:val="18"/>
                <w:szCs w:val="18"/>
              </w:rPr>
            </w:pPr>
            <w:r w:rsidRPr="005E7EAC">
              <w:rPr>
                <w:rFonts w:ascii="Verdana" w:hAnsi="Verdana"/>
                <w:sz w:val="18"/>
                <w:szCs w:val="18"/>
              </w:rPr>
              <w:t>-66</w:t>
            </w:r>
          </w:p>
        </w:tc>
      </w:tr>
      <w:tr w:rsidRPr="005E7EAC" w:rsidR="004478C3" w:rsidTr="008E055E">
        <w:tc>
          <w:tcPr>
            <w:tcW w:w="5245" w:type="dxa"/>
          </w:tcPr>
          <w:p w:rsidRPr="005E7EAC" w:rsidR="004478C3" w:rsidP="004478C3" w:rsidRDefault="004478C3">
            <w:pPr>
              <w:pStyle w:val="Lijstalinea"/>
              <w:numPr>
                <w:ilvl w:val="0"/>
                <w:numId w:val="3"/>
              </w:numPr>
              <w:spacing w:line="240" w:lineRule="exact"/>
              <w:rPr>
                <w:rFonts w:ascii="Verdana" w:hAnsi="Verdana"/>
                <w:sz w:val="18"/>
                <w:szCs w:val="18"/>
              </w:rPr>
            </w:pPr>
            <w:r w:rsidRPr="005E7EAC">
              <w:rPr>
                <w:rFonts w:ascii="Verdana" w:hAnsi="Verdana"/>
                <w:sz w:val="18"/>
                <w:szCs w:val="18"/>
              </w:rPr>
              <w:t>Ramingsbijstellingen</w:t>
            </w:r>
          </w:p>
        </w:tc>
        <w:tc>
          <w:tcPr>
            <w:tcW w:w="1276" w:type="dxa"/>
          </w:tcPr>
          <w:p w:rsidRPr="005E7EAC" w:rsidR="004478C3" w:rsidP="008E055E" w:rsidRDefault="004478C3">
            <w:pPr>
              <w:spacing w:line="240" w:lineRule="exact"/>
              <w:jc w:val="right"/>
              <w:rPr>
                <w:rFonts w:ascii="Verdana" w:hAnsi="Verdana"/>
                <w:sz w:val="18"/>
                <w:szCs w:val="18"/>
              </w:rPr>
            </w:pPr>
            <w:r w:rsidRPr="005E7EAC">
              <w:rPr>
                <w:rFonts w:ascii="Verdana" w:hAnsi="Verdana"/>
                <w:sz w:val="18"/>
                <w:szCs w:val="18"/>
              </w:rPr>
              <w:t>-172</w:t>
            </w:r>
          </w:p>
        </w:tc>
      </w:tr>
      <w:tr w:rsidRPr="005E7EAC" w:rsidR="004478C3" w:rsidTr="008E055E">
        <w:tc>
          <w:tcPr>
            <w:tcW w:w="5245" w:type="dxa"/>
          </w:tcPr>
          <w:p w:rsidRPr="005E7EAC" w:rsidR="004478C3" w:rsidP="008E055E" w:rsidRDefault="004478C3">
            <w:pPr>
              <w:spacing w:line="240" w:lineRule="exact"/>
              <w:rPr>
                <w:rFonts w:ascii="Verdana" w:hAnsi="Verdana"/>
                <w:sz w:val="18"/>
                <w:szCs w:val="18"/>
              </w:rPr>
            </w:pPr>
            <w:r w:rsidRPr="005E7EAC">
              <w:rPr>
                <w:rFonts w:ascii="Verdana" w:hAnsi="Verdana"/>
                <w:sz w:val="18"/>
                <w:szCs w:val="18"/>
              </w:rPr>
              <w:t>Overige EU-afdrachten</w:t>
            </w:r>
            <w:r w:rsidRPr="005E7EAC">
              <w:rPr>
                <w:szCs w:val="18"/>
              </w:rPr>
              <w:t xml:space="preserve"> </w:t>
            </w:r>
          </w:p>
        </w:tc>
        <w:tc>
          <w:tcPr>
            <w:tcW w:w="1276" w:type="dxa"/>
          </w:tcPr>
          <w:p w:rsidRPr="005E7EAC" w:rsidR="004478C3" w:rsidP="008E055E" w:rsidRDefault="004478C3">
            <w:pPr>
              <w:spacing w:line="240" w:lineRule="exact"/>
              <w:jc w:val="right"/>
              <w:rPr>
                <w:rFonts w:ascii="Verdana" w:hAnsi="Verdana"/>
                <w:sz w:val="18"/>
                <w:szCs w:val="18"/>
              </w:rPr>
            </w:pPr>
            <w:r w:rsidRPr="005E7EAC">
              <w:rPr>
                <w:rFonts w:ascii="Verdana" w:hAnsi="Verdana"/>
                <w:sz w:val="18"/>
                <w:szCs w:val="18"/>
              </w:rPr>
              <w:t>-183</w:t>
            </w:r>
          </w:p>
        </w:tc>
      </w:tr>
    </w:tbl>
    <w:p w:rsidRPr="005E7EAC" w:rsidR="00506AC9" w:rsidP="00506AC9" w:rsidRDefault="00506AC9">
      <w:pPr>
        <w:pStyle w:val="Geenafstand"/>
        <w:spacing w:line="240" w:lineRule="exact"/>
        <w:rPr>
          <w:i/>
        </w:rPr>
      </w:pPr>
    </w:p>
    <w:p w:rsidRPr="005E7EAC" w:rsidR="004478C3" w:rsidP="00100629" w:rsidRDefault="004478C3">
      <w:pPr>
        <w:pStyle w:val="Geenafstand"/>
        <w:spacing w:line="240" w:lineRule="exact"/>
        <w:rPr>
          <w:i/>
        </w:rPr>
      </w:pPr>
    </w:p>
    <w:p w:rsidRPr="005E7EAC" w:rsidR="004478C3" w:rsidP="00100629" w:rsidRDefault="004478C3">
      <w:pPr>
        <w:pStyle w:val="Geenafstand"/>
        <w:spacing w:line="240" w:lineRule="exact"/>
        <w:rPr>
          <w:i/>
        </w:rPr>
      </w:pPr>
    </w:p>
    <w:p w:rsidRPr="005E7EAC" w:rsidR="00100629" w:rsidP="00100629" w:rsidRDefault="00100629">
      <w:pPr>
        <w:pStyle w:val="Geenafstand"/>
        <w:spacing w:line="240" w:lineRule="exact"/>
        <w:rPr>
          <w:i/>
        </w:rPr>
      </w:pPr>
      <w:r w:rsidRPr="005E7EAC">
        <w:rPr>
          <w:i/>
        </w:rPr>
        <w:t>EU-afdrachten – terugontvangst naheffing</w:t>
      </w:r>
    </w:p>
    <w:p w:rsidRPr="005E7EAC" w:rsidR="00100629" w:rsidP="00100629" w:rsidRDefault="00100629">
      <w:pPr>
        <w:pStyle w:val="Geenafstand"/>
        <w:spacing w:line="240" w:lineRule="exact"/>
      </w:pPr>
      <w:r w:rsidRPr="005E7EAC">
        <w:t xml:space="preserve">De terugbetaling van 460 mln. als gevolg van de naheffing uit hoofde van de revisie van de Nationale Rekeningen wordt voor het einde van dit jaar geheel ontvangen in de kas. </w:t>
      </w:r>
    </w:p>
    <w:p w:rsidRPr="005E7EAC" w:rsidR="007C5726" w:rsidP="00D37C5F" w:rsidRDefault="007C5726">
      <w:pPr>
        <w:pStyle w:val="Geenafstand"/>
        <w:spacing w:line="240" w:lineRule="exact"/>
        <w:rPr>
          <w:i/>
        </w:rPr>
      </w:pPr>
    </w:p>
    <w:p w:rsidRPr="005E7EAC" w:rsidR="00100629" w:rsidP="00100629" w:rsidRDefault="00100629">
      <w:pPr>
        <w:pStyle w:val="Geenafstand"/>
        <w:spacing w:line="240" w:lineRule="exact"/>
        <w:rPr>
          <w:i/>
        </w:rPr>
      </w:pPr>
      <w:r w:rsidRPr="005E7EAC">
        <w:rPr>
          <w:i/>
        </w:rPr>
        <w:t xml:space="preserve">EU-afdrachten – vertraagde ratificatie Eigen Middelenbesluit </w:t>
      </w:r>
    </w:p>
    <w:p w:rsidRPr="005E7EAC" w:rsidR="004478C3" w:rsidP="004478C3" w:rsidRDefault="00100629">
      <w:pPr>
        <w:pStyle w:val="Geenafstand"/>
        <w:spacing w:line="240" w:lineRule="exact"/>
        <w:rPr>
          <w:i/>
          <w:iCs/>
          <w:szCs w:val="18"/>
        </w:rPr>
      </w:pPr>
      <w:r w:rsidRPr="005E7EAC">
        <w:t xml:space="preserve">De ratificatie van het Eigen Middelenbesluit in alle lidstaten wordt niet meer voorzien voor het einde van 2015. De jaarlijkse Nederlandse korting, die onderdeel uitmaakt van het Eigen Middelenbesluit, slaat daardoor in 2016 voor drie jaren neer (2014 t/m 2016). </w:t>
      </w:r>
      <w:r w:rsidRPr="005E7EAC" w:rsidR="004478C3">
        <w:rPr>
          <w:szCs w:val="18"/>
        </w:rPr>
        <w:t>Ook de aanpassing van de percentiekostenvergoeding wordt doorgeschoven naar 2016. De vertraagde ratificatie leidt tot per saldo hogere</w:t>
      </w:r>
      <w:r w:rsidRPr="005E7EAC" w:rsidR="009B3C49">
        <w:rPr>
          <w:szCs w:val="18"/>
        </w:rPr>
        <w:t xml:space="preserve"> afdrachten van 2,1 mld.</w:t>
      </w:r>
      <w:r w:rsidRPr="005E7EAC" w:rsidR="004478C3">
        <w:rPr>
          <w:szCs w:val="18"/>
        </w:rPr>
        <w:t xml:space="preserve"> en hogere </w:t>
      </w:r>
      <w:r w:rsidRPr="005E7EAC" w:rsidR="009B3C49">
        <w:rPr>
          <w:szCs w:val="18"/>
        </w:rPr>
        <w:t>ontvangsten van 0,3 mld.</w:t>
      </w:r>
      <w:r w:rsidRPr="005E7EAC" w:rsidR="004478C3">
        <w:rPr>
          <w:szCs w:val="18"/>
        </w:rPr>
        <w:t xml:space="preserve">; </w:t>
      </w:r>
      <w:r w:rsidRPr="005E7EAC" w:rsidR="009B3C49">
        <w:rPr>
          <w:szCs w:val="18"/>
        </w:rPr>
        <w:t>per saldo wordt 1,8 mld.</w:t>
      </w:r>
      <w:r w:rsidRPr="005E7EAC" w:rsidR="004478C3">
        <w:rPr>
          <w:szCs w:val="18"/>
        </w:rPr>
        <w:t xml:space="preserve"> doorgeschoven naar 2016.</w:t>
      </w:r>
    </w:p>
    <w:p w:rsidRPr="005E7EAC" w:rsidR="00506AC9" w:rsidP="007C5726" w:rsidRDefault="00506AC9">
      <w:pPr>
        <w:pStyle w:val="Geenafstand"/>
        <w:spacing w:line="240" w:lineRule="exact"/>
      </w:pPr>
    </w:p>
    <w:p w:rsidRPr="005E7EAC" w:rsidR="000935CC" w:rsidP="007C5726" w:rsidRDefault="000935CC">
      <w:pPr>
        <w:pStyle w:val="Geenafstand"/>
        <w:spacing w:line="240" w:lineRule="exact"/>
        <w:rPr>
          <w:b/>
          <w:szCs w:val="18"/>
        </w:rPr>
      </w:pPr>
      <w:r w:rsidRPr="005E7EAC">
        <w:rPr>
          <w:b/>
          <w:szCs w:val="18"/>
        </w:rPr>
        <w:br w:type="page"/>
      </w:r>
    </w:p>
    <w:p w:rsidRPr="005E7EAC" w:rsidR="007C26C8" w:rsidP="00E16284" w:rsidRDefault="00A87C9C">
      <w:pPr>
        <w:rPr>
          <w:rFonts w:ascii="Verdana" w:hAnsi="Verdana" w:cs="Courier New"/>
          <w:sz w:val="18"/>
          <w:szCs w:val="18"/>
        </w:rPr>
      </w:pPr>
      <w:r w:rsidRPr="005E7EAC">
        <w:rPr>
          <w:rFonts w:ascii="Verdana" w:hAnsi="Verdana"/>
          <w:b/>
          <w:sz w:val="18"/>
          <w:szCs w:val="18"/>
        </w:rPr>
        <w:lastRenderedPageBreak/>
        <w:t xml:space="preserve">VI </w:t>
      </w:r>
      <w:r w:rsidRPr="005E7EAC" w:rsidR="00CE2A5B">
        <w:rPr>
          <w:rFonts w:ascii="Verdana" w:hAnsi="Verdana"/>
          <w:b/>
          <w:sz w:val="18"/>
          <w:szCs w:val="18"/>
        </w:rPr>
        <w:t>Veiligheid en Justitie</w:t>
      </w:r>
      <w:r w:rsidRPr="005E7EAC" w:rsidR="007C26C8">
        <w:rPr>
          <w:rFonts w:ascii="Verdana" w:hAnsi="Verdana" w:cs="Courier New"/>
          <w:sz w:val="18"/>
          <w:szCs w:val="18"/>
        </w:rPr>
        <w:t xml:space="preserve"> </w:t>
      </w:r>
    </w:p>
    <w:p w:rsidRPr="005E7EAC" w:rsidR="00313196" w:rsidP="00DB0397" w:rsidRDefault="00313196">
      <w:pPr>
        <w:spacing w:line="276" w:lineRule="auto"/>
        <w:rPr>
          <w:rFonts w:ascii="Verdana" w:hAnsi="Verdana" w:cs="Courier New"/>
          <w:b/>
          <w:sz w:val="18"/>
          <w:szCs w:val="18"/>
        </w:rPr>
      </w:pPr>
    </w:p>
    <w:tbl>
      <w:tblPr>
        <w:tblW w:w="5000" w:type="pct"/>
        <w:tblCellMar>
          <w:left w:w="70" w:type="dxa"/>
          <w:right w:w="70" w:type="dxa"/>
        </w:tblCellMar>
        <w:tblLook w:val="04A0"/>
      </w:tblPr>
      <w:tblGrid>
        <w:gridCol w:w="4137"/>
        <w:gridCol w:w="1015"/>
        <w:gridCol w:w="1015"/>
        <w:gridCol w:w="1015"/>
        <w:gridCol w:w="1015"/>
        <w:gridCol w:w="1015"/>
      </w:tblGrid>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UITGAVEN</w:t>
            </w: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r>
      <w:tr w:rsidRPr="005E7EAC" w:rsidR="00E63328" w:rsidTr="00E63328">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2019</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11.393,5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11.274,4</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10.921,2</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10.729,4</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10.725,3</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Bed, bad, brood</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13,3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Besparingsverliezen wetstrajecten</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58,0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Dji aanzuiveren eigen vermogen</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77,0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450"/>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Gevolgen asielinstroom (niet oda) en inzet asielreserve.</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61,9</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42,4</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30,9</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30,9</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30,9</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Inzet eindejaarsmarge</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-78,8</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450"/>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Lagere bezetting dienst justitiële inrichtingen (dji)</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18,3</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Oda toerekening</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400,0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Rechtsbijstand (pmj)</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31,2</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16,5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13,4</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11,4</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9,5</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Rechtspraak (pmj)</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7,5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-17,3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-21,9</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-50,6</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Taakstelling venj</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Tariefsverlaging rgd</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-6,8</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-142,1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-133,1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-126,3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-69,3</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Thuiskopie</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33,5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Uitkering eindejaarsmarge</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78,8</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96,7</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37,0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15,7</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16,1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16,9</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675,0</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-26,0</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-138,0</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-138,9</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-84,3</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Frictiekosten dji van ap</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Loonbijstelling tranche 2015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36,1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35,9</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34,9</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34,3</w:t>
            </w: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25,1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17,5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20,8</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29,1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30,2</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95,2</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53,4</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55,7</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63,4</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64,5</w:t>
            </w:r>
          </w:p>
        </w:tc>
      </w:tr>
      <w:tr w:rsidRPr="005E7EAC" w:rsidR="00E63328" w:rsidTr="00E63328">
        <w:trPr>
          <w:trHeight w:val="180"/>
        </w:trPr>
        <w:tc>
          <w:tcPr>
            <w:tcW w:w="2245"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770,2</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27,3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-82,4</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-75,5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-19,9</w:t>
            </w: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12.163,7</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11.301,7</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10.838,9</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10.653,9</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10.705,4</w:t>
            </w: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50,5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45,3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33,3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32,8</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32,8</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12.214,2</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11.347,0</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10.872,2</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10.686,8</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10.738,3</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NIET-BELASTINGONTVANGSTEN</w:t>
            </w: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r>
      <w:tr w:rsidRPr="005E7EAC" w:rsidR="00E63328" w:rsidTr="00E63328">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2019</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1.424,2</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1.477,3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1.507,8</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1.551,1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1.561,6</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Besparingsverliezen wetstrajecten</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-51,0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-23,0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-4,0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Boeten en transacties</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-55,0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-35,0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-35,0</w:t>
            </w:r>
          </w:p>
        </w:tc>
      </w:tr>
      <w:tr w:rsidRPr="005E7EAC" w:rsidR="00E63328" w:rsidTr="00E63328">
        <w:trPr>
          <w:trHeight w:val="450"/>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Gevolgenasielinstroom (niet oda) en inzet asielreserve.</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35,5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Griffierechten pmj</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3,2</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-17,8</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-17,1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-21,8</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-25,5</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Schikking sbm-offshore</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56,0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56,0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Tariefsverlaging rgd</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50,1</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38,8</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15,2</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-21,1</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-57,8</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-60,5</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10,7</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3,3</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3,2</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10,7</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3,4</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3,3</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3,2</w:t>
            </w:r>
          </w:p>
        </w:tc>
      </w:tr>
      <w:tr w:rsidRPr="005E7EAC" w:rsidR="00E63328" w:rsidTr="00E63328">
        <w:trPr>
          <w:trHeight w:val="180"/>
        </w:trPr>
        <w:tc>
          <w:tcPr>
            <w:tcW w:w="2245"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49,5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18,6</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-17,7</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-54,5</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-57,3</w:t>
            </w: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E63328" w:rsidP="00E63328" w:rsidRDefault="00E63328">
            <w:pPr>
              <w:rPr>
                <w:rFonts w:ascii="Verdana" w:hAnsi="Verdana"/>
                <w:color w:val="000000"/>
                <w:sz w:val="14"/>
                <w:szCs w:val="14"/>
              </w:rPr>
            </w:pP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1.473,7</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1.495,9</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1.490,1</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1.496,5</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1.504,3</w:t>
            </w:r>
          </w:p>
        </w:tc>
      </w:tr>
      <w:tr w:rsidRPr="005E7EAC" w:rsidR="00E63328" w:rsidTr="00E63328">
        <w:trPr>
          <w:trHeight w:val="240"/>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0,0</w:t>
            </w:r>
          </w:p>
        </w:tc>
      </w:tr>
      <w:tr w:rsidRPr="005E7EAC" w:rsidR="00E63328" w:rsidTr="00E63328">
        <w:trPr>
          <w:trHeight w:val="225"/>
        </w:trPr>
        <w:tc>
          <w:tcPr>
            <w:tcW w:w="2245" w:type="pct"/>
            <w:tcBorders>
              <w:top w:val="nil"/>
              <w:left w:val="nil"/>
              <w:bottom w:val="nil"/>
              <w:right w:val="nil"/>
            </w:tcBorders>
            <w:shd w:val="clear" w:color="auto" w:fill="auto"/>
            <w:hideMark/>
          </w:tcPr>
          <w:p w:rsidRPr="005E7EAC" w:rsidR="00E63328" w:rsidP="00E63328" w:rsidRDefault="00E63328">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1.473,7</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1.495,9</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1.490,1</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1.496,5</w:t>
            </w:r>
          </w:p>
        </w:tc>
        <w:tc>
          <w:tcPr>
            <w:tcW w:w="551" w:type="pct"/>
            <w:tcBorders>
              <w:top w:val="single" w:color="000000" w:sz="8" w:space="0"/>
              <w:left w:val="nil"/>
              <w:bottom w:val="nil"/>
              <w:right w:val="nil"/>
            </w:tcBorders>
            <w:shd w:val="clear" w:color="auto" w:fill="auto"/>
            <w:hideMark/>
          </w:tcPr>
          <w:p w:rsidRPr="005E7EAC" w:rsidR="00E63328" w:rsidP="00E63328" w:rsidRDefault="00E63328">
            <w:pPr>
              <w:jc w:val="right"/>
              <w:rPr>
                <w:rFonts w:ascii="Verdana" w:hAnsi="Verdana"/>
                <w:color w:val="000000"/>
                <w:sz w:val="18"/>
                <w:szCs w:val="18"/>
              </w:rPr>
            </w:pPr>
            <w:r w:rsidRPr="005E7EAC">
              <w:rPr>
                <w:rFonts w:ascii="Verdana" w:hAnsi="Verdana"/>
                <w:color w:val="000000"/>
                <w:sz w:val="18"/>
                <w:szCs w:val="18"/>
              </w:rPr>
              <w:t>1.504,3</w:t>
            </w:r>
          </w:p>
        </w:tc>
      </w:tr>
    </w:tbl>
    <w:p w:rsidRPr="005E7EAC" w:rsidR="00E63328" w:rsidP="006D2B37" w:rsidRDefault="00E63328">
      <w:pPr>
        <w:spacing w:line="240" w:lineRule="exact"/>
        <w:rPr>
          <w:rFonts w:ascii="Verdana" w:hAnsi="Verdana"/>
          <w:i/>
          <w:sz w:val="18"/>
          <w:szCs w:val="18"/>
        </w:rPr>
      </w:pPr>
    </w:p>
    <w:p w:rsidRPr="005E7EAC" w:rsidR="006D2B37" w:rsidP="006D2B37" w:rsidRDefault="006D2B37">
      <w:pPr>
        <w:spacing w:line="240" w:lineRule="exact"/>
        <w:rPr>
          <w:rFonts w:ascii="Verdana" w:hAnsi="Verdana"/>
          <w:i/>
          <w:sz w:val="18"/>
          <w:szCs w:val="18"/>
        </w:rPr>
      </w:pPr>
      <w:r w:rsidRPr="005E7EAC">
        <w:rPr>
          <w:rFonts w:ascii="Verdana" w:hAnsi="Verdana"/>
          <w:i/>
          <w:sz w:val="18"/>
          <w:szCs w:val="18"/>
        </w:rPr>
        <w:t>Bed, bad, brood</w:t>
      </w:r>
    </w:p>
    <w:p w:rsidRPr="005E7EAC" w:rsidR="006D2B37" w:rsidP="006D2B37" w:rsidRDefault="006D2B37">
      <w:pPr>
        <w:spacing w:line="240" w:lineRule="exact"/>
        <w:rPr>
          <w:rFonts w:ascii="Verdana" w:hAnsi="Verdana"/>
          <w:sz w:val="18"/>
          <w:szCs w:val="18"/>
        </w:rPr>
      </w:pPr>
      <w:r w:rsidRPr="005E7EAC">
        <w:rPr>
          <w:rFonts w:ascii="Verdana" w:hAnsi="Verdana"/>
          <w:sz w:val="18"/>
          <w:szCs w:val="18"/>
        </w:rPr>
        <w:t xml:space="preserve">Er is structureel 20 mln. beschikbaar gesteld op de begroting van VenJ voor de opvang en terugkeer van uitgeprocedeerde asielzoekers. </w:t>
      </w:r>
    </w:p>
    <w:p w:rsidRPr="005E7EAC" w:rsidR="006D2B37" w:rsidP="006D2B37" w:rsidRDefault="006D2B37">
      <w:pPr>
        <w:spacing w:line="240" w:lineRule="exact"/>
        <w:rPr>
          <w:rFonts w:ascii="Verdana" w:hAnsi="Verdana"/>
          <w:i/>
          <w:sz w:val="18"/>
          <w:szCs w:val="18"/>
        </w:rPr>
      </w:pPr>
    </w:p>
    <w:p w:rsidRPr="005E7EAC" w:rsidR="006D2B37" w:rsidP="006D2B37" w:rsidRDefault="006D2B37">
      <w:pPr>
        <w:spacing w:line="240" w:lineRule="exact"/>
        <w:rPr>
          <w:rFonts w:ascii="Verdana" w:hAnsi="Verdana"/>
          <w:i/>
          <w:sz w:val="18"/>
          <w:szCs w:val="18"/>
        </w:rPr>
      </w:pPr>
      <w:r w:rsidRPr="005E7EAC">
        <w:rPr>
          <w:rFonts w:ascii="Verdana" w:hAnsi="Verdana"/>
          <w:i/>
          <w:sz w:val="18"/>
          <w:szCs w:val="18"/>
        </w:rPr>
        <w:t>Besparingsverliezen wetstrajecten</w:t>
      </w:r>
      <w:r w:rsidRPr="005E7EAC">
        <w:rPr>
          <w:rFonts w:ascii="Verdana" w:hAnsi="Verdana"/>
          <w:i/>
          <w:sz w:val="18"/>
          <w:szCs w:val="18"/>
        </w:rPr>
        <w:br/>
      </w:r>
      <w:r w:rsidRPr="005E7EAC">
        <w:rPr>
          <w:rFonts w:ascii="Verdana" w:hAnsi="Verdana"/>
          <w:sz w:val="18"/>
          <w:szCs w:val="18"/>
        </w:rPr>
        <w:t>Als gevolg van vertraging van de invoering van de wetsvoorstellen ‘verhoging griffierechten’, ‘stelselherziening rechtsbijstand’ en ‘eigen bijdrage regelingen’ treden er besparingsverliezen op. Vanwege het onafhankelijke onderzoek dat nu plaatsvindt naar de oorzaken van de kostenstijgingen, treedt er besparingsverlies op bij het wetsvoorstel ‘stelselherziening rechtsbijstand’. De besparingsverliezen vanuit de wetsvoorstellen ‘verhoging griffierechten’ en ‘eigen betalingen’ leiden tot lagere ontvangsten en zijn aan de ontvangstenkant opgenomen.</w:t>
      </w:r>
    </w:p>
    <w:p w:rsidRPr="005E7EAC" w:rsidR="006D2B37" w:rsidP="006D2B37" w:rsidRDefault="006D2B37">
      <w:pPr>
        <w:spacing w:line="240" w:lineRule="exact"/>
        <w:rPr>
          <w:rFonts w:ascii="Verdana" w:hAnsi="Verdana"/>
          <w:i/>
          <w:sz w:val="18"/>
          <w:szCs w:val="18"/>
        </w:rPr>
      </w:pPr>
    </w:p>
    <w:p w:rsidRPr="005E7EAC" w:rsidR="006D2B37" w:rsidP="006D2B37" w:rsidRDefault="006D2B37">
      <w:pPr>
        <w:spacing w:line="240" w:lineRule="exact"/>
        <w:rPr>
          <w:rFonts w:ascii="Verdana" w:hAnsi="Verdana"/>
          <w:i/>
          <w:sz w:val="18"/>
          <w:szCs w:val="18"/>
        </w:rPr>
      </w:pPr>
      <w:r w:rsidRPr="005E7EAC">
        <w:rPr>
          <w:rFonts w:ascii="Verdana" w:hAnsi="Verdana"/>
          <w:i/>
          <w:sz w:val="18"/>
          <w:szCs w:val="18"/>
        </w:rPr>
        <w:t>DJI aanzuiveren eigen vermogen</w:t>
      </w:r>
    </w:p>
    <w:p w:rsidRPr="005E7EAC" w:rsidR="006D2B37" w:rsidP="006D2B37" w:rsidRDefault="006D2B37">
      <w:pPr>
        <w:spacing w:line="240" w:lineRule="exact"/>
        <w:rPr>
          <w:rFonts w:ascii="Verdana" w:hAnsi="Verdana"/>
          <w:sz w:val="18"/>
          <w:szCs w:val="18"/>
        </w:rPr>
      </w:pPr>
      <w:r w:rsidRPr="005E7EAC">
        <w:rPr>
          <w:rFonts w:ascii="Verdana" w:hAnsi="Verdana"/>
          <w:sz w:val="18"/>
          <w:szCs w:val="18"/>
        </w:rPr>
        <w:t xml:space="preserve">Ultimo 2014 had DJI een eigen vermogen van 77 mln. negatief. Conform de Regeling Agentschappen zuivert het ministerie van VenJ het eigen vermogen van Dienst Justitiële Inrichtingen (DJI) aan. </w:t>
      </w:r>
    </w:p>
    <w:p w:rsidRPr="005E7EAC" w:rsidR="006D2B37" w:rsidP="006D2B37" w:rsidRDefault="006D2B37">
      <w:pPr>
        <w:spacing w:line="240" w:lineRule="exact"/>
        <w:rPr>
          <w:rFonts w:ascii="Verdana" w:hAnsi="Verdana"/>
          <w:i/>
          <w:sz w:val="18"/>
          <w:szCs w:val="18"/>
        </w:rPr>
      </w:pPr>
    </w:p>
    <w:p w:rsidRPr="005E7EAC" w:rsidR="006D2B37" w:rsidP="006D2B37" w:rsidRDefault="006D2B37">
      <w:pPr>
        <w:spacing w:line="240" w:lineRule="exact"/>
        <w:rPr>
          <w:rFonts w:ascii="Verdana" w:hAnsi="Verdana"/>
          <w:i/>
          <w:sz w:val="18"/>
          <w:szCs w:val="18"/>
        </w:rPr>
      </w:pPr>
      <w:r w:rsidRPr="005E7EAC">
        <w:rPr>
          <w:rFonts w:ascii="Verdana" w:hAnsi="Verdana"/>
          <w:i/>
          <w:sz w:val="18"/>
          <w:szCs w:val="18"/>
        </w:rPr>
        <w:t>Gevolgen asielinstroom (niet ODA) en inzet asielreserve</w:t>
      </w:r>
    </w:p>
    <w:p w:rsidRPr="005E7EAC" w:rsidR="006D2B37" w:rsidP="006D2B37" w:rsidRDefault="006D2B37">
      <w:pPr>
        <w:spacing w:line="240" w:lineRule="exact"/>
        <w:rPr>
          <w:rFonts w:ascii="Verdana" w:hAnsi="Verdana"/>
          <w:sz w:val="18"/>
          <w:szCs w:val="18"/>
        </w:rPr>
      </w:pPr>
      <w:r w:rsidRPr="005E7EAC">
        <w:rPr>
          <w:rFonts w:ascii="Verdana" w:hAnsi="Verdana"/>
          <w:sz w:val="18"/>
          <w:szCs w:val="18"/>
        </w:rPr>
        <w:t xml:space="preserve">De asielinstroom neemt toe en dit leidt tot extra opvangkosten bij het Centraal Orgaan Opvang Asielzoekers (COA) en hogere kosten voor de Immigratie en Naturalisatiedienst (IND) vanwege de stijging van het aantal asielzoekers die de procedure voor asielaanvraag doorlopen. </w:t>
      </w:r>
    </w:p>
    <w:p w:rsidRPr="005E7EAC" w:rsidR="006D2B37" w:rsidP="006D2B37" w:rsidRDefault="006D2B37">
      <w:pPr>
        <w:spacing w:line="240" w:lineRule="exact"/>
        <w:rPr>
          <w:rFonts w:ascii="Verdana" w:hAnsi="Verdana"/>
          <w:i/>
          <w:sz w:val="18"/>
          <w:szCs w:val="18"/>
        </w:rPr>
      </w:pPr>
    </w:p>
    <w:p w:rsidRPr="005E7EAC" w:rsidR="00B04E9F" w:rsidP="00B04E9F" w:rsidRDefault="00B04E9F">
      <w:pPr>
        <w:spacing w:line="240" w:lineRule="exact"/>
        <w:rPr>
          <w:rFonts w:ascii="Verdana" w:hAnsi="Verdana"/>
          <w:i/>
          <w:sz w:val="18"/>
          <w:szCs w:val="18"/>
        </w:rPr>
      </w:pPr>
      <w:r w:rsidRPr="005E7EAC">
        <w:rPr>
          <w:rFonts w:ascii="Verdana" w:hAnsi="Verdana"/>
          <w:i/>
          <w:sz w:val="18"/>
          <w:szCs w:val="18"/>
        </w:rPr>
        <w:t>Inzet eindejaarsmarge</w:t>
      </w:r>
    </w:p>
    <w:p w:rsidRPr="005E7EAC" w:rsidR="00822515" w:rsidP="00822515" w:rsidRDefault="00822515">
      <w:pPr>
        <w:spacing w:line="240" w:lineRule="exact"/>
        <w:rPr>
          <w:rFonts w:ascii="Verdana" w:hAnsi="Verdana"/>
          <w:sz w:val="18"/>
          <w:szCs w:val="18"/>
        </w:rPr>
      </w:pPr>
      <w:r w:rsidRPr="005E7EAC">
        <w:rPr>
          <w:rFonts w:ascii="Verdana" w:hAnsi="Verdana"/>
          <w:sz w:val="18"/>
          <w:szCs w:val="18"/>
        </w:rPr>
        <w:t>De eindejaarsmarge wordt ingezet ter dekking van overlopende verplichtingen van 2014 naar 2015 en voor de problematiek op de begroting van Veiligheid en Justitie.</w:t>
      </w:r>
    </w:p>
    <w:p w:rsidRPr="005E7EAC" w:rsidR="006D2B37" w:rsidP="006D2B37" w:rsidRDefault="006D2B37">
      <w:pPr>
        <w:spacing w:line="240" w:lineRule="exact"/>
        <w:rPr>
          <w:rFonts w:ascii="Verdana" w:hAnsi="Verdana"/>
          <w:i/>
          <w:sz w:val="18"/>
          <w:szCs w:val="18"/>
        </w:rPr>
      </w:pPr>
    </w:p>
    <w:p w:rsidRPr="005E7EAC" w:rsidR="00981F52" w:rsidP="00981F52" w:rsidRDefault="00981F52">
      <w:pPr>
        <w:spacing w:line="240" w:lineRule="exact"/>
        <w:rPr>
          <w:rFonts w:ascii="Verdana" w:hAnsi="Verdana"/>
          <w:i/>
          <w:sz w:val="18"/>
          <w:szCs w:val="18"/>
        </w:rPr>
      </w:pPr>
      <w:r w:rsidRPr="005E7EAC">
        <w:rPr>
          <w:rFonts w:ascii="Verdana" w:hAnsi="Verdana"/>
          <w:i/>
          <w:sz w:val="18"/>
          <w:szCs w:val="18"/>
        </w:rPr>
        <w:t xml:space="preserve">Lagere bezetting DJI </w:t>
      </w:r>
    </w:p>
    <w:p w:rsidRPr="005E7EAC" w:rsidR="00981F52" w:rsidP="00981F52" w:rsidRDefault="00981F52">
      <w:pPr>
        <w:spacing w:line="240" w:lineRule="exact"/>
        <w:rPr>
          <w:rFonts w:ascii="Verdana" w:hAnsi="Verdana"/>
          <w:sz w:val="18"/>
          <w:szCs w:val="18"/>
        </w:rPr>
      </w:pPr>
      <w:r w:rsidRPr="005E7EAC">
        <w:rPr>
          <w:rFonts w:ascii="Verdana" w:hAnsi="Verdana"/>
          <w:sz w:val="18"/>
          <w:szCs w:val="18"/>
        </w:rPr>
        <w:t>Wegens de lage bezetting in het gevangeniswezen, jeugdinrichtingen en de vreemdelingenbewaring vallen bij DJI middelen vrij. Tevens levert voorgenomen verhuur van Norgerhaven besparingen op en daarnaast worden extra middelen toegevoegd aan de Forensische zorg. Per saldo levert dit in 2015 10,3 mln. op.</w:t>
      </w:r>
    </w:p>
    <w:p w:rsidRPr="005E7EAC" w:rsidR="006D2B37" w:rsidP="006D2B37" w:rsidRDefault="006D2B37">
      <w:pPr>
        <w:spacing w:line="240" w:lineRule="exact"/>
        <w:rPr>
          <w:rFonts w:ascii="Verdana" w:hAnsi="Verdana"/>
          <w:i/>
          <w:sz w:val="18"/>
          <w:szCs w:val="18"/>
        </w:rPr>
      </w:pPr>
    </w:p>
    <w:p w:rsidRPr="005E7EAC" w:rsidR="006D2B37" w:rsidP="006D2B37" w:rsidRDefault="006D2B37">
      <w:pPr>
        <w:spacing w:line="240" w:lineRule="exact"/>
        <w:rPr>
          <w:rFonts w:ascii="Verdana" w:hAnsi="Verdana"/>
          <w:i/>
          <w:sz w:val="18"/>
          <w:szCs w:val="18"/>
        </w:rPr>
      </w:pPr>
      <w:r w:rsidRPr="005E7EAC">
        <w:rPr>
          <w:rFonts w:ascii="Verdana" w:hAnsi="Verdana"/>
          <w:i/>
          <w:sz w:val="18"/>
          <w:szCs w:val="18"/>
        </w:rPr>
        <w:t>Oda toerekening</w:t>
      </w:r>
      <w:r w:rsidRPr="005E7EAC">
        <w:rPr>
          <w:rFonts w:ascii="Verdana" w:hAnsi="Verdana"/>
          <w:i/>
          <w:sz w:val="18"/>
          <w:szCs w:val="18"/>
        </w:rPr>
        <w:br/>
      </w:r>
      <w:r w:rsidRPr="005E7EAC">
        <w:rPr>
          <w:rFonts w:ascii="Verdana" w:hAnsi="Verdana"/>
          <w:sz w:val="18"/>
          <w:szCs w:val="18"/>
        </w:rPr>
        <w:t>De raming voor de asielinstroom is voor 2015 naar boven bijgesteld. Dit leidt tot hogere asielopvangkosten bij het COA. De kosten voor de eerstejaarsopvang van asielzoekers uit DAC-landen worden toegerekend aan ODA. Door de verhoogde raming van de asielinstroom neemt de toerekening aan ODA in 2015 ook toe.</w:t>
      </w:r>
    </w:p>
    <w:p w:rsidRPr="005E7EAC" w:rsidR="006D2B37" w:rsidP="006D2B37" w:rsidRDefault="006D2B37">
      <w:pPr>
        <w:spacing w:line="240" w:lineRule="exact"/>
        <w:rPr>
          <w:rFonts w:ascii="Verdana" w:hAnsi="Verdana"/>
          <w:i/>
          <w:sz w:val="18"/>
          <w:szCs w:val="18"/>
        </w:rPr>
      </w:pPr>
    </w:p>
    <w:p w:rsidRPr="005E7EAC" w:rsidR="006D2B37" w:rsidP="006D2B37" w:rsidRDefault="00004519">
      <w:pPr>
        <w:spacing w:line="240" w:lineRule="exact"/>
        <w:rPr>
          <w:rFonts w:ascii="Verdana" w:hAnsi="Verdana"/>
          <w:i/>
          <w:sz w:val="18"/>
          <w:szCs w:val="18"/>
        </w:rPr>
      </w:pPr>
      <w:r w:rsidRPr="005E7EAC">
        <w:rPr>
          <w:rFonts w:ascii="Verdana" w:hAnsi="Verdana"/>
          <w:i/>
          <w:sz w:val="18"/>
          <w:szCs w:val="18"/>
        </w:rPr>
        <w:t>R</w:t>
      </w:r>
      <w:r w:rsidRPr="005E7EAC" w:rsidR="006D2B37">
        <w:rPr>
          <w:rFonts w:ascii="Verdana" w:hAnsi="Verdana"/>
          <w:i/>
          <w:sz w:val="18"/>
          <w:szCs w:val="18"/>
        </w:rPr>
        <w:t>echtsbijstand</w:t>
      </w:r>
    </w:p>
    <w:p w:rsidRPr="005E7EAC" w:rsidR="006D2B37" w:rsidP="006D2B37" w:rsidRDefault="006D2B37">
      <w:pPr>
        <w:spacing w:line="240" w:lineRule="exact"/>
        <w:rPr>
          <w:rFonts w:ascii="Verdana" w:hAnsi="Verdana"/>
          <w:sz w:val="18"/>
          <w:szCs w:val="18"/>
        </w:rPr>
      </w:pPr>
      <w:r w:rsidRPr="005E7EAC">
        <w:rPr>
          <w:rFonts w:ascii="Verdana" w:hAnsi="Verdana"/>
          <w:sz w:val="18"/>
          <w:szCs w:val="18"/>
        </w:rPr>
        <w:t xml:space="preserve">Uit het Prognose Model Justitiële ketens volgt een tegenvaller op de rechtsbijstand, die niet is betrokken bij de stelselherziening rechtsbijstand. De tegenvaller wordt met name veroorzaakt doordat er meer verzoeken voor rechtsbijstand zijn, dan waarmee in de raming rekening is gehouden.  </w:t>
      </w:r>
    </w:p>
    <w:p w:rsidRPr="005E7EAC" w:rsidR="006D2B37" w:rsidP="006D2B37" w:rsidRDefault="006D2B37">
      <w:pPr>
        <w:spacing w:line="240" w:lineRule="exact"/>
        <w:rPr>
          <w:rFonts w:ascii="Verdana" w:hAnsi="Verdana"/>
          <w:i/>
          <w:sz w:val="18"/>
          <w:szCs w:val="18"/>
        </w:rPr>
      </w:pPr>
    </w:p>
    <w:p w:rsidRPr="005E7EAC" w:rsidR="006D2B37" w:rsidP="006D2B37" w:rsidRDefault="00004519">
      <w:pPr>
        <w:spacing w:line="240" w:lineRule="exact"/>
        <w:rPr>
          <w:rFonts w:ascii="Verdana" w:hAnsi="Verdana"/>
          <w:i/>
          <w:sz w:val="18"/>
          <w:szCs w:val="18"/>
        </w:rPr>
      </w:pPr>
      <w:r w:rsidRPr="005E7EAC">
        <w:rPr>
          <w:rFonts w:ascii="Verdana" w:hAnsi="Verdana"/>
          <w:i/>
          <w:sz w:val="18"/>
          <w:szCs w:val="18"/>
        </w:rPr>
        <w:t>R</w:t>
      </w:r>
      <w:r w:rsidRPr="005E7EAC" w:rsidR="006D2B37">
        <w:rPr>
          <w:rFonts w:ascii="Verdana" w:hAnsi="Verdana"/>
          <w:i/>
          <w:sz w:val="18"/>
          <w:szCs w:val="18"/>
        </w:rPr>
        <w:t>echtspraak</w:t>
      </w:r>
    </w:p>
    <w:p w:rsidRPr="005E7EAC" w:rsidR="006D2B37" w:rsidP="006D2B37" w:rsidRDefault="006D2B37">
      <w:pPr>
        <w:spacing w:line="240" w:lineRule="exact"/>
        <w:rPr>
          <w:rFonts w:ascii="Verdana" w:hAnsi="Verdana"/>
          <w:sz w:val="18"/>
          <w:szCs w:val="18"/>
        </w:rPr>
      </w:pPr>
      <w:r w:rsidRPr="005E7EAC">
        <w:rPr>
          <w:rFonts w:ascii="Verdana" w:hAnsi="Verdana"/>
          <w:sz w:val="18"/>
          <w:szCs w:val="18"/>
        </w:rPr>
        <w:t>Uit het Prognose Model Justitiële ketens volgt een meevaller op de rechtspraak. Deze wordt met name veroorzaakt doordat er bij de Raad voor de Rechtspraak sprake is van een volumemeevaller. Er worden minder zaken behandeld dan waarmee in de raming rekening is gehouden.</w:t>
      </w:r>
    </w:p>
    <w:p w:rsidRPr="005E7EAC" w:rsidR="00004519" w:rsidP="00004519" w:rsidRDefault="00004519">
      <w:pPr>
        <w:spacing w:line="240" w:lineRule="exact"/>
        <w:rPr>
          <w:rFonts w:ascii="Verdana" w:hAnsi="Verdana"/>
          <w:i/>
          <w:sz w:val="18"/>
          <w:szCs w:val="18"/>
        </w:rPr>
      </w:pPr>
    </w:p>
    <w:p w:rsidRPr="005E7EAC" w:rsidR="00C05DFC" w:rsidP="00C05DFC" w:rsidRDefault="00C05DFC">
      <w:pPr>
        <w:spacing w:line="240" w:lineRule="exact"/>
        <w:rPr>
          <w:rFonts w:ascii="Verdana" w:hAnsi="Verdana"/>
          <w:i/>
          <w:sz w:val="18"/>
          <w:szCs w:val="18"/>
        </w:rPr>
      </w:pPr>
      <w:r w:rsidRPr="005E7EAC">
        <w:rPr>
          <w:rFonts w:ascii="Verdana" w:hAnsi="Verdana"/>
          <w:i/>
          <w:sz w:val="18"/>
          <w:szCs w:val="18"/>
        </w:rPr>
        <w:t>Taakstelling VenJ</w:t>
      </w:r>
    </w:p>
    <w:p w:rsidRPr="005E7EAC" w:rsidR="00C05DFC" w:rsidP="00C05DFC" w:rsidRDefault="00C05DFC">
      <w:pPr>
        <w:spacing w:line="240" w:lineRule="exact"/>
        <w:rPr>
          <w:rFonts w:ascii="Verdana" w:hAnsi="Verdana"/>
          <w:sz w:val="18"/>
          <w:szCs w:val="18"/>
        </w:rPr>
      </w:pPr>
      <w:r w:rsidRPr="005E7EAC">
        <w:rPr>
          <w:rFonts w:ascii="Verdana" w:hAnsi="Verdana"/>
          <w:sz w:val="18"/>
          <w:szCs w:val="18"/>
        </w:rPr>
        <w:t>Er is taakstellend in 2015 en 2016 30 mln. en structureel vanaf 2017 60 mln. ingeboekt op de begroting van VenJ. De taakstelling zal in 2015 en 2016 worden ingevuld door de tariefsverlaging Rgd. In 2017 wordt circa de helft (32 mln.) van deze taakstelling ingevuld door de tariefsverlaging Rgd.</w:t>
      </w:r>
    </w:p>
    <w:p w:rsidRPr="005E7EAC" w:rsidR="000142F6" w:rsidP="006D2B37" w:rsidRDefault="000142F6">
      <w:pPr>
        <w:spacing w:line="240" w:lineRule="exact"/>
        <w:rPr>
          <w:rFonts w:ascii="Verdana" w:hAnsi="Verdana"/>
          <w:i/>
          <w:sz w:val="18"/>
          <w:szCs w:val="18"/>
        </w:rPr>
      </w:pPr>
    </w:p>
    <w:p w:rsidRPr="005E7EAC" w:rsidR="00004519" w:rsidRDefault="00004519">
      <w:pPr>
        <w:spacing w:after="200" w:line="276" w:lineRule="auto"/>
        <w:rPr>
          <w:rFonts w:ascii="Verdana" w:hAnsi="Verdana"/>
          <w:i/>
          <w:sz w:val="18"/>
          <w:szCs w:val="18"/>
        </w:rPr>
      </w:pPr>
      <w:r w:rsidRPr="005E7EAC">
        <w:rPr>
          <w:rFonts w:ascii="Verdana" w:hAnsi="Verdana"/>
          <w:i/>
          <w:sz w:val="18"/>
          <w:szCs w:val="18"/>
        </w:rPr>
        <w:br w:type="page"/>
      </w:r>
    </w:p>
    <w:p w:rsidRPr="005E7EAC" w:rsidR="00004519" w:rsidP="00004519" w:rsidRDefault="00004519">
      <w:pPr>
        <w:spacing w:line="240" w:lineRule="exact"/>
        <w:rPr>
          <w:rFonts w:ascii="Verdana" w:hAnsi="Verdana"/>
          <w:i/>
          <w:sz w:val="18"/>
          <w:szCs w:val="18"/>
        </w:rPr>
      </w:pPr>
      <w:r w:rsidRPr="005E7EAC">
        <w:rPr>
          <w:rFonts w:ascii="Verdana" w:hAnsi="Verdana"/>
          <w:i/>
          <w:sz w:val="18"/>
          <w:szCs w:val="18"/>
        </w:rPr>
        <w:lastRenderedPageBreak/>
        <w:t>Tariefsverlaging Rijksgebouwendienst (Rgd)</w:t>
      </w:r>
    </w:p>
    <w:p w:rsidRPr="005E7EAC" w:rsidR="00004519" w:rsidP="00004519" w:rsidRDefault="00004519">
      <w:pPr>
        <w:spacing w:line="240" w:lineRule="exact"/>
        <w:rPr>
          <w:rFonts w:ascii="Verdana" w:hAnsi="Verdana"/>
          <w:sz w:val="18"/>
          <w:szCs w:val="18"/>
        </w:rPr>
      </w:pPr>
      <w:r w:rsidRPr="005E7EAC">
        <w:rPr>
          <w:rFonts w:ascii="Verdana" w:hAnsi="Verdana"/>
          <w:sz w:val="18"/>
          <w:szCs w:val="18"/>
        </w:rPr>
        <w:t>Departementen wordt een tariefsverlaging toegekend. Bij VenJ wordt deze ingezet ter dekking van de problematiek op de VenJ begroting. Een deel van de tariefsverlaging wordt via de ontvangstenzijde geboekt.</w:t>
      </w:r>
    </w:p>
    <w:p w:rsidRPr="005E7EAC" w:rsidR="00004519" w:rsidP="006D2B37" w:rsidRDefault="00004519">
      <w:pPr>
        <w:spacing w:line="240" w:lineRule="exact"/>
        <w:rPr>
          <w:rFonts w:ascii="Verdana" w:hAnsi="Verdana"/>
          <w:i/>
          <w:sz w:val="18"/>
          <w:szCs w:val="18"/>
        </w:rPr>
      </w:pPr>
    </w:p>
    <w:p w:rsidRPr="005E7EAC" w:rsidR="006D2B37" w:rsidP="006D2B37" w:rsidRDefault="00004519">
      <w:pPr>
        <w:spacing w:line="240" w:lineRule="exact"/>
        <w:rPr>
          <w:rFonts w:ascii="Verdana" w:hAnsi="Verdana"/>
          <w:i/>
          <w:sz w:val="18"/>
          <w:szCs w:val="18"/>
        </w:rPr>
      </w:pPr>
      <w:r w:rsidRPr="005E7EAC">
        <w:rPr>
          <w:rFonts w:ascii="Verdana" w:hAnsi="Verdana"/>
          <w:i/>
          <w:sz w:val="18"/>
          <w:szCs w:val="18"/>
        </w:rPr>
        <w:t>T</w:t>
      </w:r>
      <w:r w:rsidRPr="005E7EAC" w:rsidR="006D2B37">
        <w:rPr>
          <w:rFonts w:ascii="Verdana" w:hAnsi="Verdana"/>
          <w:i/>
          <w:sz w:val="18"/>
          <w:szCs w:val="18"/>
        </w:rPr>
        <w:t>huiskopie</w:t>
      </w:r>
    </w:p>
    <w:p w:rsidRPr="005E7EAC" w:rsidR="006D2B37" w:rsidP="006D2B37" w:rsidRDefault="006D2B37">
      <w:pPr>
        <w:spacing w:line="240" w:lineRule="exact"/>
        <w:rPr>
          <w:rFonts w:ascii="Verdana" w:hAnsi="Verdana"/>
          <w:sz w:val="18"/>
          <w:szCs w:val="18"/>
        </w:rPr>
      </w:pPr>
      <w:r w:rsidRPr="005E7EAC">
        <w:rPr>
          <w:rFonts w:ascii="Verdana" w:hAnsi="Verdana"/>
          <w:sz w:val="18"/>
          <w:szCs w:val="18"/>
        </w:rPr>
        <w:t xml:space="preserve">Er is een schikking getroffen door het ministerie van VenJ met de Stichting Thuiskopie voor 33,5 mln. vanwege het niet actualiseren van een algemene maatregel van bestuur waarmee de stichting een heffing kan opleggen op met name geluids- en beelddragers.  </w:t>
      </w:r>
    </w:p>
    <w:p w:rsidRPr="005E7EAC" w:rsidR="006D2B37" w:rsidP="006D2B37" w:rsidRDefault="006D2B37">
      <w:pPr>
        <w:spacing w:line="240" w:lineRule="exact"/>
        <w:rPr>
          <w:rFonts w:ascii="Verdana" w:hAnsi="Verdana"/>
          <w:i/>
          <w:sz w:val="18"/>
          <w:szCs w:val="18"/>
        </w:rPr>
      </w:pPr>
    </w:p>
    <w:p w:rsidRPr="005E7EAC" w:rsidR="006D2B37" w:rsidP="006D2B37" w:rsidRDefault="006D2B37">
      <w:pPr>
        <w:spacing w:line="240" w:lineRule="exact"/>
        <w:rPr>
          <w:rFonts w:ascii="Verdana" w:hAnsi="Verdana"/>
          <w:i/>
          <w:sz w:val="18"/>
          <w:szCs w:val="18"/>
        </w:rPr>
      </w:pPr>
      <w:r w:rsidRPr="005E7EAC">
        <w:rPr>
          <w:rFonts w:ascii="Verdana" w:hAnsi="Verdana"/>
          <w:i/>
          <w:sz w:val="18"/>
          <w:szCs w:val="18"/>
        </w:rPr>
        <w:t>Uitkering eindejaarsmarge</w:t>
      </w:r>
    </w:p>
    <w:p w:rsidRPr="005E7EAC" w:rsidR="006D2B37" w:rsidP="006D2B37" w:rsidRDefault="006D2B37">
      <w:pPr>
        <w:spacing w:line="240" w:lineRule="exact"/>
        <w:rPr>
          <w:rFonts w:ascii="Verdana" w:hAnsi="Verdana"/>
          <w:sz w:val="18"/>
          <w:szCs w:val="18"/>
        </w:rPr>
      </w:pPr>
      <w:r w:rsidRPr="005E7EAC">
        <w:rPr>
          <w:rFonts w:ascii="Verdana" w:hAnsi="Verdana"/>
          <w:sz w:val="18"/>
          <w:szCs w:val="18"/>
        </w:rPr>
        <w:t>In 2014 is het budget van het ministerie van VenJ niet volledig tot besteding gekomen. Deze middelen worden aan de begroting van VenJ toegevoegd.</w:t>
      </w:r>
    </w:p>
    <w:p w:rsidRPr="005E7EAC" w:rsidR="006D2B37" w:rsidP="006D2B37" w:rsidRDefault="006D2B37">
      <w:pPr>
        <w:spacing w:line="240" w:lineRule="exact"/>
        <w:rPr>
          <w:rFonts w:ascii="Verdana" w:hAnsi="Verdana"/>
          <w:i/>
          <w:sz w:val="18"/>
          <w:szCs w:val="18"/>
        </w:rPr>
      </w:pPr>
    </w:p>
    <w:p w:rsidRPr="005E7EAC" w:rsidR="006D2B37" w:rsidP="006D2B37" w:rsidRDefault="006D2B37">
      <w:pPr>
        <w:spacing w:line="240" w:lineRule="exact"/>
        <w:rPr>
          <w:rFonts w:ascii="Verdana" w:hAnsi="Verdana"/>
          <w:i/>
          <w:sz w:val="18"/>
          <w:szCs w:val="18"/>
        </w:rPr>
      </w:pPr>
      <w:r w:rsidRPr="005E7EAC">
        <w:rPr>
          <w:rFonts w:ascii="Verdana" w:hAnsi="Verdana"/>
          <w:i/>
          <w:sz w:val="18"/>
          <w:szCs w:val="18"/>
        </w:rPr>
        <w:t>Diversen (beleidsmatige mutaties)</w:t>
      </w:r>
    </w:p>
    <w:p w:rsidRPr="005E7EAC" w:rsidR="006D2B37" w:rsidP="006D2B37" w:rsidRDefault="006D2B37">
      <w:pPr>
        <w:spacing w:line="240" w:lineRule="exact"/>
        <w:rPr>
          <w:rFonts w:ascii="Verdana" w:hAnsi="Verdana"/>
          <w:sz w:val="18"/>
          <w:szCs w:val="18"/>
        </w:rPr>
      </w:pPr>
      <w:r w:rsidRPr="005E7EAC">
        <w:rPr>
          <w:rFonts w:ascii="Verdana" w:hAnsi="Verdana"/>
          <w:sz w:val="18"/>
          <w:szCs w:val="18"/>
        </w:rPr>
        <w:t xml:space="preserve">De post diversen is een optelling van verschillende mee- en tegenvallers. De belangrijkste tegenvallers zijn additionele archiefkosten bij de IND, een besparingsverlies bij arbeid van gedetineerden, extra controle handbagage Schiphol, een bijdrage aan de voorzieningen binnen de generieke digitale infrastructuur GDI (deze middelen zijn op de aanvullende post geplaatst) en de PV-vergoeding.   </w:t>
      </w:r>
    </w:p>
    <w:p w:rsidRPr="005E7EAC" w:rsidR="006D2B37" w:rsidP="006D2B37" w:rsidRDefault="006D2B37">
      <w:pPr>
        <w:spacing w:line="240" w:lineRule="exact"/>
        <w:rPr>
          <w:rFonts w:ascii="Verdana" w:hAnsi="Verdana"/>
          <w:i/>
          <w:sz w:val="18"/>
          <w:szCs w:val="18"/>
        </w:rPr>
      </w:pPr>
    </w:p>
    <w:p w:rsidRPr="005E7EAC" w:rsidR="006D2B37" w:rsidP="006D2B37" w:rsidRDefault="006D2B37">
      <w:pPr>
        <w:spacing w:line="240" w:lineRule="exact"/>
        <w:rPr>
          <w:rFonts w:ascii="Verdana" w:hAnsi="Verdana"/>
          <w:i/>
          <w:sz w:val="18"/>
          <w:szCs w:val="18"/>
        </w:rPr>
      </w:pPr>
      <w:r w:rsidRPr="005E7EAC">
        <w:rPr>
          <w:rFonts w:ascii="Verdana" w:hAnsi="Verdana"/>
          <w:i/>
          <w:sz w:val="18"/>
          <w:szCs w:val="18"/>
        </w:rPr>
        <w:t>Frictiekosten dienst justitiële inrichtingen</w:t>
      </w:r>
    </w:p>
    <w:p w:rsidRPr="005E7EAC" w:rsidR="006D2B37" w:rsidP="00C32A3A" w:rsidRDefault="006D2B37">
      <w:pPr>
        <w:spacing w:line="240" w:lineRule="exact"/>
        <w:rPr>
          <w:rFonts w:ascii="Verdana" w:hAnsi="Verdana"/>
          <w:sz w:val="18"/>
          <w:szCs w:val="18"/>
        </w:rPr>
      </w:pPr>
      <w:r w:rsidRPr="005E7EAC">
        <w:rPr>
          <w:rFonts w:ascii="Verdana" w:hAnsi="Verdana"/>
          <w:sz w:val="18"/>
          <w:szCs w:val="18"/>
        </w:rPr>
        <w:t>De uitvoering van het Masterplan DJI (TK 24 587, nr. 535) heeft tot gevolg dat een aanzienlijk aantal justitiële inrichtingen wordt gesloten. Dit brengt onder andere frictiekosten ten aanzien van het vastgoed met zich mee. Voor het inpassen van de frictiekosten huisvesting Masterplan DJI zijn middelen op de aanvullende post gereserveerd. De in 2015 benodigde middelen worden via de aanvullende post bij Financiën aan de begroting van VenJ beschikbaar gesteld.</w:t>
      </w:r>
    </w:p>
    <w:p w:rsidRPr="005E7EAC" w:rsidR="006D2B37" w:rsidP="00C32A3A" w:rsidRDefault="006D2B37">
      <w:pPr>
        <w:spacing w:line="240" w:lineRule="exact"/>
        <w:rPr>
          <w:rFonts w:ascii="Verdana" w:hAnsi="Verdana"/>
          <w:i/>
          <w:sz w:val="18"/>
          <w:szCs w:val="18"/>
        </w:rPr>
      </w:pPr>
    </w:p>
    <w:p w:rsidRPr="005E7EAC" w:rsidR="006D2B37" w:rsidP="00C32A3A" w:rsidRDefault="006D2B37">
      <w:pPr>
        <w:spacing w:line="240" w:lineRule="exact"/>
        <w:rPr>
          <w:rFonts w:ascii="Verdana" w:hAnsi="Verdana"/>
          <w:i/>
          <w:sz w:val="18"/>
          <w:szCs w:val="18"/>
        </w:rPr>
      </w:pPr>
      <w:r w:rsidRPr="005E7EAC">
        <w:rPr>
          <w:rFonts w:ascii="Verdana" w:hAnsi="Verdana"/>
          <w:i/>
          <w:sz w:val="18"/>
          <w:szCs w:val="18"/>
        </w:rPr>
        <w:t>Loonbijstelling tranche 2015</w:t>
      </w:r>
    </w:p>
    <w:p w:rsidRPr="005E7EAC" w:rsidR="006D2B37" w:rsidP="00C32A3A" w:rsidRDefault="006D2B37">
      <w:pPr>
        <w:spacing w:line="240" w:lineRule="exact"/>
        <w:rPr>
          <w:rFonts w:ascii="Verdana" w:hAnsi="Verdana"/>
          <w:sz w:val="18"/>
          <w:szCs w:val="18"/>
        </w:rPr>
      </w:pPr>
      <w:r w:rsidRPr="005E7EAC">
        <w:rPr>
          <w:rFonts w:ascii="Verdana" w:hAnsi="Verdana"/>
          <w:sz w:val="18"/>
          <w:szCs w:val="18"/>
        </w:rPr>
        <w:t>De loonbijstelling, tranche 2015, wordt uitgekeerd op de VenJ begroting.</w:t>
      </w:r>
    </w:p>
    <w:p w:rsidRPr="005E7EAC" w:rsidR="006D2B37" w:rsidP="00C32A3A" w:rsidRDefault="006D2B37">
      <w:pPr>
        <w:spacing w:line="240" w:lineRule="exact"/>
        <w:rPr>
          <w:rFonts w:ascii="Verdana" w:hAnsi="Verdana"/>
          <w:i/>
          <w:sz w:val="18"/>
          <w:szCs w:val="18"/>
        </w:rPr>
      </w:pPr>
    </w:p>
    <w:p w:rsidRPr="005E7EAC" w:rsidR="006D2B37" w:rsidP="00C32A3A" w:rsidRDefault="006D2B37">
      <w:pPr>
        <w:spacing w:line="240" w:lineRule="exact"/>
        <w:rPr>
          <w:rFonts w:ascii="Verdana" w:hAnsi="Verdana"/>
          <w:i/>
          <w:sz w:val="18"/>
          <w:szCs w:val="18"/>
        </w:rPr>
      </w:pPr>
      <w:r w:rsidRPr="005E7EAC">
        <w:rPr>
          <w:rFonts w:ascii="Verdana" w:hAnsi="Verdana"/>
          <w:i/>
          <w:sz w:val="18"/>
          <w:szCs w:val="18"/>
        </w:rPr>
        <w:t>Diversen (technische mutaties)</w:t>
      </w:r>
    </w:p>
    <w:p w:rsidRPr="005E7EAC" w:rsidR="006D2B37" w:rsidP="00C32A3A" w:rsidRDefault="006D2B37">
      <w:pPr>
        <w:spacing w:line="240" w:lineRule="exact"/>
        <w:rPr>
          <w:rFonts w:ascii="Verdana" w:hAnsi="Verdana"/>
          <w:sz w:val="18"/>
          <w:szCs w:val="18"/>
        </w:rPr>
      </w:pPr>
      <w:r w:rsidRPr="005E7EAC">
        <w:rPr>
          <w:rFonts w:ascii="Verdana" w:hAnsi="Verdana"/>
          <w:sz w:val="18"/>
          <w:szCs w:val="18"/>
        </w:rPr>
        <w:t xml:space="preserve">Deze post bestaat uit enkele mee- en tegenvallers. Twee belangrijkste posten zijn de exploitatiekosten C2000 (10,4 mln.) en de prijsbijstelling tranche 2015 voor 9,1 mln. </w:t>
      </w:r>
    </w:p>
    <w:p w:rsidRPr="005E7EAC" w:rsidR="00C32A3A" w:rsidP="00C32A3A" w:rsidRDefault="00C32A3A">
      <w:pPr>
        <w:spacing w:line="240" w:lineRule="exact"/>
        <w:rPr>
          <w:rFonts w:ascii="Verdana" w:hAnsi="Verdana"/>
          <w:i/>
          <w:sz w:val="18"/>
          <w:szCs w:val="18"/>
        </w:rPr>
      </w:pPr>
    </w:p>
    <w:p w:rsidRPr="005E7EAC" w:rsidR="00C32A3A" w:rsidP="00C32A3A" w:rsidRDefault="00C32A3A">
      <w:pPr>
        <w:spacing w:line="240" w:lineRule="exact"/>
        <w:rPr>
          <w:rFonts w:ascii="Verdana" w:hAnsi="Verdana"/>
          <w:i/>
          <w:iCs/>
          <w:sz w:val="18"/>
          <w:szCs w:val="18"/>
        </w:rPr>
      </w:pPr>
      <w:r w:rsidRPr="005E7EAC">
        <w:rPr>
          <w:rFonts w:ascii="Verdana" w:hAnsi="Verdana"/>
          <w:i/>
          <w:iCs/>
          <w:sz w:val="18"/>
          <w:szCs w:val="18"/>
        </w:rPr>
        <w:t>Besparingsverliezen wetstrajecten</w:t>
      </w:r>
    </w:p>
    <w:p w:rsidRPr="005E7EAC" w:rsidR="00C32A3A" w:rsidP="00C32A3A" w:rsidRDefault="00C32A3A">
      <w:pPr>
        <w:spacing w:line="240" w:lineRule="exact"/>
        <w:rPr>
          <w:rFonts w:ascii="Verdana" w:hAnsi="Verdana"/>
          <w:iCs/>
          <w:sz w:val="18"/>
          <w:szCs w:val="18"/>
        </w:rPr>
      </w:pPr>
      <w:r w:rsidRPr="005E7EAC">
        <w:rPr>
          <w:rFonts w:ascii="Verdana" w:hAnsi="Verdana"/>
          <w:iCs/>
          <w:sz w:val="18"/>
          <w:szCs w:val="18"/>
        </w:rPr>
        <w:t xml:space="preserve">Als gevolg van vertraging van de invoering van de wetsvoorstellen ‘verhoging griffierechten’, ‘stelselherziening rechtsbijstand’ en ‘eigen bijdrage regelingen’ treden er besparingsverliezen op. De besparingsverliezen vanuit de wetsvoorstellen verhoging griffierechten en eigen betalingen leiden tot lagere ontvangsten. Het besparingsverlies ten aanzien van de stelselherziening rechtsbijstand is aan de uitgavenkant opgenomen. </w:t>
      </w:r>
    </w:p>
    <w:p w:rsidRPr="005E7EAC" w:rsidR="00B04E9F" w:rsidP="00C32A3A" w:rsidRDefault="00B04E9F">
      <w:pPr>
        <w:spacing w:line="240" w:lineRule="exact"/>
        <w:rPr>
          <w:rFonts w:ascii="Verdana" w:hAnsi="Verdana"/>
          <w:iCs/>
          <w:sz w:val="18"/>
          <w:szCs w:val="18"/>
        </w:rPr>
      </w:pPr>
    </w:p>
    <w:p w:rsidRPr="005E7EAC" w:rsidR="00C32A3A" w:rsidP="00C32A3A" w:rsidRDefault="00004519">
      <w:pPr>
        <w:spacing w:line="240" w:lineRule="exact"/>
        <w:rPr>
          <w:rFonts w:ascii="Verdana" w:hAnsi="Verdana"/>
          <w:i/>
          <w:iCs/>
          <w:sz w:val="18"/>
          <w:szCs w:val="18"/>
        </w:rPr>
      </w:pPr>
      <w:r w:rsidRPr="005E7EAC">
        <w:rPr>
          <w:rFonts w:ascii="Verdana" w:hAnsi="Verdana"/>
          <w:i/>
          <w:iCs/>
          <w:sz w:val="18"/>
          <w:szCs w:val="18"/>
        </w:rPr>
        <w:t>B</w:t>
      </w:r>
      <w:r w:rsidRPr="005E7EAC" w:rsidR="00C32A3A">
        <w:rPr>
          <w:rFonts w:ascii="Verdana" w:hAnsi="Verdana"/>
          <w:i/>
          <w:iCs/>
          <w:sz w:val="18"/>
          <w:szCs w:val="18"/>
        </w:rPr>
        <w:t>oeten en transacties</w:t>
      </w:r>
    </w:p>
    <w:p w:rsidRPr="005E7EAC" w:rsidR="00C32A3A" w:rsidP="00C32A3A" w:rsidRDefault="00C32A3A">
      <w:pPr>
        <w:spacing w:line="240" w:lineRule="exact"/>
        <w:rPr>
          <w:rFonts w:ascii="Verdana" w:hAnsi="Verdana"/>
          <w:iCs/>
          <w:sz w:val="18"/>
          <w:szCs w:val="18"/>
        </w:rPr>
      </w:pPr>
      <w:r w:rsidRPr="005E7EAC">
        <w:rPr>
          <w:rFonts w:ascii="Verdana" w:hAnsi="Verdana"/>
          <w:iCs/>
          <w:sz w:val="18"/>
          <w:szCs w:val="18"/>
        </w:rPr>
        <w:t xml:space="preserve">Er is sprake van een incidentele tegenvaller bij de ontvangstenraming boetes en transacties (verkeershandhaving). </w:t>
      </w:r>
    </w:p>
    <w:p w:rsidRPr="005E7EAC" w:rsidR="00C32A3A" w:rsidP="00C32A3A" w:rsidRDefault="00C32A3A">
      <w:pPr>
        <w:spacing w:line="240" w:lineRule="exact"/>
        <w:rPr>
          <w:rFonts w:ascii="Verdana" w:hAnsi="Verdana"/>
          <w:iCs/>
          <w:sz w:val="18"/>
          <w:szCs w:val="18"/>
        </w:rPr>
      </w:pPr>
    </w:p>
    <w:p w:rsidRPr="005E7EAC" w:rsidR="00C32A3A" w:rsidP="00C32A3A" w:rsidRDefault="00004519">
      <w:pPr>
        <w:spacing w:line="240" w:lineRule="exact"/>
        <w:rPr>
          <w:rFonts w:ascii="Verdana" w:hAnsi="Verdana"/>
          <w:i/>
          <w:iCs/>
          <w:sz w:val="18"/>
          <w:szCs w:val="18"/>
        </w:rPr>
      </w:pPr>
      <w:r w:rsidRPr="005E7EAC">
        <w:rPr>
          <w:rFonts w:ascii="Verdana" w:hAnsi="Verdana"/>
          <w:i/>
          <w:iCs/>
          <w:sz w:val="18"/>
          <w:szCs w:val="18"/>
        </w:rPr>
        <w:t>G</w:t>
      </w:r>
      <w:r w:rsidRPr="005E7EAC" w:rsidR="00C32A3A">
        <w:rPr>
          <w:rFonts w:ascii="Verdana" w:hAnsi="Verdana"/>
          <w:i/>
          <w:iCs/>
          <w:sz w:val="18"/>
          <w:szCs w:val="18"/>
        </w:rPr>
        <w:t>evolgen asielinstroom (niet ODA) en inzet asielreserve</w:t>
      </w:r>
    </w:p>
    <w:p w:rsidRPr="005E7EAC" w:rsidR="00C32A3A" w:rsidP="00C32A3A" w:rsidRDefault="00C32A3A">
      <w:pPr>
        <w:spacing w:line="240" w:lineRule="exact"/>
        <w:rPr>
          <w:rFonts w:ascii="Verdana" w:hAnsi="Verdana"/>
          <w:iCs/>
          <w:sz w:val="18"/>
          <w:szCs w:val="18"/>
        </w:rPr>
      </w:pPr>
      <w:r w:rsidRPr="005E7EAC">
        <w:rPr>
          <w:rFonts w:ascii="Verdana" w:hAnsi="Verdana"/>
          <w:iCs/>
          <w:sz w:val="18"/>
          <w:szCs w:val="18"/>
        </w:rPr>
        <w:t xml:space="preserve">De hogere kosten vanwege de asielinstroom die vallen binnen de begroting van VenJ en waar geen compensatie vanuit ODA tegenover staat worden deels gedekt door middelen vanuit de asielreserve over te boeken naar de VenJ begroting. </w:t>
      </w:r>
    </w:p>
    <w:p w:rsidRPr="005E7EAC" w:rsidR="009829E0" w:rsidP="00C32A3A" w:rsidRDefault="009829E0">
      <w:pPr>
        <w:spacing w:line="240" w:lineRule="exact"/>
        <w:rPr>
          <w:rFonts w:ascii="Verdana" w:hAnsi="Verdana"/>
          <w:i/>
          <w:iCs/>
          <w:sz w:val="18"/>
          <w:szCs w:val="18"/>
        </w:rPr>
      </w:pPr>
    </w:p>
    <w:p w:rsidRPr="005E7EAC" w:rsidR="00C32A3A" w:rsidP="00C32A3A" w:rsidRDefault="00004519">
      <w:pPr>
        <w:spacing w:line="240" w:lineRule="exact"/>
        <w:rPr>
          <w:rFonts w:ascii="Verdana" w:hAnsi="Verdana"/>
          <w:i/>
          <w:iCs/>
          <w:sz w:val="18"/>
          <w:szCs w:val="18"/>
        </w:rPr>
      </w:pPr>
      <w:r w:rsidRPr="005E7EAC">
        <w:rPr>
          <w:rFonts w:ascii="Verdana" w:hAnsi="Verdana"/>
          <w:i/>
          <w:iCs/>
          <w:sz w:val="18"/>
          <w:szCs w:val="18"/>
        </w:rPr>
        <w:t>G</w:t>
      </w:r>
      <w:r w:rsidRPr="005E7EAC" w:rsidR="00C32A3A">
        <w:rPr>
          <w:rFonts w:ascii="Verdana" w:hAnsi="Verdana"/>
          <w:i/>
          <w:iCs/>
          <w:sz w:val="18"/>
          <w:szCs w:val="18"/>
        </w:rPr>
        <w:t xml:space="preserve">riffierechten </w:t>
      </w:r>
    </w:p>
    <w:p w:rsidRPr="005E7EAC" w:rsidR="00B04E9F" w:rsidP="00B04E9F" w:rsidRDefault="00B04E9F">
      <w:pPr>
        <w:spacing w:line="240" w:lineRule="exact"/>
        <w:rPr>
          <w:rFonts w:ascii="Verdana" w:hAnsi="Verdana"/>
          <w:iCs/>
          <w:sz w:val="18"/>
          <w:szCs w:val="18"/>
        </w:rPr>
      </w:pPr>
      <w:r w:rsidRPr="005E7EAC">
        <w:rPr>
          <w:rFonts w:ascii="Verdana" w:hAnsi="Verdana"/>
          <w:iCs/>
          <w:sz w:val="18"/>
          <w:szCs w:val="18"/>
        </w:rPr>
        <w:t xml:space="preserve">Als gevolg van een daling van zaken bij de Raad voor de Rechtspraak zoals blijkt uit het Prognose Model Justitiële ketens, dalen ook de griffieontvangsten op de VenJ begroting.  </w:t>
      </w:r>
    </w:p>
    <w:p w:rsidRPr="005E7EAC" w:rsidR="00004519" w:rsidP="00C32A3A" w:rsidRDefault="00004519">
      <w:pPr>
        <w:spacing w:line="240" w:lineRule="exact"/>
        <w:rPr>
          <w:rFonts w:ascii="Verdana" w:hAnsi="Verdana"/>
          <w:i/>
          <w:iCs/>
          <w:sz w:val="18"/>
          <w:szCs w:val="18"/>
        </w:rPr>
      </w:pPr>
    </w:p>
    <w:p w:rsidRPr="005E7EAC" w:rsidR="00C32A3A" w:rsidP="00C32A3A" w:rsidRDefault="00004519">
      <w:pPr>
        <w:spacing w:line="240" w:lineRule="exact"/>
        <w:rPr>
          <w:rFonts w:ascii="Verdana" w:hAnsi="Verdana"/>
          <w:i/>
          <w:iCs/>
          <w:sz w:val="18"/>
          <w:szCs w:val="18"/>
        </w:rPr>
      </w:pPr>
      <w:r w:rsidRPr="005E7EAC">
        <w:rPr>
          <w:rFonts w:ascii="Verdana" w:hAnsi="Verdana"/>
          <w:i/>
          <w:iCs/>
          <w:sz w:val="18"/>
          <w:szCs w:val="18"/>
        </w:rPr>
        <w:t>S</w:t>
      </w:r>
      <w:r w:rsidRPr="005E7EAC" w:rsidR="00C32A3A">
        <w:rPr>
          <w:rFonts w:ascii="Verdana" w:hAnsi="Verdana"/>
          <w:i/>
          <w:iCs/>
          <w:sz w:val="18"/>
          <w:szCs w:val="18"/>
        </w:rPr>
        <w:t>chikking SBM-Offshore</w:t>
      </w:r>
    </w:p>
    <w:p w:rsidRPr="005E7EAC" w:rsidR="00C32A3A" w:rsidP="00C32A3A" w:rsidRDefault="00C32A3A">
      <w:pPr>
        <w:spacing w:line="240" w:lineRule="exact"/>
        <w:rPr>
          <w:rFonts w:ascii="Verdana" w:hAnsi="Verdana"/>
          <w:iCs/>
          <w:sz w:val="18"/>
          <w:szCs w:val="18"/>
        </w:rPr>
      </w:pPr>
      <w:r w:rsidRPr="005E7EAC">
        <w:rPr>
          <w:rFonts w:ascii="Verdana" w:hAnsi="Verdana"/>
          <w:iCs/>
          <w:sz w:val="18"/>
          <w:szCs w:val="18"/>
        </w:rPr>
        <w:t xml:space="preserve">De schikking met SBM-Offshore levert een meevaller op aan de ontvangstenkant. </w:t>
      </w:r>
    </w:p>
    <w:p w:rsidRPr="005E7EAC" w:rsidR="00C32A3A" w:rsidP="00C32A3A" w:rsidRDefault="00C32A3A">
      <w:pPr>
        <w:spacing w:line="240" w:lineRule="exact"/>
        <w:rPr>
          <w:rFonts w:ascii="Verdana" w:hAnsi="Verdana"/>
          <w:iCs/>
          <w:sz w:val="18"/>
          <w:szCs w:val="18"/>
        </w:rPr>
      </w:pPr>
    </w:p>
    <w:p w:rsidRPr="005E7EAC" w:rsidR="00C32A3A" w:rsidP="00C32A3A" w:rsidRDefault="00C32A3A">
      <w:pPr>
        <w:spacing w:line="240" w:lineRule="exact"/>
        <w:rPr>
          <w:rFonts w:ascii="Verdana" w:hAnsi="Verdana"/>
          <w:i/>
          <w:iCs/>
          <w:sz w:val="18"/>
          <w:szCs w:val="18"/>
        </w:rPr>
      </w:pPr>
      <w:r w:rsidRPr="005E7EAC">
        <w:rPr>
          <w:rFonts w:ascii="Verdana" w:hAnsi="Verdana"/>
          <w:i/>
          <w:iCs/>
          <w:sz w:val="18"/>
          <w:szCs w:val="18"/>
        </w:rPr>
        <w:lastRenderedPageBreak/>
        <w:t>Diversen (technische mutaties)</w:t>
      </w:r>
    </w:p>
    <w:p w:rsidRPr="005E7EAC" w:rsidR="002144DB" w:rsidP="00C32A3A" w:rsidRDefault="00C32A3A">
      <w:pPr>
        <w:spacing w:line="240" w:lineRule="exact"/>
        <w:rPr>
          <w:rFonts w:ascii="Verdana" w:hAnsi="Verdana"/>
          <w:i/>
          <w:sz w:val="18"/>
          <w:szCs w:val="18"/>
        </w:rPr>
      </w:pPr>
      <w:r w:rsidRPr="005E7EAC">
        <w:rPr>
          <w:rFonts w:ascii="Verdana" w:hAnsi="Verdana"/>
          <w:iCs/>
          <w:sz w:val="18"/>
          <w:szCs w:val="18"/>
        </w:rPr>
        <w:t xml:space="preserve">De post diversen bestaat uit enkele mutaties, waarvan de grootste post een bijdrage is van dienst Justis in het kader van jeugd en veiligheid (2,8 mln.) bij Justitiële jeugdinrichtingen en een saldering vanwege ICT project Prima (3,6 mln.). </w:t>
      </w:r>
      <w:r w:rsidRPr="005E7EAC" w:rsidR="002144DB">
        <w:rPr>
          <w:rFonts w:ascii="Verdana" w:hAnsi="Verdana"/>
          <w:i/>
          <w:sz w:val="18"/>
          <w:szCs w:val="18"/>
        </w:rPr>
        <w:br w:type="page"/>
      </w:r>
    </w:p>
    <w:p w:rsidRPr="005E7EAC" w:rsidR="00A373CE" w:rsidP="00A373CE" w:rsidRDefault="00532F6E">
      <w:pPr>
        <w:spacing w:line="240" w:lineRule="exact"/>
        <w:rPr>
          <w:rFonts w:ascii="Verdana" w:hAnsi="Verdana" w:cs="Courier New"/>
          <w:b/>
          <w:sz w:val="18"/>
          <w:szCs w:val="18"/>
        </w:rPr>
      </w:pPr>
      <w:r w:rsidRPr="005E7EAC">
        <w:rPr>
          <w:rFonts w:ascii="Verdana" w:hAnsi="Verdana" w:cs="Courier New"/>
          <w:b/>
          <w:sz w:val="18"/>
          <w:szCs w:val="18"/>
        </w:rPr>
        <w:lastRenderedPageBreak/>
        <w:t xml:space="preserve">VII </w:t>
      </w:r>
      <w:r w:rsidRPr="005E7EAC" w:rsidR="00CE2A5B">
        <w:rPr>
          <w:rFonts w:ascii="Verdana" w:hAnsi="Verdana" w:cs="Courier New"/>
          <w:b/>
          <w:sz w:val="18"/>
          <w:szCs w:val="18"/>
        </w:rPr>
        <w:t>Binnenlandse Zaken</w:t>
      </w:r>
    </w:p>
    <w:p w:rsidRPr="005E7EAC" w:rsidR="00313196" w:rsidP="002A48C3" w:rsidRDefault="00313196">
      <w:pPr>
        <w:spacing w:line="276" w:lineRule="auto"/>
        <w:rPr>
          <w:rFonts w:ascii="Verdana" w:hAnsi="Verdana"/>
          <w:b/>
          <w:sz w:val="18"/>
          <w:szCs w:val="18"/>
        </w:rPr>
      </w:pPr>
    </w:p>
    <w:tbl>
      <w:tblPr>
        <w:tblW w:w="5000" w:type="pct"/>
        <w:tblCellMar>
          <w:left w:w="70" w:type="dxa"/>
          <w:right w:w="70" w:type="dxa"/>
        </w:tblCellMar>
        <w:tblLook w:val="04A0"/>
      </w:tblPr>
      <w:tblGrid>
        <w:gridCol w:w="4951"/>
        <w:gridCol w:w="929"/>
        <w:gridCol w:w="833"/>
        <w:gridCol w:w="833"/>
        <w:gridCol w:w="833"/>
        <w:gridCol w:w="833"/>
      </w:tblGrid>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UITGAVEN</w:t>
            </w:r>
          </w:p>
        </w:tc>
        <w:tc>
          <w:tcPr>
            <w:tcW w:w="504"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r>
      <w:tr w:rsidRPr="005E7EAC" w:rsidR="008912DA" w:rsidTr="008912DA">
        <w:trPr>
          <w:trHeight w:val="240"/>
        </w:trPr>
        <w:tc>
          <w:tcPr>
            <w:tcW w:w="2687"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 </w:t>
            </w:r>
          </w:p>
        </w:tc>
        <w:tc>
          <w:tcPr>
            <w:tcW w:w="504"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2015</w:t>
            </w:r>
          </w:p>
        </w:tc>
        <w:tc>
          <w:tcPr>
            <w:tcW w:w="452"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2016</w:t>
            </w:r>
          </w:p>
        </w:tc>
        <w:tc>
          <w:tcPr>
            <w:tcW w:w="452"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2017</w:t>
            </w:r>
          </w:p>
        </w:tc>
        <w:tc>
          <w:tcPr>
            <w:tcW w:w="452"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2018</w:t>
            </w:r>
          </w:p>
        </w:tc>
        <w:tc>
          <w:tcPr>
            <w:tcW w:w="452"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2019</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Stand Miljoenennota 2015 (excl. IS)</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634,0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603,4</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569,1</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559,8</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557,7</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Beleidsmatige mutaties</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Eindejaarsmarge wenr</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-231,2</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3,6</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1,6</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-4,3</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-4,8</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504"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-227,6</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1,6</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-5,0</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-4,3</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-4,8</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Technische mutaties</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Dva ontvangsten</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59,0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Ejm huurtoeslag 2014</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258,3</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Versterking veiligheidsketen</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14,0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26,0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26,0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31,0</w:t>
            </w: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22,3</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6,3</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5,6</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7,1</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7,7</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504"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339,6</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20,3</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31,6</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33,1</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38,7</w:t>
            </w:r>
          </w:p>
        </w:tc>
      </w:tr>
      <w:tr w:rsidRPr="005E7EAC" w:rsidR="008912DA" w:rsidTr="008912DA">
        <w:trPr>
          <w:trHeight w:val="180"/>
        </w:trPr>
        <w:tc>
          <w:tcPr>
            <w:tcW w:w="2687"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111,9</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21,9</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26,5</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28,8</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33,8</w:t>
            </w: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Stand Voorjaarsnota 2015 (subtotaal)</w:t>
            </w:r>
          </w:p>
        </w:tc>
        <w:tc>
          <w:tcPr>
            <w:tcW w:w="504"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745,9</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625,3</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595,7</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588,6</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591,5</w:t>
            </w: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Totaal Internationale samenwerking</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0,2</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0,2</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0,2</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0,2</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0,2</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Stand Voorjaarsnota 2015</w:t>
            </w:r>
          </w:p>
        </w:tc>
        <w:tc>
          <w:tcPr>
            <w:tcW w:w="504"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746,1</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625,5</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595,8</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588,7</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591,7</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504"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NIET-BELASTINGONTVANGSTEN</w:t>
            </w:r>
          </w:p>
        </w:tc>
        <w:tc>
          <w:tcPr>
            <w:tcW w:w="504"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452"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r>
      <w:tr w:rsidRPr="005E7EAC" w:rsidR="008912DA" w:rsidTr="008912DA">
        <w:trPr>
          <w:trHeight w:val="240"/>
        </w:trPr>
        <w:tc>
          <w:tcPr>
            <w:tcW w:w="2687"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 </w:t>
            </w:r>
          </w:p>
        </w:tc>
        <w:tc>
          <w:tcPr>
            <w:tcW w:w="504"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2015</w:t>
            </w:r>
          </w:p>
        </w:tc>
        <w:tc>
          <w:tcPr>
            <w:tcW w:w="452"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2016</w:t>
            </w:r>
          </w:p>
        </w:tc>
        <w:tc>
          <w:tcPr>
            <w:tcW w:w="452"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2017</w:t>
            </w:r>
          </w:p>
        </w:tc>
        <w:tc>
          <w:tcPr>
            <w:tcW w:w="452"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2018</w:t>
            </w:r>
          </w:p>
        </w:tc>
        <w:tc>
          <w:tcPr>
            <w:tcW w:w="452" w:type="pct"/>
            <w:tcBorders>
              <w:top w:val="single" w:color="000000" w:sz="8" w:space="0"/>
              <w:left w:val="nil"/>
              <w:bottom w:val="single" w:color="000000" w:sz="8" w:space="0"/>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2019</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Stand Miljoenennota 2015 (excl. IS)</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757,4</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92,5</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41,5</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41,5</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41,4</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Mee- en tegenvallers</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-1,9</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504"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-1,9</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-1,0</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Technische mutaties</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Dva ontvangsten</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59,0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27,2</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0,5</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15,5</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15,4</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15,3</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ind w:firstLine="360" w:firstLineChars="200"/>
              <w:rPr>
                <w:rFonts w:ascii="Verdana" w:hAnsi="Verdana"/>
                <w:color w:val="000000"/>
                <w:sz w:val="18"/>
                <w:szCs w:val="18"/>
              </w:rPr>
            </w:pPr>
            <w:r w:rsidRPr="005E7EAC">
              <w:rPr>
                <w:rFonts w:ascii="Verdana" w:hAnsi="Verdana"/>
                <w:color w:val="000000"/>
                <w:sz w:val="18"/>
                <w:szCs w:val="18"/>
              </w:rPr>
              <w:t>Herijking vut fonds</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78,7</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504"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164,9</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-49,5</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15,5</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15,4</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15,3</w:t>
            </w:r>
          </w:p>
        </w:tc>
      </w:tr>
      <w:tr w:rsidRPr="005E7EAC" w:rsidR="008912DA" w:rsidTr="008912DA">
        <w:trPr>
          <w:trHeight w:val="180"/>
        </w:trPr>
        <w:tc>
          <w:tcPr>
            <w:tcW w:w="2687"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163,0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-50,5</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15,5</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15,4</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15,3</w:t>
            </w: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p>
        </w:tc>
        <w:tc>
          <w:tcPr>
            <w:tcW w:w="504"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c>
          <w:tcPr>
            <w:tcW w:w="452" w:type="pct"/>
            <w:tcBorders>
              <w:top w:val="nil"/>
              <w:left w:val="nil"/>
              <w:bottom w:val="nil"/>
              <w:right w:val="nil"/>
            </w:tcBorders>
            <w:shd w:val="clear" w:color="auto" w:fill="auto"/>
            <w:noWrap/>
            <w:vAlign w:val="bottom"/>
            <w:hideMark/>
          </w:tcPr>
          <w:p w:rsidRPr="005E7EAC" w:rsidR="008912DA" w:rsidP="008912DA" w:rsidRDefault="008912DA">
            <w:pPr>
              <w:rPr>
                <w:rFonts w:ascii="Verdana" w:hAnsi="Verdana"/>
                <w:color w:val="000000"/>
                <w:sz w:val="14"/>
                <w:szCs w:val="14"/>
              </w:rPr>
            </w:pP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Stand Voorjaarsnota 2015 (subtotaal)</w:t>
            </w:r>
          </w:p>
        </w:tc>
        <w:tc>
          <w:tcPr>
            <w:tcW w:w="504"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920,3</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42,0</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57,0</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56,9</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56,7</w:t>
            </w:r>
          </w:p>
        </w:tc>
      </w:tr>
      <w:tr w:rsidRPr="005E7EAC" w:rsidR="008912DA" w:rsidTr="008912DA">
        <w:trPr>
          <w:trHeight w:val="240"/>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Totaal Internationale samenwerking</w:t>
            </w:r>
          </w:p>
        </w:tc>
        <w:tc>
          <w:tcPr>
            <w:tcW w:w="504"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c>
          <w:tcPr>
            <w:tcW w:w="452" w:type="pct"/>
            <w:tcBorders>
              <w:top w:val="nil"/>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0,0</w:t>
            </w:r>
          </w:p>
        </w:tc>
      </w:tr>
      <w:tr w:rsidRPr="005E7EAC" w:rsidR="008912DA" w:rsidTr="008912DA">
        <w:trPr>
          <w:trHeight w:val="225"/>
        </w:trPr>
        <w:tc>
          <w:tcPr>
            <w:tcW w:w="2687" w:type="pct"/>
            <w:tcBorders>
              <w:top w:val="nil"/>
              <w:left w:val="nil"/>
              <w:bottom w:val="nil"/>
              <w:right w:val="nil"/>
            </w:tcBorders>
            <w:shd w:val="clear" w:color="auto" w:fill="auto"/>
            <w:hideMark/>
          </w:tcPr>
          <w:p w:rsidRPr="005E7EAC" w:rsidR="008912DA" w:rsidP="008912DA" w:rsidRDefault="008912DA">
            <w:pPr>
              <w:rPr>
                <w:rFonts w:ascii="Verdana" w:hAnsi="Verdana"/>
                <w:color w:val="000000"/>
                <w:sz w:val="18"/>
                <w:szCs w:val="18"/>
              </w:rPr>
            </w:pPr>
            <w:r w:rsidRPr="005E7EAC">
              <w:rPr>
                <w:rFonts w:ascii="Verdana" w:hAnsi="Verdana"/>
                <w:color w:val="000000"/>
                <w:sz w:val="18"/>
                <w:szCs w:val="18"/>
              </w:rPr>
              <w:t>Stand Voorjaarsnota 2015</w:t>
            </w:r>
          </w:p>
        </w:tc>
        <w:tc>
          <w:tcPr>
            <w:tcW w:w="504"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920,3</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42,0</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57,0</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56,9</w:t>
            </w:r>
          </w:p>
        </w:tc>
        <w:tc>
          <w:tcPr>
            <w:tcW w:w="452" w:type="pct"/>
            <w:tcBorders>
              <w:top w:val="single" w:color="000000" w:sz="8" w:space="0"/>
              <w:left w:val="nil"/>
              <w:bottom w:val="nil"/>
              <w:right w:val="nil"/>
            </w:tcBorders>
            <w:shd w:val="clear" w:color="auto" w:fill="auto"/>
            <w:hideMark/>
          </w:tcPr>
          <w:p w:rsidRPr="005E7EAC" w:rsidR="008912DA" w:rsidP="008912DA" w:rsidRDefault="008912DA">
            <w:pPr>
              <w:jc w:val="right"/>
              <w:rPr>
                <w:rFonts w:ascii="Verdana" w:hAnsi="Verdana"/>
                <w:color w:val="000000"/>
                <w:sz w:val="18"/>
                <w:szCs w:val="18"/>
              </w:rPr>
            </w:pPr>
            <w:r w:rsidRPr="005E7EAC">
              <w:rPr>
                <w:rFonts w:ascii="Verdana" w:hAnsi="Verdana"/>
                <w:color w:val="000000"/>
                <w:sz w:val="18"/>
                <w:szCs w:val="18"/>
              </w:rPr>
              <w:t>56,7</w:t>
            </w:r>
          </w:p>
        </w:tc>
      </w:tr>
    </w:tbl>
    <w:p w:rsidRPr="005E7EAC" w:rsidR="00083852" w:rsidP="00313196" w:rsidRDefault="00083852">
      <w:pPr>
        <w:spacing w:line="276" w:lineRule="auto"/>
        <w:rPr>
          <w:rFonts w:ascii="Verdana" w:hAnsi="Verdana"/>
          <w:b/>
          <w:sz w:val="18"/>
          <w:szCs w:val="18"/>
        </w:rPr>
      </w:pPr>
    </w:p>
    <w:p w:rsidRPr="005E7EAC" w:rsidR="00083852" w:rsidP="00083852" w:rsidRDefault="00083852">
      <w:pPr>
        <w:spacing w:line="240" w:lineRule="exact"/>
        <w:rPr>
          <w:rFonts w:ascii="Verdana" w:hAnsi="Verdana"/>
          <w:b/>
          <w:sz w:val="18"/>
          <w:szCs w:val="18"/>
        </w:rPr>
      </w:pPr>
    </w:p>
    <w:p w:rsidRPr="005E7EAC" w:rsidR="00083852" w:rsidP="00083852" w:rsidRDefault="00083852">
      <w:pPr>
        <w:spacing w:line="240" w:lineRule="exact"/>
        <w:rPr>
          <w:rFonts w:ascii="Verdana" w:hAnsi="Verdana"/>
          <w:i/>
          <w:sz w:val="18"/>
          <w:szCs w:val="18"/>
        </w:rPr>
      </w:pPr>
      <w:r w:rsidRPr="005E7EAC">
        <w:rPr>
          <w:rFonts w:ascii="Verdana" w:hAnsi="Verdana"/>
          <w:i/>
          <w:sz w:val="18"/>
          <w:szCs w:val="18"/>
        </w:rPr>
        <w:t>Eindejaarsmarge WenR</w:t>
      </w:r>
    </w:p>
    <w:p w:rsidRPr="005E7EAC" w:rsidR="00083852" w:rsidP="00083852" w:rsidRDefault="00083852">
      <w:pPr>
        <w:spacing w:line="240" w:lineRule="exact"/>
        <w:rPr>
          <w:rFonts w:ascii="Verdana" w:hAnsi="Verdana"/>
          <w:sz w:val="18"/>
          <w:szCs w:val="18"/>
        </w:rPr>
      </w:pPr>
      <w:r w:rsidRPr="005E7EAC">
        <w:rPr>
          <w:rFonts w:ascii="Verdana" w:hAnsi="Verdana"/>
          <w:sz w:val="18"/>
          <w:szCs w:val="18"/>
        </w:rPr>
        <w:t>De begrotingstechnische verwerking van de eindejaarsmarge van de begroting voor Wonen en Rijksdienst (XVIII) loopt via de begroting van Binnenlandse Zaken (VII). De overschrijding bij de Huurtoeslag in 2014 (258,3 mln.) leidt per saldo tot een negatieve eindejaarsmarge voor Wonen en Rijksdienst op de begroting van BZK (231,2 mln.).</w:t>
      </w:r>
    </w:p>
    <w:p w:rsidRPr="005E7EAC" w:rsidR="00083852" w:rsidP="00083852" w:rsidRDefault="00083852">
      <w:pPr>
        <w:spacing w:line="240" w:lineRule="exact"/>
        <w:rPr>
          <w:rFonts w:ascii="Verdana" w:hAnsi="Verdana"/>
          <w:sz w:val="18"/>
          <w:szCs w:val="18"/>
        </w:rPr>
      </w:pPr>
    </w:p>
    <w:p w:rsidRPr="005E7EAC" w:rsidR="00083852" w:rsidP="00083852" w:rsidRDefault="00083852">
      <w:pPr>
        <w:spacing w:line="240" w:lineRule="exact"/>
        <w:rPr>
          <w:rFonts w:ascii="Verdana" w:hAnsi="Verdana"/>
          <w:i/>
          <w:sz w:val="18"/>
          <w:szCs w:val="18"/>
        </w:rPr>
      </w:pPr>
      <w:r w:rsidRPr="005E7EAC">
        <w:rPr>
          <w:rFonts w:ascii="Verdana" w:hAnsi="Verdana"/>
          <w:i/>
          <w:sz w:val="18"/>
          <w:szCs w:val="18"/>
        </w:rPr>
        <w:t>Contra-terrorisme</w:t>
      </w:r>
    </w:p>
    <w:p w:rsidRPr="005E7EAC" w:rsidR="00083852" w:rsidP="00083852" w:rsidRDefault="00083852">
      <w:pPr>
        <w:spacing w:line="240" w:lineRule="exact"/>
        <w:rPr>
          <w:rFonts w:ascii="Verdana" w:hAnsi="Verdana"/>
          <w:sz w:val="18"/>
          <w:szCs w:val="18"/>
        </w:rPr>
      </w:pPr>
      <w:r w:rsidRPr="005E7EAC">
        <w:rPr>
          <w:rFonts w:ascii="Verdana" w:hAnsi="Verdana"/>
          <w:sz w:val="18"/>
          <w:szCs w:val="18"/>
        </w:rPr>
        <w:t>De operationele capaciteit van de AIVD wordt uitgebreid ter versterking van contraterrorisme en om radicalisering tegen te kunnen gaan (kamerbrief 27 februari 2015). De middelen worden van de Aanvullende Post overgeheveld naar de begroting van BZK.</w:t>
      </w:r>
    </w:p>
    <w:p w:rsidRPr="005E7EAC" w:rsidR="00083852" w:rsidP="00083852" w:rsidRDefault="00083852">
      <w:pPr>
        <w:spacing w:line="240" w:lineRule="exact"/>
        <w:rPr>
          <w:rFonts w:ascii="Verdana" w:hAnsi="Verdana"/>
          <w:sz w:val="18"/>
          <w:szCs w:val="18"/>
        </w:rPr>
      </w:pPr>
    </w:p>
    <w:p w:rsidRPr="005E7EAC" w:rsidR="00083852" w:rsidP="00083852" w:rsidRDefault="00083852">
      <w:pPr>
        <w:spacing w:line="240" w:lineRule="exact"/>
        <w:rPr>
          <w:rFonts w:ascii="Verdana" w:hAnsi="Verdana"/>
          <w:sz w:val="18"/>
          <w:szCs w:val="18"/>
        </w:rPr>
      </w:pPr>
    </w:p>
    <w:p w:rsidRPr="005E7EAC" w:rsidR="00083852" w:rsidP="00083852" w:rsidRDefault="00083852">
      <w:pPr>
        <w:spacing w:line="240" w:lineRule="exact"/>
        <w:rPr>
          <w:rFonts w:ascii="Verdana" w:hAnsi="Verdana"/>
          <w:sz w:val="18"/>
          <w:szCs w:val="18"/>
        </w:rPr>
      </w:pPr>
    </w:p>
    <w:p w:rsidRPr="005E7EAC" w:rsidR="00083852" w:rsidP="00083852" w:rsidRDefault="00083852">
      <w:pPr>
        <w:spacing w:line="240" w:lineRule="exact"/>
        <w:rPr>
          <w:rFonts w:ascii="Verdana" w:hAnsi="Verdana"/>
          <w:i/>
          <w:sz w:val="18"/>
          <w:szCs w:val="18"/>
        </w:rPr>
      </w:pPr>
      <w:r w:rsidRPr="005E7EAC">
        <w:rPr>
          <w:rFonts w:ascii="Verdana" w:hAnsi="Verdana"/>
          <w:i/>
          <w:sz w:val="18"/>
          <w:szCs w:val="18"/>
        </w:rPr>
        <w:lastRenderedPageBreak/>
        <w:t xml:space="preserve">Diversen – beleidsmatige en technische mutaties uitgaven en ontvangsten </w:t>
      </w:r>
    </w:p>
    <w:p w:rsidRPr="005E7EAC" w:rsidR="00083852" w:rsidP="00083852" w:rsidRDefault="00083852">
      <w:pPr>
        <w:spacing w:line="240" w:lineRule="exact"/>
        <w:rPr>
          <w:rFonts w:ascii="Verdana" w:hAnsi="Verdana"/>
          <w:sz w:val="18"/>
          <w:szCs w:val="18"/>
        </w:rPr>
      </w:pPr>
      <w:r w:rsidRPr="005E7EAC">
        <w:rPr>
          <w:rFonts w:ascii="Verdana" w:hAnsi="Verdana"/>
          <w:sz w:val="18"/>
          <w:szCs w:val="18"/>
        </w:rPr>
        <w:t xml:space="preserve">De hoogte van de post diversen, zowel aan uitgaven- als ontvangstenkant, wordt mede veroorzaakt door een desaldering van 18,7 mln. bij Doc-Direkt en van 58,9 mln. DVA ontvangsten. Doc-Direkt levert diensten aan departementen en notarissen voor archiefbewerking, -beheer, opslag en digitale documenthuishouding. Daarvoor ontvangt Doc-Direkt middelen ter dekking van de kosten (personeel en materieel). </w:t>
      </w:r>
      <w:r w:rsidRPr="005E7EAC">
        <w:rPr>
          <w:rFonts w:ascii="Verdana" w:hAnsi="Verdana" w:cs="Arial"/>
          <w:color w:val="000000"/>
          <w:sz w:val="18"/>
          <w:szCs w:val="18"/>
        </w:rPr>
        <w:t>De ontvangsten en uitgaven die voortvloeien uit de Dienstverleningsovereenkomsten 2015 (DVA) betreffen de dienstverlening van het kerndepartement aan de baten lastenagentschappen.</w:t>
      </w:r>
    </w:p>
    <w:p w:rsidRPr="005E7EAC" w:rsidR="00083852" w:rsidP="00083852" w:rsidRDefault="00083852">
      <w:pPr>
        <w:spacing w:line="240" w:lineRule="exact"/>
        <w:rPr>
          <w:rFonts w:ascii="Verdana" w:hAnsi="Verdana"/>
          <w:sz w:val="18"/>
          <w:szCs w:val="18"/>
        </w:rPr>
      </w:pPr>
      <w:r w:rsidRPr="005E7EAC">
        <w:rPr>
          <w:rFonts w:ascii="Verdana" w:hAnsi="Verdana"/>
          <w:sz w:val="18"/>
          <w:szCs w:val="18"/>
        </w:rPr>
        <w:t xml:space="preserve">Daarnaast </w:t>
      </w:r>
      <w:r w:rsidRPr="005E7EAC">
        <w:rPr>
          <w:rFonts w:ascii="Verdana" w:hAnsi="Verdana"/>
          <w:iCs/>
          <w:sz w:val="18"/>
          <w:szCs w:val="18"/>
        </w:rPr>
        <w:t xml:space="preserve">is er een bijdrage aan de voorzieningen binnen de Generieke Digitale Infrastructuur (GDI). Deze middelen zijn naar de Aanvullende Post overgeheveld. De daarbij vanaf 2017 te realiseren ontvangsten voor de GDI worden voorlopig geboekt op de begroting van BZK. </w:t>
      </w:r>
      <w:r w:rsidRPr="005E7EAC">
        <w:rPr>
          <w:rFonts w:ascii="Verdana" w:hAnsi="Verdana"/>
          <w:sz w:val="18"/>
          <w:szCs w:val="18"/>
        </w:rPr>
        <w:t>Een deel van de op de Aanvullende Post gereserveerde middelen is uitgekeerd aan BZK als opdrachtgever voor de voorziening eID (8,1 mln.).</w:t>
      </w:r>
    </w:p>
    <w:p w:rsidRPr="005E7EAC" w:rsidR="00083852" w:rsidP="00083852" w:rsidRDefault="00083852">
      <w:pPr>
        <w:spacing w:line="240" w:lineRule="exact"/>
        <w:rPr>
          <w:rFonts w:ascii="Verdana" w:hAnsi="Verdana"/>
          <w:sz w:val="18"/>
          <w:szCs w:val="18"/>
        </w:rPr>
      </w:pPr>
    </w:p>
    <w:p w:rsidRPr="005E7EAC" w:rsidR="00083852" w:rsidP="00083852" w:rsidRDefault="00083852">
      <w:pPr>
        <w:spacing w:line="240" w:lineRule="exact"/>
        <w:rPr>
          <w:rFonts w:ascii="Verdana" w:hAnsi="Verdana"/>
          <w:i/>
          <w:sz w:val="18"/>
          <w:szCs w:val="18"/>
        </w:rPr>
      </w:pPr>
      <w:r w:rsidRPr="005E7EAC">
        <w:rPr>
          <w:rFonts w:ascii="Verdana" w:hAnsi="Verdana"/>
          <w:i/>
          <w:sz w:val="18"/>
          <w:szCs w:val="18"/>
        </w:rPr>
        <w:t>Herijking VUT-fonds</w:t>
      </w:r>
    </w:p>
    <w:p w:rsidRPr="005E7EAC" w:rsidR="00083852" w:rsidP="00083852" w:rsidRDefault="00083852">
      <w:pPr>
        <w:spacing w:line="240" w:lineRule="exact"/>
        <w:rPr>
          <w:rFonts w:ascii="Verdana" w:hAnsi="Verdana"/>
          <w:sz w:val="18"/>
          <w:szCs w:val="18"/>
        </w:rPr>
      </w:pPr>
      <w:r w:rsidRPr="005E7EAC">
        <w:rPr>
          <w:rFonts w:ascii="Verdana" w:hAnsi="Verdana" w:cs="Arial"/>
          <w:color w:val="000000"/>
          <w:sz w:val="18"/>
          <w:szCs w:val="18"/>
        </w:rPr>
        <w:t xml:space="preserve">De raming voor de VUT-lening wordt bijgesteld op basis van de meest actuele inzichten in de liquiditeitsplanning. </w:t>
      </w:r>
      <w:r w:rsidRPr="005E7EAC">
        <w:rPr>
          <w:rFonts w:ascii="Verdana" w:hAnsi="Verdana"/>
          <w:sz w:val="18"/>
          <w:szCs w:val="18"/>
        </w:rPr>
        <w:t xml:space="preserve">Naar verwachting lost het VUT-fonds in 2015 haar lening al volledig af. </w:t>
      </w:r>
    </w:p>
    <w:p w:rsidRPr="005E7EAC" w:rsidR="000935CC" w:rsidP="00083852" w:rsidRDefault="000935CC">
      <w:pPr>
        <w:spacing w:line="240" w:lineRule="exact"/>
        <w:rPr>
          <w:rFonts w:ascii="Verdana" w:hAnsi="Verdana"/>
          <w:b/>
          <w:sz w:val="18"/>
          <w:szCs w:val="18"/>
        </w:rPr>
      </w:pPr>
      <w:r w:rsidRPr="005E7EAC">
        <w:rPr>
          <w:rFonts w:ascii="Verdana" w:hAnsi="Verdana"/>
          <w:b/>
          <w:sz w:val="18"/>
          <w:szCs w:val="18"/>
        </w:rPr>
        <w:br w:type="page"/>
      </w:r>
    </w:p>
    <w:p w:rsidRPr="005E7EAC" w:rsidR="00E42437" w:rsidP="00E16284" w:rsidRDefault="00A06108">
      <w:pPr>
        <w:spacing w:line="240" w:lineRule="exact"/>
        <w:rPr>
          <w:rFonts w:ascii="Verdana" w:hAnsi="Verdana"/>
          <w:b/>
          <w:sz w:val="18"/>
          <w:szCs w:val="18"/>
        </w:rPr>
      </w:pPr>
      <w:r w:rsidRPr="005E7EAC">
        <w:rPr>
          <w:rFonts w:ascii="Verdana" w:hAnsi="Verdana"/>
          <w:b/>
          <w:sz w:val="18"/>
          <w:szCs w:val="18"/>
        </w:rPr>
        <w:lastRenderedPageBreak/>
        <w:t xml:space="preserve">VIII </w:t>
      </w:r>
      <w:r w:rsidRPr="005E7EAC" w:rsidR="00174971">
        <w:rPr>
          <w:rFonts w:ascii="Verdana" w:hAnsi="Verdana"/>
          <w:b/>
          <w:sz w:val="18"/>
          <w:szCs w:val="18"/>
        </w:rPr>
        <w:t>Onderwijs, Cultuur en Wetenschap</w:t>
      </w:r>
    </w:p>
    <w:p w:rsidRPr="005E7EAC" w:rsidR="00E16284" w:rsidP="008403C9" w:rsidRDefault="00E16284">
      <w:pPr>
        <w:spacing w:line="276" w:lineRule="auto"/>
        <w:rPr>
          <w:rFonts w:ascii="Verdana" w:hAnsi="Verdana" w:cs="Arial"/>
          <w:b/>
          <w:bCs/>
          <w:sz w:val="18"/>
          <w:szCs w:val="18"/>
        </w:rPr>
      </w:pPr>
    </w:p>
    <w:tbl>
      <w:tblPr>
        <w:tblW w:w="5000" w:type="pct"/>
        <w:tblCellMar>
          <w:left w:w="70" w:type="dxa"/>
          <w:right w:w="70" w:type="dxa"/>
        </w:tblCellMar>
        <w:tblLook w:val="04A0"/>
      </w:tblPr>
      <w:tblGrid>
        <w:gridCol w:w="4137"/>
        <w:gridCol w:w="1015"/>
        <w:gridCol w:w="1015"/>
        <w:gridCol w:w="1015"/>
        <w:gridCol w:w="1015"/>
        <w:gridCol w:w="1015"/>
      </w:tblGrid>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UITGAVEN</w:t>
            </w: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r>
      <w:tr w:rsidRPr="005E7EAC" w:rsidR="008403C9" w:rsidTr="008403C9">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2019</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35.978,3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36.146,5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36.247,0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36.137,1</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36.031,9</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Autonome raming studiefinanciering</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79,4</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41,9</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-7,4</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-22,5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-61,3</w:t>
            </w:r>
          </w:p>
        </w:tc>
      </w:tr>
      <w:tr w:rsidRPr="005E7EAC" w:rsidR="008403C9" w:rsidTr="008403C9">
        <w:trPr>
          <w:trHeight w:val="465"/>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Leerlingenvolume referentieraming 2015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75,1</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-48,3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-123,3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-188,3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-216,8</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154,5</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-6,4</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-130,7</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-210,8</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-278,1</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Eindejaarsmarge</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-57,1</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-29,6</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3,7</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23,1</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5,1</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-86,7</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-6,5</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3,7</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23,1</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5,1</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Loonbijstelling tranche 2015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103,4</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102,5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102,5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101,8</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101,3</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31,0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37,5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38,4</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Autonome raming studiefinanciering</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-116,3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-123,7</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-98,3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-101,6</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-96,2</w:t>
            </w:r>
          </w:p>
        </w:tc>
      </w:tr>
      <w:tr w:rsidRPr="005E7EAC" w:rsidR="008403C9" w:rsidTr="008403C9">
        <w:trPr>
          <w:trHeight w:val="450"/>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Leerlingenvolume referentieraming 2015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-41,1</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-64,6</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-62,3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-65,8</w:t>
            </w: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29,9</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29,4</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30,4</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30,8</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30,9</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61,3</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3,4</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6,3</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6,2</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8,6</w:t>
            </w:r>
          </w:p>
        </w:tc>
      </w:tr>
      <w:tr w:rsidRPr="005E7EAC" w:rsidR="008403C9" w:rsidTr="008403C9">
        <w:trPr>
          <w:trHeight w:val="180"/>
        </w:trPr>
        <w:tc>
          <w:tcPr>
            <w:tcW w:w="2245"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129,1</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-9,5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-120,7</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-181,6</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-264,4</w:t>
            </w: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36.107,3</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36.137,0</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36.126,3</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35.955,5</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35.767,5</w:t>
            </w: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61,3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60,3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55,6</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55,6</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55,6</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36.168,6</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36.197,3</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36.181,9</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36.011,1</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35.823,1</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NIET-BELASTINGONTVANGSTEN</w:t>
            </w: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r>
      <w:tr w:rsidRPr="005E7EAC" w:rsidR="008403C9" w:rsidTr="008403C9">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2019</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1.256,7</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1.320,7</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1.382,1</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1.459,0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1.517,6</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Rente studiefinanciering</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-40,3</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-56,0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-81,5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-110,2</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-142,4</w:t>
            </w: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4,9</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3,4</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-11,7</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-17,5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-13,8</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-35,4</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-52,6</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-93,2</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-127,7</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-156,2</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9,4</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3,0</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ind w:firstLine="360" w:firstLineChars="200"/>
              <w:rPr>
                <w:rFonts w:ascii="Verdana" w:hAnsi="Verdana"/>
                <w:color w:val="000000"/>
                <w:sz w:val="18"/>
                <w:szCs w:val="18"/>
              </w:rPr>
            </w:pPr>
            <w:r w:rsidRPr="005E7EAC">
              <w:rPr>
                <w:rFonts w:ascii="Verdana" w:hAnsi="Verdana"/>
                <w:color w:val="000000"/>
                <w:sz w:val="18"/>
                <w:szCs w:val="18"/>
              </w:rPr>
              <w:t>Autonome raming studiefinanciering</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43,8</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66,1</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89,8</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115,8</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144,3</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53,2</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69,1</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92,8</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118,8</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147,3</w:t>
            </w:r>
          </w:p>
        </w:tc>
      </w:tr>
      <w:tr w:rsidRPr="005E7EAC" w:rsidR="008403C9" w:rsidTr="008403C9">
        <w:trPr>
          <w:trHeight w:val="180"/>
        </w:trPr>
        <w:tc>
          <w:tcPr>
            <w:tcW w:w="2245"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17,9</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16,4</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-8,8</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-8,8</w:t>
            </w: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8403C9" w:rsidP="008403C9" w:rsidRDefault="008403C9">
            <w:pPr>
              <w:rPr>
                <w:rFonts w:ascii="Verdana" w:hAnsi="Verdana"/>
                <w:color w:val="000000"/>
                <w:sz w:val="14"/>
                <w:szCs w:val="14"/>
              </w:rPr>
            </w:pP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1.274,6</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1.337,2</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1.381,6</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1.450,2</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1.508,7</w:t>
            </w:r>
          </w:p>
        </w:tc>
      </w:tr>
      <w:tr w:rsidRPr="005E7EAC" w:rsidR="008403C9" w:rsidTr="008403C9">
        <w:trPr>
          <w:trHeight w:val="240"/>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0,0</w:t>
            </w:r>
          </w:p>
        </w:tc>
      </w:tr>
      <w:tr w:rsidRPr="005E7EAC" w:rsidR="008403C9" w:rsidTr="008403C9">
        <w:trPr>
          <w:trHeight w:val="225"/>
        </w:trPr>
        <w:tc>
          <w:tcPr>
            <w:tcW w:w="2245" w:type="pct"/>
            <w:tcBorders>
              <w:top w:val="nil"/>
              <w:left w:val="nil"/>
              <w:bottom w:val="nil"/>
              <w:right w:val="nil"/>
            </w:tcBorders>
            <w:shd w:val="clear" w:color="auto" w:fill="auto"/>
            <w:hideMark/>
          </w:tcPr>
          <w:p w:rsidRPr="005E7EAC" w:rsidR="008403C9" w:rsidP="008403C9" w:rsidRDefault="008403C9">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1.274,6</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1.337,2</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1.381,6</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1.450,2</w:t>
            </w:r>
          </w:p>
        </w:tc>
        <w:tc>
          <w:tcPr>
            <w:tcW w:w="551" w:type="pct"/>
            <w:tcBorders>
              <w:top w:val="single" w:color="000000" w:sz="8" w:space="0"/>
              <w:left w:val="nil"/>
              <w:bottom w:val="nil"/>
              <w:right w:val="nil"/>
            </w:tcBorders>
            <w:shd w:val="clear" w:color="auto" w:fill="auto"/>
            <w:hideMark/>
          </w:tcPr>
          <w:p w:rsidRPr="005E7EAC" w:rsidR="008403C9" w:rsidP="008403C9" w:rsidRDefault="008403C9">
            <w:pPr>
              <w:jc w:val="right"/>
              <w:rPr>
                <w:rFonts w:ascii="Verdana" w:hAnsi="Verdana"/>
                <w:color w:val="000000"/>
                <w:sz w:val="18"/>
                <w:szCs w:val="18"/>
              </w:rPr>
            </w:pPr>
            <w:r w:rsidRPr="005E7EAC">
              <w:rPr>
                <w:rFonts w:ascii="Verdana" w:hAnsi="Verdana"/>
                <w:color w:val="000000"/>
                <w:sz w:val="18"/>
                <w:szCs w:val="18"/>
              </w:rPr>
              <w:t>1.508,7</w:t>
            </w:r>
          </w:p>
        </w:tc>
      </w:tr>
    </w:tbl>
    <w:p w:rsidRPr="005E7EAC" w:rsidR="008403C9" w:rsidRDefault="008403C9">
      <w:pPr>
        <w:spacing w:after="200" w:line="276" w:lineRule="auto"/>
        <w:rPr>
          <w:rFonts w:ascii="Verdana" w:hAnsi="Verdana" w:cs="Arial"/>
          <w:b/>
          <w:bCs/>
          <w:sz w:val="18"/>
          <w:szCs w:val="18"/>
        </w:rPr>
      </w:pPr>
    </w:p>
    <w:p w:rsidRPr="005E7EAC" w:rsidR="004032A8" w:rsidRDefault="004032A8">
      <w:pPr>
        <w:spacing w:after="200" w:line="276" w:lineRule="auto"/>
        <w:rPr>
          <w:rFonts w:ascii="Verdana" w:hAnsi="Verdana" w:cs="Arial"/>
          <w:b/>
          <w:bCs/>
          <w:sz w:val="18"/>
          <w:szCs w:val="18"/>
        </w:rPr>
      </w:pPr>
      <w:r w:rsidRPr="005E7EAC">
        <w:rPr>
          <w:rFonts w:ascii="Verdana" w:hAnsi="Verdana" w:cs="Arial"/>
          <w:b/>
          <w:bCs/>
          <w:sz w:val="18"/>
          <w:szCs w:val="18"/>
        </w:rPr>
        <w:br w:type="page"/>
      </w:r>
    </w:p>
    <w:p w:rsidRPr="005E7EAC" w:rsidR="00BF0F0A" w:rsidP="002C3372" w:rsidRDefault="00BF0F0A">
      <w:pPr>
        <w:spacing w:line="240" w:lineRule="exact"/>
        <w:rPr>
          <w:rFonts w:ascii="Verdana" w:hAnsi="Verdana"/>
          <w:i/>
          <w:sz w:val="18"/>
          <w:szCs w:val="18"/>
        </w:rPr>
      </w:pPr>
      <w:r w:rsidRPr="005E7EAC">
        <w:rPr>
          <w:rFonts w:ascii="Verdana" w:hAnsi="Verdana"/>
          <w:i/>
          <w:sz w:val="18"/>
          <w:szCs w:val="18"/>
        </w:rPr>
        <w:lastRenderedPageBreak/>
        <w:t>Autonome raming studiefinanciering</w:t>
      </w:r>
    </w:p>
    <w:p w:rsidRPr="005E7EAC" w:rsidR="00BF0F0A" w:rsidP="002C3372" w:rsidRDefault="00BF0F0A">
      <w:pPr>
        <w:spacing w:line="240" w:lineRule="exact"/>
        <w:rPr>
          <w:rFonts w:ascii="Verdana" w:hAnsi="Verdana"/>
          <w:color w:val="000000"/>
          <w:sz w:val="18"/>
          <w:szCs w:val="18"/>
        </w:rPr>
      </w:pPr>
      <w:r w:rsidRPr="005E7EAC">
        <w:rPr>
          <w:rFonts w:ascii="Verdana" w:hAnsi="Verdana"/>
          <w:color w:val="000000"/>
          <w:sz w:val="18"/>
          <w:szCs w:val="18"/>
        </w:rPr>
        <w:t xml:space="preserve">De raming studiefinanciering 2015 laat een tegenvaller zien ten opzichte van </w:t>
      </w:r>
      <w:r w:rsidRPr="005E7EAC">
        <w:rPr>
          <w:rFonts w:ascii="Verdana" w:hAnsi="Verdana"/>
          <w:sz w:val="18"/>
          <w:szCs w:val="18"/>
        </w:rPr>
        <w:t>de in de OCW-begroting 2015 verwerkte raming uit het voorjaar 2014</w:t>
      </w:r>
      <w:r w:rsidRPr="005E7EAC">
        <w:rPr>
          <w:rFonts w:ascii="Verdana" w:hAnsi="Verdana"/>
          <w:color w:val="000000"/>
          <w:sz w:val="18"/>
          <w:szCs w:val="18"/>
        </w:rPr>
        <w:t xml:space="preserve"> die omslaat naar een kleine meevaller vanaf 2017. Dit patroon doet zich zowel voor bij de basis- als de aanvullende beurs.</w:t>
      </w:r>
    </w:p>
    <w:p w:rsidRPr="005E7EAC" w:rsidR="00BF0F0A" w:rsidP="002C3372" w:rsidRDefault="00BF0F0A">
      <w:pPr>
        <w:spacing w:line="240" w:lineRule="exact"/>
        <w:rPr>
          <w:rFonts w:ascii="Verdana" w:hAnsi="Verdana"/>
          <w:sz w:val="18"/>
          <w:szCs w:val="18"/>
        </w:rPr>
      </w:pPr>
    </w:p>
    <w:p w:rsidRPr="005E7EAC" w:rsidR="00BF0F0A" w:rsidP="002C3372" w:rsidRDefault="00BF0F0A">
      <w:pPr>
        <w:spacing w:line="240" w:lineRule="exact"/>
        <w:rPr>
          <w:rFonts w:ascii="Verdana" w:hAnsi="Verdana"/>
          <w:i/>
          <w:sz w:val="18"/>
          <w:szCs w:val="18"/>
        </w:rPr>
      </w:pPr>
      <w:r w:rsidRPr="005E7EAC">
        <w:rPr>
          <w:rFonts w:ascii="Verdana" w:hAnsi="Verdana"/>
          <w:i/>
          <w:sz w:val="18"/>
          <w:szCs w:val="18"/>
        </w:rPr>
        <w:t>Leerlingenvolume referentieraming 2015</w:t>
      </w:r>
    </w:p>
    <w:p w:rsidRPr="005E7EAC" w:rsidR="00BF0F0A" w:rsidP="002C3372" w:rsidRDefault="00BF0F0A">
      <w:pPr>
        <w:spacing w:line="240" w:lineRule="exact"/>
        <w:rPr>
          <w:rFonts w:ascii="Verdana" w:hAnsi="Verdana"/>
          <w:color w:val="000000"/>
          <w:sz w:val="18"/>
          <w:szCs w:val="18"/>
        </w:rPr>
      </w:pPr>
      <w:r w:rsidRPr="005E7EAC">
        <w:rPr>
          <w:rFonts w:ascii="Verdana" w:hAnsi="Verdana"/>
          <w:color w:val="000000"/>
          <w:sz w:val="18"/>
          <w:szCs w:val="18"/>
        </w:rPr>
        <w:t>De tegenvaller bij de leerlingen- en studentenraming in 2015 slaat vanaf 2016 om in een meevaller die oploopt naar circa 217 mln. in 2019. Uit de referentieraming leerlingen- en studentenaantallen 2015 blijkt dat het aantal leerlingen en studenten voor 2015 hoger is dan de in de OCW-begroting 2015 verwerkte aantallen. Vanaf 2016 komen de aantallen lager uit ten opzichte van de vorige raming. Hierachter gaan verschillende bewegingen schuil. Het aantal geraamde basisschoolleerlingen laat in alle jaren een stijging zien vanwege de geraamde toename immigratie- en geboortecijfers. De aantallen mbo-studenten komen op basis van de meest recente telgegevens flink lager uit. Voor het voortgezet en hoger onderwijs worden in de eerste jaren meer leerlingen respectievelijk studenten geraamd en in de latere jaren minder ten opzichte van de vorige referentieraming.</w:t>
      </w:r>
    </w:p>
    <w:p w:rsidRPr="005E7EAC" w:rsidR="00BF0F0A" w:rsidP="002C3372" w:rsidRDefault="00BF0F0A">
      <w:pPr>
        <w:spacing w:line="240" w:lineRule="exact"/>
        <w:rPr>
          <w:rFonts w:ascii="Verdana" w:hAnsi="Verdana"/>
          <w:i/>
          <w:sz w:val="18"/>
          <w:szCs w:val="18"/>
        </w:rPr>
      </w:pPr>
    </w:p>
    <w:p w:rsidRPr="005E7EAC" w:rsidR="00BF0F0A" w:rsidP="002C3372" w:rsidRDefault="00BF0F0A">
      <w:pPr>
        <w:spacing w:line="240" w:lineRule="exact"/>
        <w:rPr>
          <w:rFonts w:ascii="Verdana" w:hAnsi="Verdana"/>
          <w:i/>
          <w:sz w:val="18"/>
          <w:szCs w:val="18"/>
        </w:rPr>
      </w:pPr>
      <w:r w:rsidRPr="005E7EAC">
        <w:rPr>
          <w:rFonts w:ascii="Verdana" w:hAnsi="Verdana"/>
          <w:i/>
          <w:sz w:val="18"/>
          <w:szCs w:val="18"/>
        </w:rPr>
        <w:t>Eindejaarsmarge</w:t>
      </w:r>
    </w:p>
    <w:p w:rsidRPr="005E7EAC" w:rsidR="00BF0F0A" w:rsidP="002C3372" w:rsidRDefault="00BF0F0A">
      <w:pPr>
        <w:spacing w:line="240" w:lineRule="exact"/>
        <w:rPr>
          <w:rFonts w:ascii="Verdana" w:hAnsi="Verdana" w:cs="Arial"/>
          <w:sz w:val="18"/>
          <w:szCs w:val="18"/>
        </w:rPr>
      </w:pPr>
      <w:r w:rsidRPr="005E7EAC">
        <w:rPr>
          <w:rFonts w:ascii="Verdana" w:hAnsi="Verdana" w:cs="Arial"/>
          <w:sz w:val="18"/>
          <w:szCs w:val="18"/>
        </w:rPr>
        <w:t xml:space="preserve">Dit betreft het saldo van de totale onderuitputting op de OCW begroting in 2014 van 126,8 mln. en twee abusievelijk vooruitbetalingen in 2014 van in totaal 184 mln. (zie ook brief aan de Tweede Kamer, kamerstuk 34000 VIII, nr. 82). Hierdoor was er in 2014 sprake van een overschrijding van de OCW begroting van 57,1 mln. Deze negatieve eindejaarsmarge wordt in 2015 verrekend.  </w:t>
      </w:r>
    </w:p>
    <w:p w:rsidRPr="005E7EAC" w:rsidR="00BF0F0A" w:rsidP="002C3372" w:rsidRDefault="00BF0F0A">
      <w:pPr>
        <w:spacing w:line="240" w:lineRule="exact"/>
        <w:rPr>
          <w:rFonts w:ascii="Verdana" w:hAnsi="Verdana" w:cs="Courier New"/>
          <w:i/>
          <w:sz w:val="18"/>
          <w:szCs w:val="18"/>
        </w:rPr>
      </w:pPr>
    </w:p>
    <w:p w:rsidRPr="005E7EAC" w:rsidR="00BF0F0A" w:rsidP="002C3372" w:rsidRDefault="00BF0F0A">
      <w:pPr>
        <w:spacing w:line="240" w:lineRule="exact"/>
        <w:rPr>
          <w:rFonts w:ascii="Verdana" w:hAnsi="Verdana" w:cs="Courier New"/>
          <w:i/>
          <w:sz w:val="18"/>
          <w:szCs w:val="18"/>
        </w:rPr>
      </w:pPr>
      <w:r w:rsidRPr="005E7EAC">
        <w:rPr>
          <w:rFonts w:ascii="Verdana" w:hAnsi="Verdana" w:cs="Courier New"/>
          <w:i/>
          <w:sz w:val="18"/>
          <w:szCs w:val="18"/>
        </w:rPr>
        <w:t>Diversen (beleidsmatige mutaties)</w:t>
      </w:r>
    </w:p>
    <w:p w:rsidRPr="005E7EAC" w:rsidR="00BF0F0A" w:rsidP="002C3372" w:rsidRDefault="00BF0F0A">
      <w:pPr>
        <w:spacing w:line="240" w:lineRule="exact"/>
        <w:rPr>
          <w:rFonts w:ascii="Verdana" w:hAnsi="Verdana" w:cs="Arial"/>
          <w:sz w:val="18"/>
          <w:szCs w:val="18"/>
        </w:rPr>
      </w:pPr>
      <w:r w:rsidRPr="005E7EAC">
        <w:rPr>
          <w:rFonts w:ascii="Verdana" w:hAnsi="Verdana"/>
          <w:sz w:val="18"/>
          <w:szCs w:val="18"/>
        </w:rPr>
        <w:t xml:space="preserve">Deze post bestaat hoofdzakelijk uit overlopende verplichtingen van 2015 naar verdere jaren. Hiervan heeft in 2015 18,9 mln. betrekking op een vertraging die zich voordoet in </w:t>
      </w:r>
      <w:r w:rsidRPr="005E7EAC">
        <w:rPr>
          <w:rFonts w:ascii="Verdana" w:hAnsi="Verdana" w:cs="Arial"/>
          <w:sz w:val="18"/>
          <w:szCs w:val="18"/>
        </w:rPr>
        <w:t>de onderwijshuisvesting op Caribisch Nederland. Verder wordt 6 mln. van 2015 doorgeschoven naar 2017 ten behoeve van de start van het nieuwe huisvestingstelsel Rijksmusea in 2017. Daarnaast wordt 6 mln. van het project flexibel hoger onderwijs voor volwassenen doorgeschoven naar 2016 om de raming beter aan te laten sluiten bij de verwachte realisatie. Tot slot zijn er verschillende kleinere intertemporele compensaties die tezamen 1,3 mln. bedragen in 2015.</w:t>
      </w:r>
    </w:p>
    <w:p w:rsidRPr="005E7EAC" w:rsidR="00BF0F0A" w:rsidP="002C3372" w:rsidRDefault="00BF0F0A">
      <w:pPr>
        <w:spacing w:line="240" w:lineRule="exact"/>
        <w:rPr>
          <w:rFonts w:ascii="Verdana" w:hAnsi="Verdana"/>
          <w:sz w:val="18"/>
          <w:szCs w:val="18"/>
        </w:rPr>
      </w:pPr>
    </w:p>
    <w:p w:rsidRPr="005E7EAC" w:rsidR="00BF0F0A" w:rsidP="002C3372" w:rsidRDefault="00BF0F0A">
      <w:pPr>
        <w:spacing w:line="240" w:lineRule="exact"/>
        <w:rPr>
          <w:rFonts w:ascii="Verdana" w:hAnsi="Verdana"/>
          <w:i/>
          <w:sz w:val="18"/>
          <w:szCs w:val="18"/>
        </w:rPr>
      </w:pPr>
      <w:r w:rsidRPr="005E7EAC">
        <w:rPr>
          <w:rFonts w:ascii="Verdana" w:hAnsi="Verdana"/>
          <w:i/>
          <w:sz w:val="18"/>
          <w:szCs w:val="18"/>
        </w:rPr>
        <w:t>Loonbijstelling tranche 2015</w:t>
      </w:r>
    </w:p>
    <w:p w:rsidRPr="005E7EAC" w:rsidR="00BF0F0A" w:rsidP="002C3372" w:rsidRDefault="00BF0F0A">
      <w:pPr>
        <w:spacing w:line="240" w:lineRule="exact"/>
        <w:rPr>
          <w:rFonts w:ascii="Verdana" w:hAnsi="Verdana"/>
          <w:sz w:val="18"/>
          <w:szCs w:val="18"/>
        </w:rPr>
      </w:pPr>
      <w:r w:rsidRPr="005E7EAC">
        <w:rPr>
          <w:rFonts w:ascii="Verdana" w:hAnsi="Verdana"/>
          <w:sz w:val="18"/>
          <w:szCs w:val="18"/>
        </w:rPr>
        <w:t xml:space="preserve">Dit betreft de budgettaire verwerking van de loonbijstelling tranche 2015. </w:t>
      </w:r>
    </w:p>
    <w:p w:rsidRPr="005E7EAC" w:rsidR="00BF0F0A" w:rsidP="002C3372" w:rsidRDefault="00BF0F0A">
      <w:pPr>
        <w:spacing w:line="240" w:lineRule="exact"/>
        <w:rPr>
          <w:rFonts w:ascii="Verdana" w:hAnsi="Verdana"/>
          <w:i/>
          <w:sz w:val="18"/>
          <w:szCs w:val="18"/>
        </w:rPr>
      </w:pPr>
    </w:p>
    <w:p w:rsidRPr="005E7EAC" w:rsidR="00BF0F0A" w:rsidP="002C3372" w:rsidRDefault="00BF0F0A">
      <w:pPr>
        <w:spacing w:line="240" w:lineRule="exact"/>
        <w:rPr>
          <w:rFonts w:ascii="Verdana" w:hAnsi="Verdana" w:cs="Courier New"/>
          <w:i/>
          <w:sz w:val="18"/>
          <w:szCs w:val="18"/>
        </w:rPr>
      </w:pPr>
      <w:r w:rsidRPr="005E7EAC">
        <w:rPr>
          <w:rFonts w:ascii="Verdana" w:hAnsi="Verdana" w:cs="Courier New"/>
          <w:i/>
          <w:sz w:val="18"/>
          <w:szCs w:val="18"/>
        </w:rPr>
        <w:t>Diversen (technische mutaties kaderrelevant)</w:t>
      </w:r>
    </w:p>
    <w:p w:rsidRPr="005E7EAC" w:rsidR="00BF0F0A" w:rsidP="002C3372" w:rsidRDefault="00BF0F0A">
      <w:pPr>
        <w:spacing w:line="240" w:lineRule="exact"/>
        <w:rPr>
          <w:rFonts w:ascii="Verdana" w:hAnsi="Verdana" w:cs="Arial"/>
          <w:sz w:val="18"/>
          <w:szCs w:val="18"/>
        </w:rPr>
      </w:pPr>
      <w:r w:rsidRPr="005E7EAC">
        <w:rPr>
          <w:rFonts w:ascii="Verdana" w:hAnsi="Verdana" w:cs="Arial"/>
          <w:sz w:val="18"/>
          <w:szCs w:val="18"/>
        </w:rPr>
        <w:t xml:space="preserve">Dit betreft hoofdzakelijk de budgettaire verwerking van het kaderrelevante deel van de prijsbijstelling tranche 2015. </w:t>
      </w:r>
    </w:p>
    <w:p w:rsidRPr="005E7EAC" w:rsidR="00BF0F0A" w:rsidP="002C3372" w:rsidRDefault="00BF0F0A">
      <w:pPr>
        <w:spacing w:line="240" w:lineRule="exact"/>
        <w:rPr>
          <w:rFonts w:ascii="Verdana" w:hAnsi="Verdana"/>
          <w:i/>
          <w:sz w:val="18"/>
          <w:szCs w:val="18"/>
        </w:rPr>
      </w:pPr>
    </w:p>
    <w:p w:rsidRPr="005E7EAC" w:rsidR="00BF0F0A" w:rsidP="002C3372" w:rsidRDefault="00BF0F0A">
      <w:pPr>
        <w:spacing w:line="240" w:lineRule="exact"/>
        <w:rPr>
          <w:rFonts w:ascii="Verdana" w:hAnsi="Verdana"/>
          <w:i/>
          <w:sz w:val="18"/>
          <w:szCs w:val="18"/>
        </w:rPr>
      </w:pPr>
      <w:r w:rsidRPr="005E7EAC">
        <w:rPr>
          <w:rFonts w:ascii="Verdana" w:hAnsi="Verdana"/>
          <w:i/>
          <w:sz w:val="18"/>
          <w:szCs w:val="18"/>
        </w:rPr>
        <w:t>Autonome raming studiefinanciering (niet-kaderrelevant)</w:t>
      </w:r>
    </w:p>
    <w:p w:rsidRPr="005E7EAC" w:rsidR="00BF0F0A" w:rsidP="002C3372" w:rsidRDefault="00BF0F0A">
      <w:pPr>
        <w:spacing w:line="240" w:lineRule="exact"/>
        <w:rPr>
          <w:rFonts w:ascii="Verdana" w:hAnsi="Verdana"/>
          <w:sz w:val="18"/>
          <w:szCs w:val="18"/>
        </w:rPr>
      </w:pPr>
      <w:r w:rsidRPr="005E7EAC">
        <w:rPr>
          <w:rFonts w:ascii="Verdana" w:hAnsi="Verdana"/>
          <w:sz w:val="18"/>
          <w:szCs w:val="18"/>
        </w:rPr>
        <w:t>De niet-kaderrelevante raming studiefinanciering wordt neerwaarts bijgesteld. Dit is met name het gevolg van een lagere groei van het gemiddeld geleende bedrag per student zoals blijkt uit de realisatiecijfers van 2014.</w:t>
      </w:r>
    </w:p>
    <w:p w:rsidRPr="005E7EAC" w:rsidR="00BF0F0A" w:rsidP="002C3372" w:rsidRDefault="00BF0F0A">
      <w:pPr>
        <w:spacing w:line="240" w:lineRule="exact"/>
        <w:rPr>
          <w:rFonts w:ascii="Verdana" w:hAnsi="Verdana"/>
          <w:sz w:val="18"/>
          <w:szCs w:val="18"/>
        </w:rPr>
      </w:pPr>
    </w:p>
    <w:p w:rsidRPr="005E7EAC" w:rsidR="00BF0F0A" w:rsidP="002C3372" w:rsidRDefault="00BF0F0A">
      <w:pPr>
        <w:spacing w:line="240" w:lineRule="exact"/>
        <w:rPr>
          <w:rFonts w:ascii="Verdana" w:hAnsi="Verdana"/>
          <w:i/>
          <w:sz w:val="18"/>
          <w:szCs w:val="18"/>
        </w:rPr>
      </w:pPr>
      <w:r w:rsidRPr="005E7EAC">
        <w:rPr>
          <w:rFonts w:ascii="Verdana" w:hAnsi="Verdana"/>
          <w:i/>
          <w:sz w:val="18"/>
          <w:szCs w:val="18"/>
        </w:rPr>
        <w:t>Leerlingenvolume referentieraming 2015 (niet-kaderrelevant)</w:t>
      </w:r>
    </w:p>
    <w:p w:rsidRPr="005E7EAC" w:rsidR="00BF0F0A" w:rsidP="002C3372" w:rsidRDefault="00BF0F0A">
      <w:pPr>
        <w:spacing w:line="240" w:lineRule="exact"/>
        <w:rPr>
          <w:rFonts w:ascii="Verdana" w:hAnsi="Verdana"/>
          <w:sz w:val="18"/>
          <w:szCs w:val="18"/>
        </w:rPr>
      </w:pPr>
      <w:r w:rsidRPr="005E7EAC">
        <w:rPr>
          <w:rFonts w:ascii="Verdana" w:hAnsi="Verdana"/>
          <w:sz w:val="18"/>
          <w:szCs w:val="18"/>
        </w:rPr>
        <w:t xml:space="preserve">Dit betreft de budgettaire verwerking van het niet-kaderrelevante deel van de referentieraming 2015 op de studiefinanciering. Vanwege dalende studentenaantallen neemt het aantal leningen en prestatiebeurzen af. </w:t>
      </w:r>
    </w:p>
    <w:p w:rsidRPr="005E7EAC" w:rsidR="00BF0F0A" w:rsidP="002C3372" w:rsidRDefault="00BF0F0A">
      <w:pPr>
        <w:spacing w:line="240" w:lineRule="exact"/>
        <w:rPr>
          <w:rFonts w:ascii="Verdana" w:hAnsi="Verdana"/>
          <w:i/>
          <w:sz w:val="18"/>
          <w:szCs w:val="18"/>
        </w:rPr>
      </w:pPr>
    </w:p>
    <w:p w:rsidRPr="005E7EAC" w:rsidR="00BF0F0A" w:rsidP="002C3372" w:rsidRDefault="00BF0F0A">
      <w:pPr>
        <w:spacing w:line="240" w:lineRule="exact"/>
        <w:rPr>
          <w:rFonts w:ascii="Verdana" w:hAnsi="Verdana" w:cs="Courier New"/>
          <w:i/>
          <w:sz w:val="18"/>
          <w:szCs w:val="18"/>
        </w:rPr>
      </w:pPr>
      <w:r w:rsidRPr="005E7EAC">
        <w:rPr>
          <w:rFonts w:ascii="Verdana" w:hAnsi="Verdana" w:cs="Courier New"/>
          <w:i/>
          <w:sz w:val="18"/>
          <w:szCs w:val="18"/>
        </w:rPr>
        <w:t>Diversen (technische mutaties niet-kaderrelevant)</w:t>
      </w:r>
    </w:p>
    <w:p w:rsidRPr="005E7EAC" w:rsidR="00BF0F0A" w:rsidP="002C3372" w:rsidRDefault="00BF0F0A">
      <w:pPr>
        <w:spacing w:line="240" w:lineRule="exact"/>
        <w:rPr>
          <w:rFonts w:ascii="Verdana" w:hAnsi="Verdana" w:cs="Arial"/>
          <w:sz w:val="18"/>
          <w:szCs w:val="18"/>
        </w:rPr>
      </w:pPr>
      <w:r w:rsidRPr="005E7EAC">
        <w:rPr>
          <w:rFonts w:ascii="Verdana" w:hAnsi="Verdana" w:cs="Arial"/>
          <w:sz w:val="18"/>
          <w:szCs w:val="18"/>
        </w:rPr>
        <w:t xml:space="preserve">Dit betreft de budgettaire verwerking van het niet-kaderrelevante deel van de prijsbijstelling tranche 2015. </w:t>
      </w:r>
    </w:p>
    <w:p w:rsidRPr="005E7EAC" w:rsidR="00BF0F0A" w:rsidP="002C3372" w:rsidRDefault="00BF0F0A">
      <w:pPr>
        <w:spacing w:line="240" w:lineRule="exact"/>
        <w:rPr>
          <w:rFonts w:ascii="Verdana" w:hAnsi="Verdana" w:cs="Arial"/>
          <w:i/>
          <w:sz w:val="18"/>
          <w:szCs w:val="18"/>
        </w:rPr>
      </w:pPr>
    </w:p>
    <w:p w:rsidRPr="005E7EAC" w:rsidR="00BF0F0A" w:rsidP="002C3372" w:rsidRDefault="00BF0F0A">
      <w:pPr>
        <w:spacing w:line="240" w:lineRule="exact"/>
        <w:rPr>
          <w:rFonts w:ascii="Verdana" w:hAnsi="Verdana" w:cs="Arial"/>
          <w:i/>
          <w:sz w:val="18"/>
          <w:szCs w:val="18"/>
        </w:rPr>
      </w:pPr>
      <w:r w:rsidRPr="005E7EAC">
        <w:rPr>
          <w:rFonts w:ascii="Verdana" w:hAnsi="Verdana" w:cs="Arial"/>
          <w:i/>
          <w:sz w:val="18"/>
          <w:szCs w:val="18"/>
        </w:rPr>
        <w:t>Rente studiefinanciering</w:t>
      </w:r>
    </w:p>
    <w:p w:rsidRPr="005E7EAC" w:rsidR="00BF0F0A" w:rsidP="002C3372" w:rsidRDefault="00BF0F0A">
      <w:pPr>
        <w:spacing w:line="240" w:lineRule="exact"/>
        <w:rPr>
          <w:rFonts w:ascii="Verdana" w:hAnsi="Verdana" w:cs="Arial"/>
          <w:sz w:val="18"/>
          <w:szCs w:val="18"/>
        </w:rPr>
      </w:pPr>
      <w:r w:rsidRPr="005E7EAC">
        <w:rPr>
          <w:rFonts w:ascii="Verdana" w:hAnsi="Verdana" w:cs="Arial"/>
          <w:sz w:val="18"/>
          <w:szCs w:val="18"/>
        </w:rPr>
        <w:t xml:space="preserve">De raming voor studiefinanciering 2015 laat lagere renteontvangsten zien vanwege de lagere rentestand. </w:t>
      </w:r>
    </w:p>
    <w:p w:rsidRPr="005E7EAC" w:rsidR="00BF0F0A" w:rsidP="002C3372" w:rsidRDefault="00BF0F0A">
      <w:pPr>
        <w:spacing w:line="240" w:lineRule="exact"/>
        <w:rPr>
          <w:rFonts w:ascii="Verdana" w:hAnsi="Verdana" w:cs="Arial"/>
          <w:sz w:val="18"/>
          <w:szCs w:val="18"/>
        </w:rPr>
      </w:pPr>
    </w:p>
    <w:p w:rsidRPr="005E7EAC" w:rsidR="00E3174A" w:rsidP="002C3372" w:rsidRDefault="00E3174A">
      <w:pPr>
        <w:spacing w:line="240" w:lineRule="exact"/>
        <w:rPr>
          <w:rFonts w:ascii="Verdana" w:hAnsi="Verdana" w:cs="Arial"/>
          <w:i/>
          <w:sz w:val="18"/>
          <w:szCs w:val="18"/>
        </w:rPr>
      </w:pPr>
    </w:p>
    <w:p w:rsidRPr="005E7EAC" w:rsidR="00BF0F0A" w:rsidP="002C3372" w:rsidRDefault="00BF0F0A">
      <w:pPr>
        <w:spacing w:line="240" w:lineRule="exact"/>
        <w:rPr>
          <w:rFonts w:ascii="Verdana" w:hAnsi="Verdana" w:cs="Arial"/>
          <w:i/>
          <w:sz w:val="18"/>
          <w:szCs w:val="18"/>
        </w:rPr>
      </w:pPr>
      <w:r w:rsidRPr="005E7EAC">
        <w:rPr>
          <w:rFonts w:ascii="Verdana" w:hAnsi="Verdana" w:cs="Arial"/>
          <w:i/>
          <w:sz w:val="18"/>
          <w:szCs w:val="18"/>
        </w:rPr>
        <w:lastRenderedPageBreak/>
        <w:t>Autonome raming studiefinanciering (niet-kaderrelevant)</w:t>
      </w:r>
    </w:p>
    <w:p w:rsidRPr="005E7EAC" w:rsidR="00BF0F0A" w:rsidP="002C3372" w:rsidRDefault="00BF0F0A">
      <w:pPr>
        <w:spacing w:line="240" w:lineRule="exact"/>
        <w:rPr>
          <w:rFonts w:ascii="Verdana" w:hAnsi="Verdana"/>
          <w:sz w:val="18"/>
          <w:szCs w:val="18"/>
        </w:rPr>
      </w:pPr>
      <w:r w:rsidRPr="005E7EAC">
        <w:rPr>
          <w:rFonts w:ascii="Verdana" w:hAnsi="Verdana"/>
          <w:sz w:val="18"/>
          <w:szCs w:val="18"/>
        </w:rPr>
        <w:t>De raming voor ontvangsten op de hoofdsom van de studieleningen is opwaarts bijgesteld. Vanwege de lagere rente</w:t>
      </w:r>
      <w:bookmarkStart w:name="_GoBack" w:id="0"/>
      <w:bookmarkEnd w:id="0"/>
      <w:r w:rsidRPr="005E7EAC">
        <w:rPr>
          <w:rFonts w:ascii="Verdana" w:hAnsi="Verdana"/>
          <w:sz w:val="18"/>
          <w:szCs w:val="18"/>
        </w:rPr>
        <w:t xml:space="preserve"> wordt het aflossingsdeel in de terugbetalingen groter. </w:t>
      </w:r>
    </w:p>
    <w:p w:rsidRPr="005E7EAC" w:rsidR="00BF0F0A" w:rsidRDefault="00BF0F0A">
      <w:pPr>
        <w:spacing w:after="200" w:line="276" w:lineRule="auto"/>
        <w:rPr>
          <w:rFonts w:ascii="Verdana" w:hAnsi="Verdana" w:cs="Arial"/>
          <w:b/>
          <w:bCs/>
          <w:sz w:val="18"/>
          <w:szCs w:val="18"/>
        </w:rPr>
      </w:pPr>
      <w:r w:rsidRPr="005E7EAC">
        <w:rPr>
          <w:rFonts w:ascii="Verdana" w:hAnsi="Verdana" w:cs="Arial"/>
          <w:b/>
          <w:bCs/>
          <w:sz w:val="18"/>
          <w:szCs w:val="18"/>
        </w:rPr>
        <w:br w:type="page"/>
      </w:r>
    </w:p>
    <w:p w:rsidRPr="005E7EAC" w:rsidR="00FB1C9B" w:rsidP="00FB1C9B" w:rsidRDefault="00E426FD">
      <w:pPr>
        <w:spacing w:line="276" w:lineRule="auto"/>
        <w:rPr>
          <w:rFonts w:ascii="Verdana" w:hAnsi="Verdana" w:cs="Arial"/>
          <w:b/>
          <w:bCs/>
          <w:sz w:val="18"/>
          <w:szCs w:val="18"/>
        </w:rPr>
      </w:pPr>
      <w:r w:rsidRPr="005E7EAC">
        <w:rPr>
          <w:rFonts w:ascii="Verdana" w:hAnsi="Verdana" w:cs="Arial"/>
          <w:b/>
          <w:bCs/>
          <w:sz w:val="18"/>
          <w:szCs w:val="18"/>
        </w:rPr>
        <w:lastRenderedPageBreak/>
        <w:t xml:space="preserve">IXA </w:t>
      </w:r>
      <w:r w:rsidRPr="005E7EAC" w:rsidR="00DD331C">
        <w:rPr>
          <w:rFonts w:ascii="Verdana" w:hAnsi="Verdana" w:cs="Arial"/>
          <w:b/>
          <w:bCs/>
          <w:sz w:val="18"/>
          <w:szCs w:val="18"/>
        </w:rPr>
        <w:t>Nationale schuld</w:t>
      </w:r>
      <w:r w:rsidRPr="005E7EAC" w:rsidR="00FB1C9B">
        <w:rPr>
          <w:rFonts w:ascii="Verdana" w:hAnsi="Verdana" w:cs="Arial"/>
          <w:b/>
          <w:bCs/>
          <w:sz w:val="18"/>
          <w:szCs w:val="18"/>
        </w:rPr>
        <w:t xml:space="preserve"> (transactiebasis)</w:t>
      </w:r>
    </w:p>
    <w:p w:rsidRPr="005E7EAC" w:rsidR="00FB1C9B" w:rsidP="00FB1C9B" w:rsidRDefault="00FB1C9B">
      <w:pPr>
        <w:spacing w:line="276" w:lineRule="auto"/>
        <w:rPr>
          <w:rFonts w:ascii="Verdana" w:hAnsi="Verdana" w:cs="Arial"/>
          <w:b/>
          <w:bCs/>
          <w:sz w:val="18"/>
          <w:szCs w:val="18"/>
        </w:rPr>
      </w:pPr>
    </w:p>
    <w:tbl>
      <w:tblPr>
        <w:tblW w:w="5000" w:type="pct"/>
        <w:tblCellMar>
          <w:left w:w="0" w:type="dxa"/>
          <w:right w:w="0" w:type="dxa"/>
        </w:tblCellMar>
        <w:tblLook w:val="04A0"/>
      </w:tblPr>
      <w:tblGrid>
        <w:gridCol w:w="4090"/>
        <w:gridCol w:w="1004"/>
        <w:gridCol w:w="1004"/>
        <w:gridCol w:w="1004"/>
        <w:gridCol w:w="1004"/>
        <w:gridCol w:w="1004"/>
      </w:tblGrid>
      <w:tr w:rsidRPr="005E7EAC" w:rsidR="00FB1C9B" w:rsidTr="00FB1C9B">
        <w:trPr>
          <w:trHeight w:val="240"/>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UITGAVEN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r>
      <w:tr w:rsidRPr="005E7EAC" w:rsidR="00FB1C9B" w:rsidTr="00FB1C9B">
        <w:trPr>
          <w:trHeight w:val="240"/>
        </w:trPr>
        <w:tc>
          <w:tcPr>
            <w:tcW w:w="2245"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2019</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13.070,3</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15.159,5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17.328,8</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16.566,6</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19.020,8</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224" w:type="dxa"/>
              <w:bottom w:w="0" w:type="dxa"/>
              <w:right w:w="19" w:type="dxa"/>
            </w:tcMar>
            <w:hideMark/>
          </w:tcPr>
          <w:p w:rsidRPr="005E7EAC" w:rsidR="00FB1C9B" w:rsidRDefault="00FB1C9B">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40"/>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-4,3</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-4,3</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224" w:type="dxa"/>
              <w:bottom w:w="0" w:type="dxa"/>
              <w:right w:w="19" w:type="dxa"/>
            </w:tcMar>
            <w:hideMark/>
          </w:tcPr>
          <w:p w:rsidRPr="005E7EAC" w:rsidR="00FB1C9B" w:rsidRDefault="00FB1C9B">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0,1</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224" w:type="dxa"/>
              <w:bottom w:w="0" w:type="dxa"/>
              <w:right w:w="19" w:type="dxa"/>
            </w:tcMar>
            <w:hideMark/>
          </w:tcPr>
          <w:p w:rsidRPr="005E7EAC" w:rsidR="00FB1C9B" w:rsidRDefault="00FB1C9B">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450"/>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Mutatie in rekening-courant en deposito</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-931,7</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-6.337,0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1.447,5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1.418,6</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1.355,0</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Rente vaste schuld</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-543,1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-1.563,6</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-2.174,4</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-2.130,2</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-2.130,3</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Rente vlottende schuld</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-100,0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-975,8</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1,6</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1,5</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Rentelasten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-16,3</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-228,8</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-39,5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-29,2</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-9,2</w:t>
            </w:r>
          </w:p>
        </w:tc>
      </w:tr>
      <w:tr w:rsidRPr="005E7EAC" w:rsidR="00FB1C9B" w:rsidTr="00FB1C9B">
        <w:trPr>
          <w:trHeight w:val="240"/>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Verstrekte leningen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-100,0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-100,0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-100,0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-100,0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-100,0</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-1.691,0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-9.205,1</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-864,7</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-839,2</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-882,9</w:t>
            </w:r>
          </w:p>
        </w:tc>
      </w:tr>
      <w:tr w:rsidRPr="005E7EAC" w:rsidR="00FB1C9B" w:rsidTr="00FB1C9B">
        <w:trPr>
          <w:trHeight w:val="180"/>
        </w:trPr>
        <w:tc>
          <w:tcPr>
            <w:tcW w:w="2245"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-1.695,4</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-9.205,1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-864,8</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-839,3</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-882,9</w:t>
            </w:r>
          </w:p>
        </w:tc>
      </w:tr>
      <w:tr w:rsidRPr="005E7EAC" w:rsidR="00FB1C9B" w:rsidTr="00FB1C9B">
        <w:trPr>
          <w:trHeight w:val="240"/>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11.374,9</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5.954,4</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16.464,0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15.727,3</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18.137,9</w:t>
            </w:r>
          </w:p>
        </w:tc>
      </w:tr>
      <w:tr w:rsidRPr="005E7EAC" w:rsidR="00FB1C9B" w:rsidTr="00FB1C9B">
        <w:trPr>
          <w:trHeight w:val="240"/>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11.374,9</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5.954,4</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16.464,0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15.727,3</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18.137,9</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r>
      <w:tr w:rsidRPr="005E7EAC" w:rsidR="00FB1C9B" w:rsidTr="00FB1C9B">
        <w:trPr>
          <w:trHeight w:val="240"/>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NIET-BELASTINGONTVANGSTEN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r>
      <w:tr w:rsidRPr="005E7EAC" w:rsidR="00FB1C9B" w:rsidTr="00FB1C9B">
        <w:trPr>
          <w:trHeight w:val="240"/>
        </w:trPr>
        <w:tc>
          <w:tcPr>
            <w:tcW w:w="2245"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2019</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4.008,9</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5.557,2</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5.300,1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5.044,9</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4.867,2</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224" w:type="dxa"/>
              <w:bottom w:w="0" w:type="dxa"/>
              <w:right w:w="19" w:type="dxa"/>
            </w:tcMar>
            <w:hideMark/>
          </w:tcPr>
          <w:p w:rsidRPr="005E7EAC" w:rsidR="00FB1C9B" w:rsidRDefault="00FB1C9B">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Aflossingen op leningen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275,7</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-22,4</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5,4</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-11,3</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-258,9</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Rente vaste schuld</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-68,6</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-190,0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425,1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659,9</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632,4</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Rentebaten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-22,5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-225,1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-176,4</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-144,0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-123,9</w:t>
            </w:r>
          </w:p>
        </w:tc>
      </w:tr>
      <w:tr w:rsidRPr="005E7EAC" w:rsidR="00FB1C9B" w:rsidTr="00FB1C9B">
        <w:trPr>
          <w:trHeight w:val="240"/>
        </w:trPr>
        <w:tc>
          <w:tcPr>
            <w:tcW w:w="2245" w:type="pct"/>
            <w:tcBorders>
              <w:top w:val="nil"/>
              <w:left w:val="nil"/>
              <w:bottom w:val="nil"/>
              <w:right w:val="nil"/>
            </w:tcBorders>
            <w:shd w:val="clear" w:color="auto" w:fill="auto"/>
            <w:tcMar>
              <w:top w:w="19" w:type="dxa"/>
              <w:left w:w="449" w:type="dxa"/>
              <w:bottom w:w="0" w:type="dxa"/>
              <w:right w:w="19" w:type="dxa"/>
            </w:tcMar>
            <w:hideMark/>
          </w:tcPr>
          <w:p w:rsidRPr="005E7EAC" w:rsidR="00FB1C9B" w:rsidRDefault="00FB1C9B">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-2,8</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-27,5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-0,5</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181,8</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-465,0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253,6</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504,1</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249,1</w:t>
            </w:r>
          </w:p>
        </w:tc>
      </w:tr>
      <w:tr w:rsidRPr="005E7EAC" w:rsidR="00FB1C9B" w:rsidTr="00FB1C9B">
        <w:trPr>
          <w:trHeight w:val="180"/>
        </w:trPr>
        <w:tc>
          <w:tcPr>
            <w:tcW w:w="2245"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181,8</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-465,0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253,6</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504,1</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249,1</w:t>
            </w:r>
          </w:p>
        </w:tc>
      </w:tr>
      <w:tr w:rsidRPr="005E7EAC" w:rsidR="00FB1C9B" w:rsidTr="00FB1C9B">
        <w:trPr>
          <w:trHeight w:val="240"/>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c>
          <w:tcPr>
            <w:tcW w:w="551" w:type="pct"/>
            <w:tcBorders>
              <w:top w:val="nil"/>
              <w:left w:val="nil"/>
              <w:bottom w:val="nil"/>
              <w:right w:val="nil"/>
            </w:tcBorders>
            <w:shd w:val="clear" w:color="auto" w:fill="auto"/>
            <w:noWrap/>
            <w:tcMar>
              <w:top w:w="19" w:type="dxa"/>
              <w:left w:w="19" w:type="dxa"/>
              <w:bottom w:w="0" w:type="dxa"/>
              <w:right w:w="19" w:type="dxa"/>
            </w:tcMar>
            <w:vAlign w:val="bottom"/>
            <w:hideMark/>
          </w:tcPr>
          <w:p w:rsidRPr="005E7EAC" w:rsidR="00FB1C9B" w:rsidRDefault="00FB1C9B">
            <w:pPr>
              <w:rPr>
                <w:rFonts w:ascii="Verdana" w:hAnsi="Verdana"/>
                <w:color w:val="000000"/>
                <w:sz w:val="14"/>
                <w:szCs w:val="14"/>
              </w:rPr>
            </w:pP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4.190,8</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5.092,2</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5.553,8</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5.549,0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5.116,3</w:t>
            </w:r>
          </w:p>
        </w:tc>
      </w:tr>
      <w:tr w:rsidRPr="005E7EAC" w:rsidR="00FB1C9B" w:rsidTr="00FB1C9B">
        <w:trPr>
          <w:trHeight w:val="240"/>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0,0</w:t>
            </w:r>
          </w:p>
        </w:tc>
      </w:tr>
      <w:tr w:rsidRPr="005E7EAC" w:rsidR="00FB1C9B" w:rsidTr="00FB1C9B">
        <w:trPr>
          <w:trHeight w:val="225"/>
        </w:trPr>
        <w:tc>
          <w:tcPr>
            <w:tcW w:w="2245" w:type="pct"/>
            <w:tcBorders>
              <w:top w:val="nil"/>
              <w:left w:val="nil"/>
              <w:bottom w:val="nil"/>
              <w:right w:val="nil"/>
            </w:tcBorders>
            <w:shd w:val="clear" w:color="auto" w:fill="auto"/>
            <w:tcMar>
              <w:top w:w="19" w:type="dxa"/>
              <w:left w:w="19" w:type="dxa"/>
              <w:bottom w:w="0" w:type="dxa"/>
              <w:right w:w="19" w:type="dxa"/>
            </w:tcMar>
            <w:hideMark/>
          </w:tcPr>
          <w:p w:rsidRPr="005E7EAC" w:rsidR="00FB1C9B" w:rsidRDefault="00FB1C9B">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4.190,8</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5.092,2</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5.553,8</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5.549,0</w:t>
            </w:r>
          </w:p>
        </w:tc>
        <w:tc>
          <w:tcPr>
            <w:tcW w:w="551" w:type="pct"/>
            <w:tcBorders>
              <w:top w:val="single" w:color="000000" w:sz="8" w:space="0"/>
              <w:left w:val="nil"/>
              <w:bottom w:val="nil"/>
              <w:right w:val="nil"/>
            </w:tcBorders>
            <w:shd w:val="clear" w:color="auto" w:fill="auto"/>
            <w:tcMar>
              <w:top w:w="19" w:type="dxa"/>
              <w:left w:w="19" w:type="dxa"/>
              <w:bottom w:w="0" w:type="dxa"/>
              <w:right w:w="19" w:type="dxa"/>
            </w:tcMar>
            <w:hideMark/>
          </w:tcPr>
          <w:p w:rsidRPr="005E7EAC" w:rsidR="00FB1C9B" w:rsidRDefault="00FB1C9B">
            <w:pPr>
              <w:jc w:val="right"/>
              <w:rPr>
                <w:rFonts w:ascii="Verdana" w:hAnsi="Verdana"/>
                <w:color w:val="000000"/>
                <w:sz w:val="18"/>
                <w:szCs w:val="18"/>
              </w:rPr>
            </w:pPr>
            <w:r w:rsidRPr="005E7EAC">
              <w:rPr>
                <w:rFonts w:ascii="Verdana" w:hAnsi="Verdana"/>
                <w:color w:val="000000"/>
                <w:sz w:val="18"/>
                <w:szCs w:val="18"/>
              </w:rPr>
              <w:t>5.116,3</w:t>
            </w:r>
          </w:p>
        </w:tc>
      </w:tr>
    </w:tbl>
    <w:p w:rsidRPr="005E7EAC" w:rsidR="00DF39E7" w:rsidP="00DF39E7" w:rsidRDefault="00FB1C9B">
      <w:pPr>
        <w:spacing w:line="240" w:lineRule="exact"/>
        <w:rPr>
          <w:rFonts w:ascii="Verdana" w:hAnsi="Verdana" w:cs="Arial"/>
          <w:bCs/>
          <w:sz w:val="18"/>
          <w:szCs w:val="18"/>
        </w:rPr>
      </w:pPr>
      <w:r w:rsidRPr="005E7EAC">
        <w:rPr>
          <w:rFonts w:ascii="Verdana" w:hAnsi="Verdana" w:cs="Arial"/>
          <w:bCs/>
          <w:sz w:val="18"/>
          <w:szCs w:val="18"/>
        </w:rPr>
        <w:t xml:space="preserve"> </w:t>
      </w:r>
    </w:p>
    <w:p w:rsidRPr="005E7EAC" w:rsidR="00DF39E7" w:rsidP="00DF39E7" w:rsidRDefault="00DF39E7">
      <w:pPr>
        <w:spacing w:line="240" w:lineRule="exact"/>
        <w:rPr>
          <w:rFonts w:ascii="Verdana" w:hAnsi="Verdana" w:cs="Arial"/>
          <w:bCs/>
          <w:sz w:val="18"/>
          <w:szCs w:val="18"/>
        </w:rPr>
      </w:pPr>
    </w:p>
    <w:p w:rsidRPr="005E7EAC" w:rsidR="00DF39E7" w:rsidP="00DF39E7" w:rsidRDefault="00DF39E7">
      <w:pPr>
        <w:spacing w:line="240" w:lineRule="exact"/>
        <w:rPr>
          <w:rFonts w:ascii="Verdana" w:hAnsi="Verdana" w:cs="Courier New"/>
          <w:i/>
          <w:sz w:val="18"/>
          <w:szCs w:val="18"/>
        </w:rPr>
      </w:pPr>
      <w:r w:rsidRPr="005E7EAC">
        <w:rPr>
          <w:rFonts w:ascii="Verdana" w:hAnsi="Verdana" w:cs="Courier New"/>
          <w:i/>
          <w:sz w:val="18"/>
          <w:szCs w:val="18"/>
        </w:rPr>
        <w:t>Mutatie in rekening-courant en deposito</w:t>
      </w:r>
    </w:p>
    <w:p w:rsidRPr="005E7EAC" w:rsidR="00DF39E7" w:rsidP="00DF39E7" w:rsidRDefault="00DF39E7">
      <w:pPr>
        <w:spacing w:line="240" w:lineRule="exact"/>
        <w:rPr>
          <w:rFonts w:ascii="Verdana" w:hAnsi="Verdana" w:cs="Courier New"/>
          <w:sz w:val="18"/>
          <w:szCs w:val="18"/>
        </w:rPr>
      </w:pPr>
      <w:r w:rsidRPr="005E7EAC">
        <w:rPr>
          <w:rFonts w:ascii="Verdana" w:hAnsi="Verdana" w:cs="Courier New"/>
          <w:sz w:val="18"/>
          <w:szCs w:val="18"/>
        </w:rPr>
        <w:t>De inleg van de sociale fondsen is gewijzigd als gevolg van mutaties in de premieontvangsten en de premiegefinancierde uitgaven.</w:t>
      </w:r>
    </w:p>
    <w:p w:rsidRPr="005E7EAC" w:rsidR="00DF39E7" w:rsidP="00DF39E7" w:rsidRDefault="00DF39E7">
      <w:pPr>
        <w:spacing w:line="240" w:lineRule="exact"/>
        <w:rPr>
          <w:rFonts w:ascii="Verdana" w:hAnsi="Verdana" w:cs="Courier New"/>
          <w:i/>
          <w:sz w:val="18"/>
          <w:szCs w:val="18"/>
        </w:rPr>
      </w:pPr>
    </w:p>
    <w:p w:rsidRPr="005E7EAC" w:rsidR="00DF39E7" w:rsidP="00DF39E7" w:rsidRDefault="00DF39E7">
      <w:pPr>
        <w:spacing w:line="240" w:lineRule="exact"/>
        <w:rPr>
          <w:rFonts w:ascii="Verdana" w:hAnsi="Verdana" w:cs="Courier New"/>
          <w:i/>
          <w:sz w:val="18"/>
          <w:szCs w:val="18"/>
        </w:rPr>
      </w:pPr>
      <w:r w:rsidRPr="005E7EAC">
        <w:rPr>
          <w:rFonts w:ascii="Verdana" w:hAnsi="Verdana" w:cs="Courier New"/>
          <w:i/>
          <w:sz w:val="18"/>
          <w:szCs w:val="18"/>
        </w:rPr>
        <w:t>Rente vaste schuld</w:t>
      </w:r>
    </w:p>
    <w:p w:rsidRPr="005E7EAC" w:rsidR="00DF39E7" w:rsidP="00DF39E7" w:rsidRDefault="00DF39E7">
      <w:pPr>
        <w:spacing w:line="240" w:lineRule="exact"/>
        <w:rPr>
          <w:rFonts w:ascii="Verdana" w:hAnsi="Verdana" w:cs="Courier New"/>
          <w:sz w:val="18"/>
          <w:szCs w:val="18"/>
        </w:rPr>
      </w:pPr>
      <w:r w:rsidRPr="005E7EAC">
        <w:rPr>
          <w:rFonts w:ascii="Verdana" w:hAnsi="Verdana" w:cs="Courier New"/>
          <w:sz w:val="18"/>
          <w:szCs w:val="18"/>
        </w:rPr>
        <w:t xml:space="preserve">De raming van de rentelasten vaste schuld wijzigt als gevolg van bijstellingen van de rentetarieven en de financieringsbehoefte. </w:t>
      </w:r>
    </w:p>
    <w:p w:rsidRPr="005E7EAC" w:rsidR="00DF39E7" w:rsidP="00DF39E7" w:rsidRDefault="00DF39E7">
      <w:pPr>
        <w:spacing w:line="240" w:lineRule="exact"/>
        <w:rPr>
          <w:rFonts w:ascii="Verdana" w:hAnsi="Verdana" w:cs="Courier New"/>
          <w:i/>
          <w:sz w:val="18"/>
          <w:szCs w:val="18"/>
        </w:rPr>
      </w:pPr>
    </w:p>
    <w:p w:rsidRPr="005E7EAC" w:rsidR="00DF39E7" w:rsidP="00DF39E7" w:rsidRDefault="00DF39E7">
      <w:pPr>
        <w:spacing w:line="240" w:lineRule="exact"/>
        <w:rPr>
          <w:rFonts w:ascii="Verdana" w:hAnsi="Verdana" w:cs="Courier New"/>
          <w:i/>
          <w:sz w:val="18"/>
          <w:szCs w:val="18"/>
        </w:rPr>
      </w:pPr>
      <w:r w:rsidRPr="005E7EAC">
        <w:rPr>
          <w:rFonts w:ascii="Verdana" w:hAnsi="Verdana" w:cs="Courier New"/>
          <w:i/>
          <w:sz w:val="18"/>
          <w:szCs w:val="18"/>
        </w:rPr>
        <w:t>Rente vlottende schuld</w:t>
      </w:r>
    </w:p>
    <w:p w:rsidRPr="005E7EAC" w:rsidR="00DF39E7" w:rsidP="00DF39E7" w:rsidRDefault="00DF39E7">
      <w:pPr>
        <w:spacing w:line="240" w:lineRule="exact"/>
        <w:rPr>
          <w:rFonts w:ascii="Verdana" w:hAnsi="Verdana" w:cs="Courier New"/>
          <w:sz w:val="18"/>
          <w:szCs w:val="18"/>
        </w:rPr>
      </w:pPr>
      <w:r w:rsidRPr="005E7EAC">
        <w:rPr>
          <w:rFonts w:ascii="Verdana" w:hAnsi="Verdana" w:cs="Courier New"/>
          <w:sz w:val="18"/>
          <w:szCs w:val="18"/>
        </w:rPr>
        <w:t xml:space="preserve">De raming van de rentelasten vlottende schuld wijzigt als gevolg van bijstellingen van de rentetarieven en de financieringsbehoefte. </w:t>
      </w:r>
    </w:p>
    <w:p w:rsidRPr="005E7EAC" w:rsidR="00DF39E7" w:rsidP="00DF39E7" w:rsidRDefault="00DF39E7">
      <w:pPr>
        <w:spacing w:line="240" w:lineRule="exact"/>
        <w:rPr>
          <w:rFonts w:ascii="Verdana" w:hAnsi="Verdana" w:cs="Courier New"/>
          <w:i/>
          <w:sz w:val="18"/>
          <w:szCs w:val="18"/>
        </w:rPr>
      </w:pPr>
    </w:p>
    <w:p w:rsidRPr="005E7EAC" w:rsidR="00DF39E7" w:rsidP="00DF39E7" w:rsidRDefault="00DF39E7">
      <w:pPr>
        <w:spacing w:line="240" w:lineRule="exact"/>
        <w:rPr>
          <w:rFonts w:ascii="Verdana" w:hAnsi="Verdana" w:cs="Courier New"/>
          <w:i/>
          <w:sz w:val="18"/>
          <w:szCs w:val="18"/>
        </w:rPr>
      </w:pPr>
      <w:r w:rsidRPr="005E7EAC">
        <w:rPr>
          <w:rFonts w:ascii="Verdana" w:hAnsi="Verdana" w:cs="Courier New"/>
          <w:i/>
          <w:sz w:val="18"/>
          <w:szCs w:val="18"/>
        </w:rPr>
        <w:t>Rentelasten</w:t>
      </w:r>
    </w:p>
    <w:p w:rsidRPr="005E7EAC" w:rsidR="00DF39E7" w:rsidP="00DF39E7" w:rsidRDefault="00DF39E7">
      <w:pPr>
        <w:spacing w:line="240" w:lineRule="exact"/>
        <w:rPr>
          <w:rFonts w:ascii="Verdana" w:hAnsi="Verdana" w:cs="Courier New"/>
          <w:sz w:val="18"/>
          <w:szCs w:val="18"/>
        </w:rPr>
      </w:pPr>
      <w:r w:rsidRPr="005E7EAC">
        <w:rPr>
          <w:rFonts w:ascii="Verdana" w:hAnsi="Verdana" w:cs="Courier New"/>
          <w:sz w:val="18"/>
          <w:szCs w:val="18"/>
        </w:rPr>
        <w:t>De raming van rentelasten kasbeheer is aangepast, als gevolg van een wijziging van de rekenrente en veranderingen bij de aangehouden middelen.</w:t>
      </w:r>
    </w:p>
    <w:p w:rsidRPr="005E7EAC" w:rsidR="00DF39E7" w:rsidP="00DF39E7" w:rsidRDefault="00DF39E7">
      <w:pPr>
        <w:spacing w:line="240" w:lineRule="exact"/>
        <w:rPr>
          <w:rFonts w:ascii="Verdana" w:hAnsi="Verdana" w:cs="Courier New"/>
          <w:i/>
          <w:sz w:val="18"/>
          <w:szCs w:val="18"/>
        </w:rPr>
      </w:pPr>
    </w:p>
    <w:p w:rsidRPr="005E7EAC" w:rsidR="00DF39E7" w:rsidP="00DF39E7" w:rsidRDefault="00DF39E7">
      <w:pPr>
        <w:spacing w:line="240" w:lineRule="exact"/>
        <w:rPr>
          <w:rFonts w:ascii="Verdana" w:hAnsi="Verdana" w:cs="Courier New"/>
          <w:i/>
          <w:sz w:val="18"/>
          <w:szCs w:val="18"/>
        </w:rPr>
      </w:pPr>
      <w:r w:rsidRPr="005E7EAC">
        <w:rPr>
          <w:rFonts w:ascii="Verdana" w:hAnsi="Verdana" w:cs="Courier New"/>
          <w:i/>
          <w:sz w:val="18"/>
          <w:szCs w:val="18"/>
        </w:rPr>
        <w:t>Verstrekte leningen</w:t>
      </w:r>
    </w:p>
    <w:p w:rsidRPr="005E7EAC" w:rsidR="00DF39E7" w:rsidP="00DF39E7" w:rsidRDefault="00DF39E7">
      <w:pPr>
        <w:spacing w:line="240" w:lineRule="exact"/>
        <w:rPr>
          <w:rFonts w:ascii="Verdana" w:hAnsi="Verdana" w:cs="Courier New"/>
          <w:sz w:val="18"/>
          <w:szCs w:val="18"/>
        </w:rPr>
      </w:pPr>
      <w:r w:rsidRPr="005E7EAC">
        <w:rPr>
          <w:rFonts w:ascii="Verdana" w:hAnsi="Verdana" w:cs="Courier New"/>
          <w:sz w:val="18"/>
          <w:szCs w:val="18"/>
        </w:rPr>
        <w:t>Gewijzigde inzichten in het leengedrag van agentschappen en RWT’s (Rechtspersonen met een wettelijke taak) leiden tot een aanpassing van de voorziene uitgaven.</w:t>
      </w:r>
    </w:p>
    <w:p w:rsidRPr="005E7EAC" w:rsidR="00DF39E7" w:rsidP="00DF39E7" w:rsidRDefault="00DF39E7">
      <w:pPr>
        <w:spacing w:line="240" w:lineRule="exact"/>
        <w:rPr>
          <w:rFonts w:ascii="Verdana" w:hAnsi="Verdana" w:cs="Courier New"/>
          <w:i/>
          <w:sz w:val="18"/>
          <w:szCs w:val="18"/>
        </w:rPr>
      </w:pPr>
    </w:p>
    <w:p w:rsidRPr="005E7EAC" w:rsidR="00DF39E7" w:rsidP="00DF39E7" w:rsidRDefault="00DF39E7">
      <w:pPr>
        <w:spacing w:line="240" w:lineRule="exact"/>
        <w:rPr>
          <w:rFonts w:ascii="Verdana" w:hAnsi="Verdana" w:cs="Courier New"/>
          <w:i/>
          <w:sz w:val="18"/>
          <w:szCs w:val="18"/>
        </w:rPr>
      </w:pPr>
      <w:r w:rsidRPr="005E7EAC">
        <w:rPr>
          <w:rFonts w:ascii="Verdana" w:hAnsi="Verdana" w:cs="Courier New"/>
          <w:i/>
          <w:sz w:val="18"/>
          <w:szCs w:val="18"/>
        </w:rPr>
        <w:t>Aflossingen op leningen</w:t>
      </w:r>
    </w:p>
    <w:p w:rsidRPr="005E7EAC" w:rsidR="00DF39E7" w:rsidP="00DF39E7" w:rsidRDefault="00DF39E7">
      <w:pPr>
        <w:spacing w:line="240" w:lineRule="exact"/>
        <w:rPr>
          <w:rFonts w:ascii="Verdana" w:hAnsi="Verdana" w:cs="Courier New"/>
          <w:sz w:val="18"/>
          <w:szCs w:val="18"/>
        </w:rPr>
      </w:pPr>
      <w:r w:rsidRPr="005E7EAC">
        <w:rPr>
          <w:rFonts w:ascii="Verdana" w:hAnsi="Verdana" w:cs="Courier New"/>
          <w:sz w:val="18"/>
          <w:szCs w:val="18"/>
        </w:rPr>
        <w:t>Gewijzigde inzichten in het leengedrag van agentschappen en RWT’s (Rechtspersonen met een wettelijke taak) leiden tot een aanpassing van de voorziene ontvangsten.</w:t>
      </w:r>
    </w:p>
    <w:p w:rsidRPr="005E7EAC" w:rsidR="00DF39E7" w:rsidP="00DF39E7" w:rsidRDefault="00DF39E7">
      <w:pPr>
        <w:spacing w:line="240" w:lineRule="exact"/>
        <w:rPr>
          <w:rFonts w:ascii="Verdana" w:hAnsi="Verdana" w:cs="Courier New"/>
          <w:i/>
          <w:sz w:val="18"/>
          <w:szCs w:val="18"/>
        </w:rPr>
      </w:pPr>
    </w:p>
    <w:p w:rsidRPr="005E7EAC" w:rsidR="00DF39E7" w:rsidP="00DF39E7" w:rsidRDefault="00DF39E7">
      <w:pPr>
        <w:spacing w:line="240" w:lineRule="exact"/>
        <w:rPr>
          <w:rFonts w:ascii="Verdana" w:hAnsi="Verdana" w:cs="Courier New"/>
          <w:i/>
          <w:sz w:val="18"/>
          <w:szCs w:val="18"/>
        </w:rPr>
      </w:pPr>
      <w:r w:rsidRPr="005E7EAC">
        <w:rPr>
          <w:rFonts w:ascii="Verdana" w:hAnsi="Verdana" w:cs="Courier New"/>
          <w:i/>
          <w:sz w:val="18"/>
          <w:szCs w:val="18"/>
        </w:rPr>
        <w:t>Rente vaste schuld</w:t>
      </w:r>
    </w:p>
    <w:p w:rsidRPr="005E7EAC" w:rsidR="00DF39E7" w:rsidP="00DF39E7" w:rsidRDefault="00DF39E7">
      <w:pPr>
        <w:spacing w:line="240" w:lineRule="exact"/>
        <w:rPr>
          <w:rFonts w:ascii="Verdana" w:hAnsi="Verdana" w:cs="Courier New"/>
          <w:sz w:val="18"/>
          <w:szCs w:val="18"/>
        </w:rPr>
      </w:pPr>
      <w:r w:rsidRPr="005E7EAC">
        <w:rPr>
          <w:rFonts w:ascii="Verdana" w:hAnsi="Verdana" w:cs="Courier New"/>
          <w:sz w:val="18"/>
          <w:szCs w:val="18"/>
        </w:rPr>
        <w:t>De rentebaten op de vaste schuld bestaan (nagenoeg volledig) uit baten op afgesloten swaps. Nieuw afgesloten swaps leiden tot mutaties op de baten.</w:t>
      </w:r>
    </w:p>
    <w:p w:rsidRPr="005E7EAC" w:rsidR="00DF39E7" w:rsidP="00DF39E7" w:rsidRDefault="00DF39E7">
      <w:pPr>
        <w:spacing w:line="240" w:lineRule="exact"/>
        <w:rPr>
          <w:rFonts w:ascii="Verdana" w:hAnsi="Verdana" w:cs="Courier New"/>
          <w:i/>
          <w:sz w:val="18"/>
          <w:szCs w:val="18"/>
        </w:rPr>
      </w:pPr>
    </w:p>
    <w:p w:rsidRPr="005E7EAC" w:rsidR="00DF39E7" w:rsidP="00DF39E7" w:rsidRDefault="00DF39E7">
      <w:pPr>
        <w:spacing w:line="240" w:lineRule="exact"/>
        <w:rPr>
          <w:rFonts w:ascii="Verdana" w:hAnsi="Verdana" w:cs="Courier New"/>
          <w:i/>
          <w:sz w:val="18"/>
          <w:szCs w:val="18"/>
        </w:rPr>
      </w:pPr>
      <w:r w:rsidRPr="005E7EAC">
        <w:rPr>
          <w:rFonts w:ascii="Verdana" w:hAnsi="Verdana" w:cs="Courier New"/>
          <w:i/>
          <w:sz w:val="18"/>
          <w:szCs w:val="18"/>
        </w:rPr>
        <w:t>Rentebaten</w:t>
      </w:r>
    </w:p>
    <w:p w:rsidRPr="005E7EAC" w:rsidR="00DF39E7" w:rsidP="00DF39E7" w:rsidRDefault="00DF39E7">
      <w:pPr>
        <w:spacing w:line="240" w:lineRule="exact"/>
        <w:rPr>
          <w:rFonts w:ascii="Verdana" w:hAnsi="Verdana"/>
          <w:sz w:val="14"/>
          <w:szCs w:val="14"/>
        </w:rPr>
      </w:pPr>
      <w:r w:rsidRPr="005E7EAC">
        <w:rPr>
          <w:rFonts w:ascii="Verdana" w:hAnsi="Verdana" w:cs="Courier New"/>
          <w:sz w:val="18"/>
          <w:szCs w:val="18"/>
        </w:rPr>
        <w:t>De raming van de rentebaten kasbeheer is aangepast, als gevolg van een wijziging van de rekenrente.</w:t>
      </w:r>
    </w:p>
    <w:p w:rsidRPr="005E7EAC" w:rsidR="00581D7B" w:rsidP="00DF39E7" w:rsidRDefault="00581D7B">
      <w:pPr>
        <w:spacing w:line="240" w:lineRule="exact"/>
        <w:rPr>
          <w:rFonts w:ascii="Verdana" w:hAnsi="Verdana" w:cs="Arial"/>
          <w:bCs/>
          <w:sz w:val="18"/>
          <w:szCs w:val="18"/>
        </w:rPr>
      </w:pPr>
      <w:r w:rsidRPr="005E7EAC">
        <w:rPr>
          <w:rFonts w:ascii="Verdana" w:hAnsi="Verdana" w:cs="Arial"/>
          <w:bCs/>
          <w:sz w:val="18"/>
          <w:szCs w:val="18"/>
        </w:rPr>
        <w:br w:type="page"/>
      </w:r>
    </w:p>
    <w:p w:rsidRPr="005E7EAC" w:rsidR="00E16284" w:rsidP="00E16284" w:rsidRDefault="00A06108">
      <w:pPr>
        <w:spacing w:line="276" w:lineRule="auto"/>
        <w:rPr>
          <w:rFonts w:ascii="Verdana" w:hAnsi="Verdana" w:cs="Arial"/>
          <w:b/>
          <w:bCs/>
          <w:sz w:val="18"/>
          <w:szCs w:val="18"/>
        </w:rPr>
      </w:pPr>
      <w:r w:rsidRPr="005E7EAC">
        <w:rPr>
          <w:rFonts w:ascii="Verdana" w:hAnsi="Verdana" w:cs="Arial"/>
          <w:b/>
          <w:bCs/>
          <w:sz w:val="18"/>
          <w:szCs w:val="18"/>
        </w:rPr>
        <w:lastRenderedPageBreak/>
        <w:t xml:space="preserve">IXB </w:t>
      </w:r>
      <w:r w:rsidRPr="005E7EAC" w:rsidR="00E16284">
        <w:rPr>
          <w:rFonts w:ascii="Verdana" w:hAnsi="Verdana" w:cs="Arial"/>
          <w:b/>
          <w:bCs/>
          <w:sz w:val="18"/>
          <w:szCs w:val="18"/>
        </w:rPr>
        <w:t>Financiën</w:t>
      </w:r>
    </w:p>
    <w:p w:rsidRPr="005E7EAC" w:rsidR="009F31BA" w:rsidP="009F31BA" w:rsidRDefault="009F31BA">
      <w:pPr>
        <w:spacing w:line="276" w:lineRule="auto"/>
        <w:rPr>
          <w:rFonts w:ascii="Verdana" w:hAnsi="Verdana" w:cs="Arial"/>
          <w:b/>
          <w:bCs/>
          <w:sz w:val="18"/>
          <w:szCs w:val="18"/>
        </w:rPr>
      </w:pPr>
    </w:p>
    <w:tbl>
      <w:tblPr>
        <w:tblW w:w="5000" w:type="pct"/>
        <w:tblCellMar>
          <w:left w:w="70" w:type="dxa"/>
          <w:right w:w="70" w:type="dxa"/>
        </w:tblCellMar>
        <w:tblLook w:val="04A0"/>
      </w:tblPr>
      <w:tblGrid>
        <w:gridCol w:w="4376"/>
        <w:gridCol w:w="1032"/>
        <w:gridCol w:w="951"/>
        <w:gridCol w:w="951"/>
        <w:gridCol w:w="951"/>
        <w:gridCol w:w="951"/>
      </w:tblGrid>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UITGAVEN</w:t>
            </w:r>
          </w:p>
        </w:tc>
        <w:tc>
          <w:tcPr>
            <w:tcW w:w="560"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r>
      <w:tr w:rsidRPr="005E7EAC" w:rsidR="009F31BA" w:rsidTr="00E642EB">
        <w:trPr>
          <w:trHeight w:val="240"/>
        </w:trPr>
        <w:tc>
          <w:tcPr>
            <w:tcW w:w="2375"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 </w:t>
            </w:r>
          </w:p>
        </w:tc>
        <w:tc>
          <w:tcPr>
            <w:tcW w:w="560"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2015</w:t>
            </w:r>
          </w:p>
        </w:tc>
        <w:tc>
          <w:tcPr>
            <w:tcW w:w="516"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2016</w:t>
            </w:r>
          </w:p>
        </w:tc>
        <w:tc>
          <w:tcPr>
            <w:tcW w:w="516"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2017</w:t>
            </w:r>
          </w:p>
        </w:tc>
        <w:tc>
          <w:tcPr>
            <w:tcW w:w="516"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2018</w:t>
            </w:r>
          </w:p>
        </w:tc>
        <w:tc>
          <w:tcPr>
            <w:tcW w:w="516"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2019</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Stand Miljoenennota 2015 (excl. IS)</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6.643,4</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6.537,6</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6.408,6</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6.347,7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6.341,7</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Beleidsmatige mutaties</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Dynamisch monitoren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38,0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11,0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11,0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Gdi</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14,7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19,2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17,0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14,2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12,7</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Inzet nominaal en onvoorzien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-16,4</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-15,3</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-38,0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-33,3</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Nieuw douanewetboek - ucc</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16,5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18,5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12,8</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Tariefaanpassing rijksvastgoed bedrijf</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-24,9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-41,1</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-30,4</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-28,4</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-26,9</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Tekort spoor ii na maatregelen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65,7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Uitvoeringskosten wet- en regelgeving</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30,5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22,7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21,3</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18,9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18,0</w:t>
            </w: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30,1</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22,5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60"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141,3</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58,4</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16,4</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-8,7</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-8,7</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Technische mutaties</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Belasting en invorderingsrente</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-106,0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-151,0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-180,0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-236,0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26,2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21,0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27,4</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29,1</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30,3</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Deelname aiib</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73,0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36,5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36,5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36,5</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60"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-79,8</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-57,0</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-116,1</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-134,4</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-169,2</w:t>
            </w:r>
          </w:p>
        </w:tc>
      </w:tr>
      <w:tr w:rsidRPr="005E7EAC" w:rsidR="009F31BA" w:rsidTr="00E642EB">
        <w:trPr>
          <w:trHeight w:val="180"/>
        </w:trPr>
        <w:tc>
          <w:tcPr>
            <w:tcW w:w="2375"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61,5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1,3</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-99,7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-143,1</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-178,0</w:t>
            </w: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Stand Voorjaarsnota 2015 (subtotaal)</w:t>
            </w:r>
          </w:p>
        </w:tc>
        <w:tc>
          <w:tcPr>
            <w:tcW w:w="560"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6.704,9</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6.538,9</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6.308,9</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6.204,6</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6.163,8</w:t>
            </w: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Totaal Internationale samenwerking</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279,3</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363,9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256,9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274,2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274,2</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Stand Voorjaarsnota 2015</w:t>
            </w:r>
          </w:p>
        </w:tc>
        <w:tc>
          <w:tcPr>
            <w:tcW w:w="560"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6.984,2</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6.902,8</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6.565,8</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6.478,8</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6.438,0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60"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NIET-BELASTINGONTVANGSTEN</w:t>
            </w:r>
          </w:p>
        </w:tc>
        <w:tc>
          <w:tcPr>
            <w:tcW w:w="560"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16"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r>
      <w:tr w:rsidRPr="005E7EAC" w:rsidR="009F31BA" w:rsidTr="00E642EB">
        <w:trPr>
          <w:trHeight w:val="240"/>
        </w:trPr>
        <w:tc>
          <w:tcPr>
            <w:tcW w:w="2375"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 </w:t>
            </w:r>
          </w:p>
        </w:tc>
        <w:tc>
          <w:tcPr>
            <w:tcW w:w="560"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2015</w:t>
            </w:r>
          </w:p>
        </w:tc>
        <w:tc>
          <w:tcPr>
            <w:tcW w:w="516"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2016</w:t>
            </w:r>
          </w:p>
        </w:tc>
        <w:tc>
          <w:tcPr>
            <w:tcW w:w="516"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2017</w:t>
            </w:r>
          </w:p>
        </w:tc>
        <w:tc>
          <w:tcPr>
            <w:tcW w:w="516"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2018</w:t>
            </w:r>
          </w:p>
        </w:tc>
        <w:tc>
          <w:tcPr>
            <w:tcW w:w="516" w:type="pct"/>
            <w:tcBorders>
              <w:top w:val="single" w:color="000000" w:sz="8" w:space="0"/>
              <w:left w:val="nil"/>
              <w:bottom w:val="single" w:color="000000" w:sz="8" w:space="0"/>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2019</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Stand Miljoenennota 2015 (excl. IS)</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4.124,8</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2.909,3</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2.840,5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2.778,7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2.718,0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Beleidsmatige mutaties</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Dividend staatsdeelnemingen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271,6</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-40,0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-110,0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Hogere boetes en schikkingen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Schaderestituties ekv</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90,0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145,2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116,5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151,2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152,1</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Winstafdracht dnb</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-116,9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-6,8</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-4,8</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-10,8</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-19,1</w:t>
            </w: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5,8</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-2,5</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60"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270,5</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140,9</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95,5</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119,2</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42,0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Technische mutaties</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Belasting en invorderingsrente</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-106,0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-151,0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-180,0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-236,0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25,6</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30,1</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29,8</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29,8</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450"/>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Dividend staatsdeelnemingen (financiële instellingen)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125,0</w:t>
            </w:r>
          </w:p>
        </w:tc>
      </w:tr>
      <w:tr w:rsidRPr="005E7EAC" w:rsidR="009F31BA" w:rsidTr="00E642EB">
        <w:trPr>
          <w:trHeight w:val="450"/>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Dividend staatsdeelnemingen (superdividend urenco)</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-95,0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-55,0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Vervroegde aflossing ing</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-1.025,0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Winstafdracht dnb</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155,9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34,9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-3,6</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-14,2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44,4</w:t>
            </w: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2,9</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7,8</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6,3</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4,8</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3,3</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60"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-840,0</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-52,7</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-87,2</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-109,6</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-33,5</w:t>
            </w:r>
          </w:p>
        </w:tc>
      </w:tr>
      <w:tr w:rsidRPr="005E7EAC" w:rsidR="009F31BA" w:rsidTr="00E642EB">
        <w:trPr>
          <w:trHeight w:val="180"/>
        </w:trPr>
        <w:tc>
          <w:tcPr>
            <w:tcW w:w="2375"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-569,6</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88,2</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8,4</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9,7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8,5</w:t>
            </w: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p>
        </w:tc>
        <w:tc>
          <w:tcPr>
            <w:tcW w:w="560"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c>
          <w:tcPr>
            <w:tcW w:w="516" w:type="pct"/>
            <w:tcBorders>
              <w:top w:val="nil"/>
              <w:left w:val="nil"/>
              <w:bottom w:val="nil"/>
              <w:right w:val="nil"/>
            </w:tcBorders>
            <w:shd w:val="clear" w:color="auto" w:fill="auto"/>
            <w:noWrap/>
            <w:vAlign w:val="bottom"/>
            <w:hideMark/>
          </w:tcPr>
          <w:p w:rsidRPr="005E7EAC" w:rsidR="009F31BA" w:rsidP="009F31BA" w:rsidRDefault="009F31BA">
            <w:pPr>
              <w:rPr>
                <w:rFonts w:ascii="Verdana" w:hAnsi="Verdana"/>
                <w:color w:val="000000"/>
                <w:sz w:val="14"/>
                <w:szCs w:val="14"/>
              </w:rPr>
            </w:pP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Stand Voorjaarsnota 2015 (subtotaal)</w:t>
            </w:r>
          </w:p>
        </w:tc>
        <w:tc>
          <w:tcPr>
            <w:tcW w:w="560"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3.555,2</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2.997,5</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2.848,9</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2.788,4</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2.726,5</w:t>
            </w:r>
          </w:p>
        </w:tc>
      </w:tr>
      <w:tr w:rsidRPr="005E7EAC" w:rsidR="009F31BA" w:rsidTr="00E642EB">
        <w:trPr>
          <w:trHeight w:val="240"/>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Totaal Internationale samenwerking</w:t>
            </w:r>
          </w:p>
        </w:tc>
        <w:tc>
          <w:tcPr>
            <w:tcW w:w="560"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0,7</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c>
          <w:tcPr>
            <w:tcW w:w="516" w:type="pct"/>
            <w:tcBorders>
              <w:top w:val="nil"/>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0,0</w:t>
            </w:r>
          </w:p>
        </w:tc>
      </w:tr>
      <w:tr w:rsidRPr="005E7EAC" w:rsidR="009F31BA" w:rsidTr="00E642EB">
        <w:trPr>
          <w:trHeight w:val="225"/>
        </w:trPr>
        <w:tc>
          <w:tcPr>
            <w:tcW w:w="2375" w:type="pct"/>
            <w:tcBorders>
              <w:top w:val="nil"/>
              <w:left w:val="nil"/>
              <w:bottom w:val="nil"/>
              <w:right w:val="nil"/>
            </w:tcBorders>
            <w:shd w:val="clear" w:color="auto" w:fill="auto"/>
            <w:hideMark/>
          </w:tcPr>
          <w:p w:rsidRPr="005E7EAC" w:rsidR="009F31BA" w:rsidP="009F31BA" w:rsidRDefault="009F31BA">
            <w:pPr>
              <w:rPr>
                <w:rFonts w:ascii="Verdana" w:hAnsi="Verdana"/>
                <w:color w:val="000000"/>
                <w:sz w:val="18"/>
                <w:szCs w:val="18"/>
              </w:rPr>
            </w:pPr>
            <w:r w:rsidRPr="005E7EAC">
              <w:rPr>
                <w:rFonts w:ascii="Verdana" w:hAnsi="Verdana"/>
                <w:color w:val="000000"/>
                <w:sz w:val="18"/>
                <w:szCs w:val="18"/>
              </w:rPr>
              <w:t>Stand Voorjaarsnota 2015</w:t>
            </w:r>
          </w:p>
        </w:tc>
        <w:tc>
          <w:tcPr>
            <w:tcW w:w="560"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3.555,8</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2.997,5</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2.848,9</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2.788,4</w:t>
            </w:r>
          </w:p>
        </w:tc>
        <w:tc>
          <w:tcPr>
            <w:tcW w:w="516" w:type="pct"/>
            <w:tcBorders>
              <w:top w:val="single" w:color="000000" w:sz="8" w:space="0"/>
              <w:left w:val="nil"/>
              <w:bottom w:val="nil"/>
              <w:right w:val="nil"/>
            </w:tcBorders>
            <w:shd w:val="clear" w:color="auto" w:fill="auto"/>
            <w:hideMark/>
          </w:tcPr>
          <w:p w:rsidRPr="005E7EAC" w:rsidR="009F31BA" w:rsidP="009F31BA" w:rsidRDefault="009F31BA">
            <w:pPr>
              <w:jc w:val="right"/>
              <w:rPr>
                <w:rFonts w:ascii="Verdana" w:hAnsi="Verdana"/>
                <w:color w:val="000000"/>
                <w:sz w:val="18"/>
                <w:szCs w:val="18"/>
              </w:rPr>
            </w:pPr>
            <w:r w:rsidRPr="005E7EAC">
              <w:rPr>
                <w:rFonts w:ascii="Verdana" w:hAnsi="Verdana"/>
                <w:color w:val="000000"/>
                <w:sz w:val="18"/>
                <w:szCs w:val="18"/>
              </w:rPr>
              <w:t>2.726,5</w:t>
            </w:r>
          </w:p>
        </w:tc>
      </w:tr>
    </w:tbl>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lastRenderedPageBreak/>
        <w:t>Dynamisch monitoren</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Voor een business case om effectiever toezicht uit te voeren, zijn extra middelen benodigd. De business case is in lijn is met de Brede Agenda.</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GDI</w:t>
      </w:r>
    </w:p>
    <w:p w:rsidRPr="005E7EAC" w:rsidR="00E642EB" w:rsidP="009276F8" w:rsidRDefault="00E642EB">
      <w:pPr>
        <w:spacing w:line="240" w:lineRule="exact"/>
        <w:rPr>
          <w:rFonts w:ascii="Verdana" w:hAnsi="Verdana"/>
          <w:sz w:val="18"/>
          <w:szCs w:val="18"/>
        </w:rPr>
      </w:pPr>
      <w:r w:rsidRPr="005E7EAC">
        <w:rPr>
          <w:rFonts w:ascii="Verdana" w:hAnsi="Verdana"/>
          <w:iCs/>
          <w:sz w:val="18"/>
          <w:szCs w:val="18"/>
        </w:rPr>
        <w:t>Dit betreft een bijdrage aan de voorzieningen binnen de generieke digitale infrastructuur (GDI). Deze middelen zijn op de Aanvullende Post geplaatst.</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Inzet nominaal en onvoorzien</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Een deel van het resterende bedrag op Nominaal &amp; Onvoorzien wordt ingezet ter dekking van problematiek van met name de Belastingdienst.</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Nieuw douanewetboek – UCC</w:t>
      </w:r>
      <w:r w:rsidRPr="005E7EAC">
        <w:rPr>
          <w:rFonts w:ascii="Verdana" w:hAnsi="Verdana"/>
          <w:i/>
          <w:sz w:val="18"/>
          <w:szCs w:val="18"/>
        </w:rPr>
        <w:br/>
      </w:r>
      <w:r w:rsidRPr="005E7EAC">
        <w:rPr>
          <w:rFonts w:ascii="Verdana" w:hAnsi="Verdana"/>
          <w:sz w:val="18"/>
          <w:szCs w:val="18"/>
        </w:rPr>
        <w:t>Het Europees Douanewetboek, de United Customs Code, treedt op 1 mei in werking. Het doel is belemmeringen in het goederenvervoer wegnemen en bevorderen van snelle en goede douaneafhandeling. De implementatie vergt investeringen, deze worden met name veroorzaakt door het aanpassen van bestaande ICT-systemen.</w:t>
      </w:r>
    </w:p>
    <w:p w:rsidRPr="005E7EAC" w:rsidR="00E642EB" w:rsidP="009276F8" w:rsidRDefault="00E642EB">
      <w:pPr>
        <w:spacing w:line="240" w:lineRule="exact"/>
        <w:rPr>
          <w:rFonts w:ascii="Verdana" w:hAnsi="Verdana"/>
          <w:i/>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Tariefaanpassing Rijksvastgoedbedrijf</w:t>
      </w:r>
    </w:p>
    <w:p w:rsidRPr="005E7EAC" w:rsidR="00E642EB" w:rsidP="009276F8" w:rsidRDefault="00E642EB">
      <w:pPr>
        <w:spacing w:line="240" w:lineRule="exact"/>
        <w:rPr>
          <w:rFonts w:ascii="Verdana" w:hAnsi="Verdana"/>
          <w:i/>
          <w:sz w:val="18"/>
          <w:szCs w:val="18"/>
        </w:rPr>
      </w:pPr>
      <w:r w:rsidRPr="005E7EAC">
        <w:rPr>
          <w:rFonts w:ascii="Verdana" w:hAnsi="Verdana"/>
          <w:sz w:val="18"/>
          <w:szCs w:val="18"/>
        </w:rPr>
        <w:t>Departementen is een tariefsverlaging toegekend.</w:t>
      </w:r>
      <w:r w:rsidRPr="005E7EAC">
        <w:rPr>
          <w:rFonts w:ascii="Verdana" w:hAnsi="Verdana"/>
          <w:sz w:val="18"/>
          <w:szCs w:val="18"/>
        </w:rPr>
        <w:br/>
      </w:r>
      <w:r w:rsidRPr="005E7EAC">
        <w:rPr>
          <w:rFonts w:ascii="Verdana" w:hAnsi="Verdana"/>
          <w:sz w:val="18"/>
          <w:szCs w:val="18"/>
        </w:rPr>
        <w:br/>
      </w:r>
      <w:r w:rsidRPr="005E7EAC">
        <w:rPr>
          <w:rFonts w:ascii="Verdana" w:hAnsi="Verdana"/>
          <w:i/>
          <w:sz w:val="18"/>
          <w:szCs w:val="18"/>
        </w:rPr>
        <w:t>Tekort spoor II na maatregelen</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 xml:space="preserve">Een deel van de voorgenomen besparingen door vereenvoudiging van fiscale wetgeving (het zogenaamde spoor II traject) is niet gerealiseerd in 2015. Ook een deel van de besparing in 2016 zal naar verwachting niet gehaald worden. </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Uitvoeringskosten wet- en regelgeving</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 xml:space="preserve">De Belastingdienst heeft extra uitvoeringskosten door nieuwe fiscale wet- en regelgeving. </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Diversen (mee- en tegenvallers)</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Dit betreft o.a. de kosten voor de invoering van betaald bellen bij de Belastingtelefoon, de kosten voor de inkomensafhankelijke heffingskorting, de afschaffing van de rentevergoeding depotstelsel en de door BHOS gecompenseerde toezichtskosten van de Douane voor de sancties tegen Rusland.</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Belasting- en invorderingsrente</w:t>
      </w:r>
    </w:p>
    <w:p w:rsidRPr="005E7EAC" w:rsidR="00E642EB" w:rsidP="009276F8" w:rsidRDefault="00E642EB">
      <w:pPr>
        <w:spacing w:line="240" w:lineRule="exact"/>
        <w:rPr>
          <w:rFonts w:ascii="Verdana" w:hAnsi="Verdana"/>
          <w:i/>
          <w:sz w:val="18"/>
          <w:szCs w:val="18"/>
        </w:rPr>
      </w:pPr>
      <w:r w:rsidRPr="005E7EAC">
        <w:rPr>
          <w:rFonts w:ascii="Verdana" w:hAnsi="Verdana"/>
          <w:sz w:val="18"/>
          <w:szCs w:val="18"/>
        </w:rPr>
        <w:t>De raming van zowel de ontvangsten als de uitgaven wordt (budgettair neutraal) structureel bijgesteld. De reden van de mutatie is dat in de oorspronkelijke raming van het budgettaire effect van de introductie van de belastingrente nog onvoldoende duidelijk was wat de verdeling over ontvangsten en uitgaven was. Inmiddels is deze verdeling duidelijk geworden.</w:t>
      </w:r>
      <w:r w:rsidRPr="005E7EAC">
        <w:rPr>
          <w:rFonts w:ascii="Verdana" w:hAnsi="Verdana"/>
          <w:sz w:val="18"/>
          <w:szCs w:val="18"/>
        </w:rPr>
        <w:br/>
        <w:t xml:space="preserve"> </w:t>
      </w:r>
      <w:r w:rsidRPr="005E7EAC">
        <w:rPr>
          <w:rFonts w:ascii="Verdana" w:hAnsi="Verdana"/>
          <w:sz w:val="18"/>
          <w:szCs w:val="18"/>
        </w:rPr>
        <w:br/>
      </w:r>
      <w:r w:rsidRPr="005E7EAC">
        <w:rPr>
          <w:rFonts w:ascii="Verdana" w:hAnsi="Verdana"/>
          <w:i/>
          <w:sz w:val="18"/>
          <w:szCs w:val="18"/>
        </w:rPr>
        <w:t>Diversen</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 xml:space="preserve">Deze post bevat voornamelijk een desaldering van de kosten vervolging (10 mln.) en de toekenning van de loon- en prijsbijstelling. </w:t>
      </w:r>
      <w:r w:rsidRPr="005E7EAC">
        <w:rPr>
          <w:rFonts w:ascii="Verdana" w:hAnsi="Verdana"/>
          <w:sz w:val="18"/>
          <w:szCs w:val="18"/>
        </w:rPr>
        <w:br/>
      </w: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Deelname AIIB</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Nederland is voornemens deel te nemen als Prospective Founding Member aan de Asian Infrastructure Investment Bank (Kamerstukken II, 2014/15, 33625, nr. 152). Hiervoor wordt kapitaal gestort en zal een garantie worden afgegeven. De opgenomen bedragen zijn maximumbedragen en kunnen nog wijzigen, omdat de onderhandelingen nog lopen.</w:t>
      </w:r>
    </w:p>
    <w:p w:rsidRPr="005E7EAC" w:rsidR="00E642EB" w:rsidP="009276F8" w:rsidRDefault="00E642EB">
      <w:pPr>
        <w:spacing w:line="240" w:lineRule="exact"/>
        <w:rPr>
          <w:rFonts w:ascii="Verdana" w:hAnsi="Verdana"/>
          <w:i/>
          <w:sz w:val="18"/>
          <w:szCs w:val="18"/>
        </w:rPr>
      </w:pPr>
    </w:p>
    <w:p w:rsidRPr="005E7EAC" w:rsidR="00E642EB" w:rsidP="009276F8" w:rsidRDefault="00E642EB">
      <w:pPr>
        <w:spacing w:line="240" w:lineRule="exact"/>
        <w:rPr>
          <w:rFonts w:ascii="Verdana" w:hAnsi="Verdana"/>
          <w:sz w:val="18"/>
          <w:szCs w:val="18"/>
        </w:rPr>
      </w:pPr>
      <w:r w:rsidRPr="005E7EAC">
        <w:rPr>
          <w:rFonts w:ascii="Verdana" w:hAnsi="Verdana"/>
          <w:i/>
          <w:sz w:val="18"/>
          <w:szCs w:val="18"/>
        </w:rPr>
        <w:t>Dividend staatsdeelnemingen</w:t>
      </w:r>
      <w:r w:rsidRPr="005E7EAC">
        <w:rPr>
          <w:rFonts w:ascii="Verdana" w:hAnsi="Verdana"/>
          <w:i/>
          <w:sz w:val="18"/>
          <w:szCs w:val="18"/>
        </w:rPr>
        <w:br/>
      </w:r>
      <w:r w:rsidRPr="005E7EAC">
        <w:rPr>
          <w:rFonts w:ascii="Verdana" w:hAnsi="Verdana"/>
          <w:sz w:val="18"/>
          <w:szCs w:val="18"/>
        </w:rPr>
        <w:t xml:space="preserve">In 2015 is er een meevaller doordat het dividend van Tennet, NS en Gasunie </w:t>
      </w:r>
      <w:r w:rsidRPr="005E7EAC" w:rsidR="000A4246">
        <w:rPr>
          <w:rFonts w:ascii="Verdana" w:hAnsi="Verdana"/>
          <w:sz w:val="18"/>
          <w:szCs w:val="18"/>
        </w:rPr>
        <w:t>in 2014</w:t>
      </w:r>
      <w:r w:rsidRPr="005E7EAC">
        <w:rPr>
          <w:rFonts w:ascii="Verdana" w:hAnsi="Verdana"/>
          <w:sz w:val="18"/>
          <w:szCs w:val="18"/>
        </w:rPr>
        <w:t xml:space="preserve"> hoger was dan verwacht. Voor de komende paar jaar is de dividendraming voor zowel Tennet als Gasunie verlaagd, vanwege de onzekerheden omtrent de nieuwe reguleringsperiode. De langetermijnverwachting voor NS is eveneens neerwaarts bijgesteld vanwege de kosten van de nieuwe concessie. Een groot deel van de daling van de dividendontvangsten vanaf 2016 wordt veroorzaakt doordat Urenco voor bijna alle jaren zijn payoutratio neerwaarts heeft bijgesteld.</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lastRenderedPageBreak/>
        <w:t>Hogere boetes en schikkingen</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De ontvangsten van boetes en schikkingen worden, gezien de realisaties, structureel naar boven bijgesteld.</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iCs/>
          <w:sz w:val="18"/>
          <w:szCs w:val="18"/>
        </w:rPr>
      </w:pPr>
      <w:r w:rsidRPr="005E7EAC">
        <w:rPr>
          <w:rFonts w:ascii="Verdana" w:hAnsi="Verdana"/>
          <w:i/>
          <w:iCs/>
          <w:sz w:val="18"/>
          <w:szCs w:val="18"/>
        </w:rPr>
        <w:t>Schaderestituties EKV (exportkredietverzekeringen)</w:t>
      </w:r>
    </w:p>
    <w:p w:rsidRPr="005E7EAC" w:rsidR="00E642EB" w:rsidP="009276F8" w:rsidRDefault="00E642EB">
      <w:pPr>
        <w:spacing w:line="240" w:lineRule="exact"/>
        <w:rPr>
          <w:rFonts w:ascii="Verdana" w:hAnsi="Verdana"/>
          <w:sz w:val="18"/>
          <w:szCs w:val="18"/>
        </w:rPr>
      </w:pPr>
      <w:r w:rsidRPr="005E7EAC">
        <w:rPr>
          <w:rFonts w:ascii="Verdana" w:hAnsi="Verdana"/>
          <w:sz w:val="18"/>
          <w:szCs w:val="18"/>
        </w:rPr>
        <w:t xml:space="preserve">De recuperatieramingen worden naar boven bijgesteld. Een belangrijke reden hiervoor is het in 2014 gesloten schuldenakkoord tussen Argentinië en de Club van Parijs. Een substantieel deel van de opbrengsten komt toe aan de Nederlandse staat via de EKV-recuperaties. </w:t>
      </w:r>
      <w:r w:rsidRPr="005E7EAC">
        <w:rPr>
          <w:rFonts w:ascii="Verdana" w:hAnsi="Verdana"/>
          <w:sz w:val="18"/>
          <w:szCs w:val="18"/>
        </w:rPr>
        <w:br/>
      </w:r>
    </w:p>
    <w:p w:rsidRPr="005E7EAC" w:rsidR="00E642EB" w:rsidP="009276F8" w:rsidRDefault="00E642EB">
      <w:pPr>
        <w:spacing w:line="240" w:lineRule="exact"/>
        <w:rPr>
          <w:rFonts w:ascii="Verdana" w:hAnsi="Verdana"/>
          <w:sz w:val="18"/>
          <w:szCs w:val="18"/>
        </w:rPr>
      </w:pPr>
      <w:r w:rsidRPr="005E7EAC">
        <w:rPr>
          <w:rFonts w:ascii="Verdana" w:hAnsi="Verdana"/>
          <w:i/>
          <w:sz w:val="18"/>
          <w:szCs w:val="18"/>
        </w:rPr>
        <w:t>Winstafdracht DNB (beleidsmatige en technische mutaties)</w:t>
      </w:r>
      <w:r w:rsidRPr="005E7EAC">
        <w:rPr>
          <w:rFonts w:ascii="Verdana" w:hAnsi="Verdana"/>
          <w:i/>
          <w:sz w:val="18"/>
          <w:szCs w:val="18"/>
        </w:rPr>
        <w:br/>
      </w:r>
      <w:r w:rsidRPr="005E7EAC">
        <w:rPr>
          <w:rFonts w:ascii="Verdana" w:hAnsi="Verdana"/>
          <w:sz w:val="18"/>
          <w:szCs w:val="18"/>
        </w:rPr>
        <w:t>De verwachte winstafdracht in 2015 laat een verschuiving zien tussen de reguliere winst en de vermogenswinst. Vermogenswinst is niet relevant voor het uitgavenkader en het EMU-saldo. Door een nieuwe toerekening van kosten zijn er kleine verschuivingen tussen de reguliere winst (uitgavenkader relevant) en de crisisgerelateerde winst (niet-kaderrelevant). Daarnaast is er een kleine meerjarige tegenvaller voor de reguliere winst door lage rentestanden.</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szCs w:val="18"/>
        </w:rPr>
      </w:pPr>
      <w:r w:rsidRPr="005E7EAC">
        <w:rPr>
          <w:rFonts w:ascii="Verdana" w:hAnsi="Verdana"/>
          <w:i/>
          <w:sz w:val="18"/>
          <w:szCs w:val="18"/>
        </w:rPr>
        <w:t>Dividend staatsdeelnemingen (financiële instellingen)</w:t>
      </w:r>
      <w:r w:rsidRPr="005E7EAC">
        <w:rPr>
          <w:rFonts w:ascii="Verdana" w:hAnsi="Verdana"/>
          <w:i/>
          <w:sz w:val="18"/>
          <w:szCs w:val="18"/>
        </w:rPr>
        <w:br/>
      </w:r>
      <w:r w:rsidRPr="005E7EAC">
        <w:rPr>
          <w:rFonts w:ascii="Verdana" w:hAnsi="Verdana"/>
          <w:sz w:val="18"/>
          <w:szCs w:val="18"/>
        </w:rPr>
        <w:t xml:space="preserve">ABN Amro en ASR hebben meer slotdividend uitgekeerd dan verwacht. ABN Amro zal naar verwachting ook nog een interim dividend uitkeren. Daarom is de raming opwaarts bijgesteld. </w:t>
      </w:r>
    </w:p>
    <w:p w:rsidRPr="005E7EAC" w:rsidR="00E642EB" w:rsidP="009276F8" w:rsidRDefault="00E642EB">
      <w:pPr>
        <w:spacing w:line="240" w:lineRule="exact"/>
        <w:rPr>
          <w:rFonts w:ascii="Verdana" w:hAnsi="Verdana"/>
          <w:sz w:val="18"/>
          <w:szCs w:val="18"/>
        </w:rPr>
      </w:pPr>
    </w:p>
    <w:p w:rsidRPr="005E7EAC" w:rsidR="00E642EB" w:rsidP="009276F8" w:rsidRDefault="00E642EB">
      <w:pPr>
        <w:spacing w:line="240" w:lineRule="exact"/>
        <w:rPr>
          <w:rFonts w:ascii="Verdana" w:hAnsi="Verdana"/>
          <w:i/>
          <w:sz w:val="18"/>
          <w:szCs w:val="18"/>
        </w:rPr>
      </w:pPr>
      <w:r w:rsidRPr="005E7EAC">
        <w:rPr>
          <w:rFonts w:ascii="Verdana" w:hAnsi="Verdana"/>
          <w:i/>
          <w:sz w:val="18"/>
          <w:szCs w:val="18"/>
        </w:rPr>
        <w:t>Dividend staatsdeelnemingen (superdividend Urenco)</w:t>
      </w:r>
    </w:p>
    <w:p w:rsidRPr="005E7EAC" w:rsidR="00E642EB" w:rsidP="009276F8" w:rsidRDefault="00E642EB">
      <w:pPr>
        <w:spacing w:line="240" w:lineRule="exact"/>
        <w:rPr>
          <w:szCs w:val="18"/>
        </w:rPr>
      </w:pPr>
      <w:r w:rsidRPr="005E7EAC">
        <w:rPr>
          <w:rFonts w:ascii="Verdana" w:hAnsi="Verdana"/>
          <w:sz w:val="18"/>
          <w:szCs w:val="18"/>
        </w:rPr>
        <w:t>Bij Urenco is de payoutratio bijgesteld, de verwachting is dat Urenco geen superdividend meer zal uitkeren.</w:t>
      </w:r>
      <w:r w:rsidRPr="005E7EAC">
        <w:rPr>
          <w:szCs w:val="18"/>
        </w:rPr>
        <w:t xml:space="preserve"> </w:t>
      </w:r>
    </w:p>
    <w:p w:rsidRPr="005E7EAC" w:rsidR="00E642EB" w:rsidP="009276F8" w:rsidRDefault="00E642EB">
      <w:pPr>
        <w:spacing w:line="240" w:lineRule="exact"/>
        <w:rPr>
          <w:rFonts w:ascii="Verdana" w:hAnsi="Verdana"/>
          <w:i/>
          <w:sz w:val="18"/>
          <w:szCs w:val="18"/>
        </w:rPr>
      </w:pPr>
      <w:r w:rsidRPr="005E7EAC">
        <w:rPr>
          <w:rFonts w:ascii="Verdana" w:hAnsi="Verdana"/>
          <w:sz w:val="18"/>
          <w:szCs w:val="18"/>
        </w:rPr>
        <w:br/>
      </w:r>
      <w:r w:rsidRPr="005E7EAC">
        <w:rPr>
          <w:rFonts w:ascii="Verdana" w:hAnsi="Verdana"/>
          <w:i/>
          <w:sz w:val="18"/>
          <w:szCs w:val="18"/>
        </w:rPr>
        <w:t>Vervroegde aflossing ING</w:t>
      </w:r>
    </w:p>
    <w:p w:rsidRPr="005E7EAC" w:rsidR="00C36D13" w:rsidP="009276F8" w:rsidRDefault="00E642EB">
      <w:pPr>
        <w:spacing w:line="240" w:lineRule="exact"/>
        <w:rPr>
          <w:rFonts w:ascii="Verdana" w:hAnsi="Verdana" w:cs="Arial"/>
          <w:b/>
          <w:bCs/>
          <w:sz w:val="18"/>
          <w:szCs w:val="18"/>
        </w:rPr>
      </w:pPr>
      <w:r w:rsidRPr="005E7EAC">
        <w:rPr>
          <w:rFonts w:ascii="Verdana" w:hAnsi="Verdana"/>
          <w:sz w:val="18"/>
          <w:szCs w:val="18"/>
        </w:rPr>
        <w:t>ING heeft eerder dan verwacht het laatste deel van de staatssteun afbetaald. Bij najaarsnota 2014 is deze afbetaling budgettair verwerkt voor 2014, nu wordt het voor 2015 geraamde bedrag afgeboekt.</w:t>
      </w:r>
      <w:r w:rsidRPr="005E7EAC">
        <w:rPr>
          <w:rFonts w:ascii="Verdana" w:hAnsi="Verdana"/>
          <w:sz w:val="18"/>
          <w:szCs w:val="18"/>
        </w:rPr>
        <w:br/>
      </w:r>
      <w:r w:rsidRPr="005E7EAC" w:rsidR="00C36D13">
        <w:rPr>
          <w:rFonts w:ascii="Verdana" w:hAnsi="Verdana" w:cs="Arial"/>
          <w:b/>
          <w:bCs/>
          <w:sz w:val="18"/>
          <w:szCs w:val="18"/>
        </w:rPr>
        <w:br w:type="page"/>
      </w:r>
    </w:p>
    <w:p w:rsidRPr="005E7EAC" w:rsidR="007E6E36" w:rsidP="00E16284" w:rsidRDefault="00A06108">
      <w:pPr>
        <w:spacing w:line="276" w:lineRule="auto"/>
        <w:rPr>
          <w:rFonts w:ascii="Verdana" w:hAnsi="Verdana" w:cs="Arial"/>
          <w:b/>
          <w:bCs/>
          <w:sz w:val="18"/>
          <w:szCs w:val="18"/>
        </w:rPr>
      </w:pPr>
      <w:r w:rsidRPr="005E7EAC">
        <w:rPr>
          <w:rFonts w:ascii="Verdana" w:hAnsi="Verdana" w:cs="Arial"/>
          <w:b/>
          <w:bCs/>
          <w:sz w:val="18"/>
          <w:szCs w:val="18"/>
        </w:rPr>
        <w:lastRenderedPageBreak/>
        <w:t xml:space="preserve">X </w:t>
      </w:r>
      <w:r w:rsidRPr="005E7EAC" w:rsidR="00CE7197">
        <w:rPr>
          <w:rFonts w:ascii="Verdana" w:hAnsi="Verdana" w:cs="Arial"/>
          <w:b/>
          <w:bCs/>
          <w:sz w:val="18"/>
          <w:szCs w:val="18"/>
        </w:rPr>
        <w:t>Defensie</w:t>
      </w:r>
    </w:p>
    <w:p w:rsidRPr="005E7EAC" w:rsidR="00CE7197" w:rsidP="004032A8" w:rsidRDefault="00BB547D">
      <w:pPr>
        <w:spacing w:line="276" w:lineRule="auto"/>
        <w:rPr>
          <w:rFonts w:ascii="Verdana" w:hAnsi="Verdana" w:cs="Arial"/>
          <w:b/>
          <w:bCs/>
          <w:sz w:val="18"/>
          <w:szCs w:val="18"/>
        </w:rPr>
      </w:pPr>
      <w:r w:rsidRPr="005E7EAC">
        <w:rPr>
          <w:rFonts w:ascii="Verdana" w:hAnsi="Verdana"/>
          <w:sz w:val="18"/>
          <w:szCs w:val="18"/>
        </w:rPr>
        <w:t xml:space="preserve"> </w:t>
      </w:r>
    </w:p>
    <w:tbl>
      <w:tblPr>
        <w:tblW w:w="5000" w:type="pct"/>
        <w:tblCellMar>
          <w:left w:w="70" w:type="dxa"/>
          <w:right w:w="70" w:type="dxa"/>
        </w:tblCellMar>
        <w:tblLook w:val="04A0"/>
      </w:tblPr>
      <w:tblGrid>
        <w:gridCol w:w="4412"/>
        <w:gridCol w:w="960"/>
        <w:gridCol w:w="960"/>
        <w:gridCol w:w="960"/>
        <w:gridCol w:w="960"/>
        <w:gridCol w:w="960"/>
      </w:tblGrid>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UITGAVEN</w:t>
            </w: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r>
      <w:tr w:rsidRPr="005E7EAC" w:rsidR="00401ACC" w:rsidTr="00401ACC">
        <w:trPr>
          <w:trHeight w:val="240"/>
        </w:trPr>
        <w:tc>
          <w:tcPr>
            <w:tcW w:w="2395"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 </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2015</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2016</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2017</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2018</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2019</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Stand Miljoenennota 2015 (excl. IS)</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7.690,1</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7.730,4</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7.695,7</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7.655,8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7.625,7</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Beleidsmatige mutaties</w:t>
            </w: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Biv trekkingsrecht def</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59,5</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Doorwerking ontvangsten</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35,8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Ejm investeringen</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37,8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450"/>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Financiering brigade speciale bev. opdrachten (bsb)</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15,3</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Kasschuif herijking dip</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-96,6</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88,3</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-13,8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22,1</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Kasschuif tbv isis missie</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-100,0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-23,0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64,0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37,0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22,0</w:t>
            </w:r>
          </w:p>
        </w:tc>
      </w:tr>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6,2</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-42,0</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65,3</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50,2</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37,0</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44,1</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Technische mutaties</w:t>
            </w: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E61FAA" w:rsidRDefault="00E61FAA">
            <w:pPr>
              <w:ind w:firstLine="360" w:firstLineChars="200"/>
              <w:rPr>
                <w:rFonts w:ascii="Verdana" w:hAnsi="Verdana"/>
                <w:color w:val="000000"/>
                <w:sz w:val="18"/>
                <w:szCs w:val="18"/>
              </w:rPr>
            </w:pPr>
            <w:r w:rsidRPr="005E7EAC">
              <w:rPr>
                <w:rFonts w:ascii="Verdana" w:hAnsi="Verdana"/>
                <w:color w:val="000000"/>
                <w:sz w:val="18"/>
                <w:szCs w:val="18"/>
              </w:rPr>
              <w:t>Contra</w:t>
            </w:r>
            <w:r w:rsidRPr="005E7EAC" w:rsidR="00401ACC">
              <w:rPr>
                <w:rFonts w:ascii="Verdana" w:hAnsi="Verdana"/>
                <w:color w:val="000000"/>
                <w:sz w:val="18"/>
                <w:szCs w:val="18"/>
              </w:rPr>
              <w:t>terrorisme</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19,5</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56,8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54,8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51,3</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51,3</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2,4</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19,8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20,3</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20,9</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0,4</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0,3</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0,3</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0,3</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-0,1</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22,3</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76,9</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75,1</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71,9</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72,1</w:t>
            </w:r>
          </w:p>
        </w:tc>
      </w:tr>
      <w:tr w:rsidRPr="005E7EAC" w:rsidR="00401ACC" w:rsidTr="00401ACC">
        <w:trPr>
          <w:trHeight w:val="180"/>
        </w:trPr>
        <w:tc>
          <w:tcPr>
            <w:tcW w:w="2395"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-19,8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142,2</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125,3</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108,9</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116,2</w:t>
            </w:r>
          </w:p>
        </w:tc>
      </w:tr>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Stand Voorjaarsnota 2015 (subtotaal)</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7.670,4</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7.872,6</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7.821,0</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7.764,7</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7.741,8</w:t>
            </w:r>
          </w:p>
        </w:tc>
      </w:tr>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Totaal Internationale samenwerking</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323,4</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289,7</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266,1</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266,1</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266,1</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Stand Voorjaarsnota 2015</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7.993,8</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8.162,3</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8.087,1</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8.030,8</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8.008,0</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r>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NIET-BELASTINGONTVANGSTEN</w:t>
            </w: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r>
      <w:tr w:rsidRPr="005E7EAC" w:rsidR="00401ACC" w:rsidTr="00401ACC">
        <w:trPr>
          <w:trHeight w:val="240"/>
        </w:trPr>
        <w:tc>
          <w:tcPr>
            <w:tcW w:w="2395"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 </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2015</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2016</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2017</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2018</w:t>
            </w:r>
          </w:p>
        </w:tc>
        <w:tc>
          <w:tcPr>
            <w:tcW w:w="521" w:type="pct"/>
            <w:tcBorders>
              <w:top w:val="single" w:color="000000" w:sz="8" w:space="0"/>
              <w:left w:val="nil"/>
              <w:bottom w:val="single" w:color="000000" w:sz="8" w:space="0"/>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2019</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Stand Miljoenennota 2015 (excl. IS)</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321,7</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296,0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306,8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335,4</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304,3</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Beleidsmatige mutaties</w:t>
            </w: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Bijstellen ontvangsten</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35,8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35,8</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180"/>
        </w:trPr>
        <w:tc>
          <w:tcPr>
            <w:tcW w:w="2395"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35,8</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0,0</w:t>
            </w:r>
          </w:p>
        </w:tc>
      </w:tr>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401ACC" w:rsidP="00401ACC" w:rsidRDefault="00401ACC">
            <w:pPr>
              <w:rPr>
                <w:rFonts w:ascii="Verdana" w:hAnsi="Verdana"/>
                <w:color w:val="000000"/>
                <w:sz w:val="14"/>
                <w:szCs w:val="14"/>
              </w:rPr>
            </w:pP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Stand Voorjaarsnota 2015 (subtotaal)</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357,5</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296,0</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306,8</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335,4</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304,3</w:t>
            </w:r>
          </w:p>
        </w:tc>
      </w:tr>
      <w:tr w:rsidRPr="005E7EAC" w:rsidR="00401ACC" w:rsidTr="00401ACC">
        <w:trPr>
          <w:trHeight w:val="240"/>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Totaal Internationale samenwerking</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1,4</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21,5</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26,9</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1,4</w:t>
            </w:r>
          </w:p>
        </w:tc>
        <w:tc>
          <w:tcPr>
            <w:tcW w:w="521" w:type="pct"/>
            <w:tcBorders>
              <w:top w:val="nil"/>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1,4</w:t>
            </w:r>
          </w:p>
        </w:tc>
      </w:tr>
      <w:tr w:rsidRPr="005E7EAC" w:rsidR="00401ACC" w:rsidTr="00401ACC">
        <w:trPr>
          <w:trHeight w:val="225"/>
        </w:trPr>
        <w:tc>
          <w:tcPr>
            <w:tcW w:w="2395" w:type="pct"/>
            <w:tcBorders>
              <w:top w:val="nil"/>
              <w:left w:val="nil"/>
              <w:bottom w:val="nil"/>
              <w:right w:val="nil"/>
            </w:tcBorders>
            <w:shd w:val="clear" w:color="auto" w:fill="auto"/>
            <w:hideMark/>
          </w:tcPr>
          <w:p w:rsidRPr="005E7EAC" w:rsidR="00401ACC" w:rsidP="00401ACC" w:rsidRDefault="00401ACC">
            <w:pPr>
              <w:rPr>
                <w:rFonts w:ascii="Verdana" w:hAnsi="Verdana"/>
                <w:color w:val="000000"/>
                <w:sz w:val="18"/>
                <w:szCs w:val="18"/>
              </w:rPr>
            </w:pPr>
            <w:r w:rsidRPr="005E7EAC">
              <w:rPr>
                <w:rFonts w:ascii="Verdana" w:hAnsi="Verdana"/>
                <w:color w:val="000000"/>
                <w:sz w:val="18"/>
                <w:szCs w:val="18"/>
              </w:rPr>
              <w:t>Stand Voorjaarsnota 2015</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358,9</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317,4</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333,8</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336,8</w:t>
            </w:r>
          </w:p>
        </w:tc>
        <w:tc>
          <w:tcPr>
            <w:tcW w:w="521" w:type="pct"/>
            <w:tcBorders>
              <w:top w:val="single" w:color="000000" w:sz="8" w:space="0"/>
              <w:left w:val="nil"/>
              <w:bottom w:val="nil"/>
              <w:right w:val="nil"/>
            </w:tcBorders>
            <w:shd w:val="clear" w:color="auto" w:fill="auto"/>
            <w:hideMark/>
          </w:tcPr>
          <w:p w:rsidRPr="005E7EAC" w:rsidR="00401ACC" w:rsidP="00401ACC" w:rsidRDefault="00401ACC">
            <w:pPr>
              <w:jc w:val="right"/>
              <w:rPr>
                <w:rFonts w:ascii="Verdana" w:hAnsi="Verdana"/>
                <w:color w:val="000000"/>
                <w:sz w:val="18"/>
                <w:szCs w:val="18"/>
              </w:rPr>
            </w:pPr>
            <w:r w:rsidRPr="005E7EAC">
              <w:rPr>
                <w:rFonts w:ascii="Verdana" w:hAnsi="Verdana"/>
                <w:color w:val="000000"/>
                <w:sz w:val="18"/>
                <w:szCs w:val="18"/>
              </w:rPr>
              <w:t>305,7</w:t>
            </w:r>
          </w:p>
        </w:tc>
      </w:tr>
    </w:tbl>
    <w:p w:rsidRPr="005E7EAC" w:rsidR="007C3517" w:rsidP="007C3517" w:rsidRDefault="007C3517">
      <w:pPr>
        <w:spacing w:line="240" w:lineRule="exact"/>
        <w:rPr>
          <w:rFonts w:ascii="Verdana" w:hAnsi="Verdana" w:cs="Arial"/>
          <w:bCs/>
          <w:sz w:val="18"/>
          <w:szCs w:val="18"/>
        </w:rPr>
      </w:pPr>
    </w:p>
    <w:p w:rsidRPr="005E7EAC" w:rsidR="007C3517" w:rsidP="007C3517" w:rsidRDefault="007C3517">
      <w:pPr>
        <w:spacing w:line="240" w:lineRule="exact"/>
        <w:rPr>
          <w:rFonts w:ascii="Verdana" w:hAnsi="Verdana" w:cs="Arial"/>
          <w:bCs/>
          <w:sz w:val="18"/>
          <w:szCs w:val="18"/>
        </w:rPr>
      </w:pPr>
    </w:p>
    <w:p w:rsidRPr="005E7EAC" w:rsidR="007C3517" w:rsidP="007C3517" w:rsidRDefault="007C3517">
      <w:pPr>
        <w:spacing w:line="240" w:lineRule="exact"/>
        <w:rPr>
          <w:rFonts w:ascii="Verdana" w:hAnsi="Verdana"/>
          <w:i/>
          <w:sz w:val="18"/>
          <w:szCs w:val="18"/>
        </w:rPr>
      </w:pPr>
      <w:r w:rsidRPr="005E7EAC">
        <w:rPr>
          <w:rFonts w:ascii="Verdana" w:hAnsi="Verdana"/>
          <w:i/>
          <w:sz w:val="18"/>
          <w:szCs w:val="18"/>
        </w:rPr>
        <w:t>BIV trekkingsrecht Defensie</w:t>
      </w:r>
    </w:p>
    <w:p w:rsidRPr="005E7EAC" w:rsidR="007C3517" w:rsidP="007C3517" w:rsidRDefault="007C3517">
      <w:pPr>
        <w:spacing w:line="240" w:lineRule="exact"/>
        <w:rPr>
          <w:rFonts w:ascii="Verdana" w:hAnsi="Verdana"/>
          <w:sz w:val="18"/>
          <w:szCs w:val="18"/>
        </w:rPr>
      </w:pPr>
      <w:r w:rsidRPr="005E7EAC">
        <w:rPr>
          <w:rFonts w:ascii="Verdana" w:hAnsi="Verdana"/>
          <w:sz w:val="18"/>
          <w:szCs w:val="18"/>
        </w:rPr>
        <w:t xml:space="preserve">Betreft de financiering van activiteiten die de inzet in bijvoorbeeld vredesmissies of fragiele staten ondersteunen. Het gaat om zogeheten </w:t>
      </w:r>
      <w:r w:rsidRPr="005E7EAC">
        <w:rPr>
          <w:rFonts w:ascii="Verdana" w:hAnsi="Verdana"/>
          <w:i/>
          <w:sz w:val="18"/>
          <w:szCs w:val="18"/>
        </w:rPr>
        <w:t>enablers</w:t>
      </w:r>
      <w:r w:rsidRPr="005E7EAC">
        <w:rPr>
          <w:rFonts w:ascii="Verdana" w:hAnsi="Verdana"/>
          <w:sz w:val="18"/>
          <w:szCs w:val="18"/>
        </w:rPr>
        <w:t xml:space="preserve"> zoals transportvliegtuigen en </w:t>
      </w:r>
      <w:r w:rsidRPr="005E7EAC">
        <w:rPr>
          <w:rFonts w:ascii="Verdana" w:hAnsi="Verdana" w:cs="Verdana"/>
          <w:sz w:val="18"/>
          <w:szCs w:val="18"/>
        </w:rPr>
        <w:t>aan missies verbonden (na)zorgkosten voor uitgezonden defensiepersoneel</w:t>
      </w:r>
      <w:r w:rsidRPr="005E7EAC">
        <w:rPr>
          <w:rFonts w:ascii="Verdana" w:hAnsi="Verdana"/>
          <w:sz w:val="18"/>
          <w:szCs w:val="18"/>
        </w:rPr>
        <w:t xml:space="preserve">. </w:t>
      </w:r>
    </w:p>
    <w:p w:rsidRPr="005E7EAC" w:rsidR="007C3517" w:rsidP="007C3517" w:rsidRDefault="007C3517">
      <w:pPr>
        <w:autoSpaceDE w:val="0"/>
        <w:autoSpaceDN w:val="0"/>
        <w:adjustRightInd w:val="0"/>
        <w:spacing w:line="240" w:lineRule="exact"/>
        <w:rPr>
          <w:rFonts w:ascii="Verdana" w:hAnsi="Verdana"/>
          <w:sz w:val="18"/>
          <w:szCs w:val="18"/>
        </w:rPr>
      </w:pPr>
      <w:r w:rsidRPr="005E7EAC">
        <w:rPr>
          <w:rFonts w:ascii="Verdana" w:hAnsi="Verdana"/>
          <w:sz w:val="18"/>
          <w:szCs w:val="18"/>
        </w:rPr>
        <w:t xml:space="preserve"> </w:t>
      </w:r>
    </w:p>
    <w:p w:rsidRPr="005E7EAC" w:rsidR="007C3517" w:rsidP="007C3517" w:rsidRDefault="007C3517">
      <w:pPr>
        <w:spacing w:line="240" w:lineRule="exact"/>
        <w:rPr>
          <w:rFonts w:ascii="Verdana" w:hAnsi="Verdana"/>
          <w:i/>
          <w:sz w:val="18"/>
          <w:szCs w:val="18"/>
        </w:rPr>
      </w:pPr>
      <w:r w:rsidRPr="005E7EAC">
        <w:rPr>
          <w:rFonts w:ascii="Verdana" w:hAnsi="Verdana"/>
          <w:i/>
          <w:sz w:val="18"/>
          <w:szCs w:val="18"/>
        </w:rPr>
        <w:t>Doorwerking en bijstelling ontvangsten (uitgaven en niet-belastingontvangsten)</w:t>
      </w:r>
    </w:p>
    <w:p w:rsidRPr="005E7EAC" w:rsidR="00703565" w:rsidP="00703565" w:rsidRDefault="00703565">
      <w:pPr>
        <w:spacing w:line="240" w:lineRule="exact"/>
        <w:rPr>
          <w:rFonts w:ascii="Verdana" w:hAnsi="Verdana"/>
          <w:sz w:val="18"/>
          <w:szCs w:val="18"/>
        </w:rPr>
      </w:pPr>
      <w:r w:rsidRPr="005E7EAC">
        <w:rPr>
          <w:rFonts w:ascii="Verdana" w:hAnsi="Verdana"/>
          <w:sz w:val="18"/>
          <w:szCs w:val="18"/>
        </w:rPr>
        <w:t>Er is sprake van vertraging in de afstoting van onroerend goed die leidt tot minder ontvangsten. Door een herijking van de verkoopopbrengsten en hogere ontvangsten vanuit CODEMO en NAVO is er per saldo echter sprake van hogere ontvangsten dan geraamd. De uitgavenruimte voor 2015 wordt navenant verhoogd.</w:t>
      </w:r>
    </w:p>
    <w:p w:rsidRPr="005E7EAC" w:rsidR="007C3517" w:rsidP="007C3517" w:rsidRDefault="007C3517">
      <w:pPr>
        <w:spacing w:line="240" w:lineRule="exact"/>
        <w:rPr>
          <w:rFonts w:ascii="Verdana" w:hAnsi="Verdana"/>
          <w:sz w:val="18"/>
          <w:szCs w:val="18"/>
        </w:rPr>
      </w:pPr>
      <w:r w:rsidRPr="005E7EAC">
        <w:rPr>
          <w:rFonts w:ascii="Verdana" w:hAnsi="Verdana"/>
          <w:sz w:val="18"/>
          <w:szCs w:val="18"/>
        </w:rPr>
        <w:t xml:space="preserve"> </w:t>
      </w:r>
    </w:p>
    <w:p w:rsidRPr="005E7EAC" w:rsidR="00703565" w:rsidP="007C3517" w:rsidRDefault="00703565">
      <w:pPr>
        <w:spacing w:line="240" w:lineRule="exact"/>
        <w:rPr>
          <w:rFonts w:ascii="Verdana" w:hAnsi="Verdana"/>
          <w:sz w:val="18"/>
          <w:szCs w:val="18"/>
        </w:rPr>
      </w:pPr>
    </w:p>
    <w:p w:rsidRPr="005E7EAC" w:rsidR="00703565" w:rsidP="007C3517" w:rsidRDefault="00703565">
      <w:pPr>
        <w:spacing w:line="240" w:lineRule="exact"/>
        <w:rPr>
          <w:rFonts w:ascii="Verdana" w:hAnsi="Verdana"/>
          <w:sz w:val="18"/>
          <w:szCs w:val="18"/>
        </w:rPr>
      </w:pPr>
    </w:p>
    <w:p w:rsidRPr="005E7EAC" w:rsidR="007C3517" w:rsidP="007C3517" w:rsidRDefault="007C3517">
      <w:pPr>
        <w:spacing w:line="240" w:lineRule="exact"/>
        <w:rPr>
          <w:rFonts w:ascii="Verdana" w:hAnsi="Verdana"/>
          <w:i/>
          <w:sz w:val="18"/>
          <w:szCs w:val="18"/>
        </w:rPr>
      </w:pPr>
      <w:r w:rsidRPr="005E7EAC">
        <w:rPr>
          <w:rFonts w:ascii="Verdana" w:hAnsi="Verdana"/>
          <w:i/>
          <w:sz w:val="18"/>
          <w:szCs w:val="18"/>
        </w:rPr>
        <w:lastRenderedPageBreak/>
        <w:t>EJM investeringen</w:t>
      </w:r>
    </w:p>
    <w:p w:rsidRPr="005E7EAC" w:rsidR="007C3517" w:rsidP="007C3517" w:rsidRDefault="007C3517">
      <w:pPr>
        <w:spacing w:line="240" w:lineRule="exact"/>
        <w:rPr>
          <w:rFonts w:ascii="Verdana" w:hAnsi="Verdana"/>
          <w:sz w:val="18"/>
          <w:szCs w:val="18"/>
        </w:rPr>
      </w:pPr>
      <w:r w:rsidRPr="005E7EAC">
        <w:rPr>
          <w:rFonts w:ascii="Verdana" w:hAnsi="Verdana"/>
          <w:sz w:val="18"/>
          <w:szCs w:val="18"/>
        </w:rPr>
        <w:t xml:space="preserve">Een bedrag van 37,8 mln. wordt via de eindejaarsmarge vanuit 2014 meegenomen en toegevoegd aan het investeringsbudget in 2015. </w:t>
      </w:r>
    </w:p>
    <w:p w:rsidRPr="005E7EAC" w:rsidR="007C3517" w:rsidP="007C3517" w:rsidRDefault="007C3517">
      <w:pPr>
        <w:spacing w:line="240" w:lineRule="exact"/>
        <w:rPr>
          <w:rFonts w:ascii="Verdana" w:hAnsi="Verdana"/>
          <w:i/>
          <w:sz w:val="18"/>
          <w:szCs w:val="18"/>
        </w:rPr>
      </w:pPr>
    </w:p>
    <w:p w:rsidRPr="005E7EAC" w:rsidR="007C3517" w:rsidP="007C3517" w:rsidRDefault="007C3517">
      <w:pPr>
        <w:spacing w:line="240" w:lineRule="exact"/>
        <w:rPr>
          <w:rFonts w:ascii="Verdana" w:hAnsi="Verdana"/>
          <w:i/>
          <w:sz w:val="18"/>
          <w:szCs w:val="18"/>
        </w:rPr>
      </w:pPr>
      <w:r w:rsidRPr="005E7EAC">
        <w:rPr>
          <w:rFonts w:ascii="Verdana" w:hAnsi="Verdana"/>
          <w:i/>
          <w:sz w:val="18"/>
          <w:szCs w:val="18"/>
        </w:rPr>
        <w:t>Financiering brigade speciale bev. opdrachten (bsb)</w:t>
      </w:r>
    </w:p>
    <w:p w:rsidRPr="005E7EAC" w:rsidR="007C3517" w:rsidP="007C3517" w:rsidRDefault="007C3517">
      <w:pPr>
        <w:spacing w:line="240" w:lineRule="exact"/>
        <w:rPr>
          <w:rFonts w:ascii="Verdana" w:hAnsi="Verdana"/>
          <w:sz w:val="18"/>
          <w:szCs w:val="18"/>
        </w:rPr>
      </w:pPr>
      <w:r w:rsidRPr="005E7EAC">
        <w:rPr>
          <w:rFonts w:ascii="Verdana" w:hAnsi="Verdana"/>
          <w:sz w:val="18"/>
          <w:szCs w:val="18"/>
        </w:rPr>
        <w:t>Defensie verzorgt op ver</w:t>
      </w:r>
      <w:r w:rsidRPr="005E7EAC" w:rsidR="00E61FAA">
        <w:rPr>
          <w:rFonts w:ascii="Verdana" w:hAnsi="Verdana"/>
          <w:sz w:val="18"/>
          <w:szCs w:val="18"/>
        </w:rPr>
        <w:t>zoek van Buitenlandse Zaken</w:t>
      </w:r>
      <w:r w:rsidRPr="005E7EAC">
        <w:rPr>
          <w:rFonts w:ascii="Verdana" w:hAnsi="Verdana"/>
          <w:sz w:val="18"/>
          <w:szCs w:val="18"/>
        </w:rPr>
        <w:t xml:space="preserve"> de beveiliging van diplomaten en ambassades in gebieden waar dat noodzakelijk is.</w:t>
      </w:r>
    </w:p>
    <w:p w:rsidRPr="005E7EAC" w:rsidR="007C3517" w:rsidP="007C3517" w:rsidRDefault="007C3517">
      <w:pPr>
        <w:spacing w:line="240" w:lineRule="exact"/>
        <w:rPr>
          <w:rFonts w:ascii="Verdana" w:hAnsi="Verdana"/>
          <w:i/>
          <w:sz w:val="18"/>
          <w:szCs w:val="18"/>
        </w:rPr>
      </w:pPr>
    </w:p>
    <w:p w:rsidRPr="005E7EAC" w:rsidR="007C3517" w:rsidP="007C3517" w:rsidRDefault="007C3517">
      <w:pPr>
        <w:spacing w:line="240" w:lineRule="exact"/>
        <w:rPr>
          <w:rFonts w:ascii="Verdana" w:hAnsi="Verdana"/>
          <w:i/>
          <w:sz w:val="18"/>
          <w:szCs w:val="18"/>
        </w:rPr>
      </w:pPr>
      <w:r w:rsidRPr="005E7EAC">
        <w:rPr>
          <w:rFonts w:ascii="Verdana" w:hAnsi="Verdana"/>
          <w:i/>
          <w:sz w:val="18"/>
          <w:szCs w:val="18"/>
        </w:rPr>
        <w:t>Kasschuif herijking DIP</w:t>
      </w:r>
    </w:p>
    <w:p w:rsidRPr="005E7EAC" w:rsidR="007C3517" w:rsidP="007C3517" w:rsidRDefault="007C3517">
      <w:pPr>
        <w:spacing w:line="240" w:lineRule="exact"/>
        <w:rPr>
          <w:rFonts w:ascii="Verdana" w:hAnsi="Verdana"/>
          <w:i/>
          <w:sz w:val="18"/>
          <w:szCs w:val="18"/>
        </w:rPr>
      </w:pPr>
      <w:r w:rsidRPr="005E7EAC">
        <w:rPr>
          <w:rFonts w:ascii="Verdana" w:hAnsi="Verdana"/>
          <w:sz w:val="18"/>
          <w:szCs w:val="18"/>
        </w:rPr>
        <w:t>Er vindt een kasschuif binnen de meerjarenperiode plaats ten behoeve van de herijking van de investeringsplannen.</w:t>
      </w:r>
    </w:p>
    <w:p w:rsidRPr="005E7EAC" w:rsidR="007C3517" w:rsidP="007C3517" w:rsidRDefault="007C3517">
      <w:pPr>
        <w:spacing w:line="240" w:lineRule="exact"/>
        <w:rPr>
          <w:rFonts w:ascii="Verdana" w:hAnsi="Verdana"/>
          <w:sz w:val="18"/>
          <w:szCs w:val="18"/>
        </w:rPr>
      </w:pPr>
    </w:p>
    <w:p w:rsidRPr="005E7EAC" w:rsidR="007C3517" w:rsidP="007C3517" w:rsidRDefault="007C3517">
      <w:pPr>
        <w:spacing w:line="240" w:lineRule="exact"/>
        <w:rPr>
          <w:rFonts w:ascii="Verdana" w:hAnsi="Verdana"/>
          <w:i/>
          <w:sz w:val="18"/>
          <w:szCs w:val="18"/>
        </w:rPr>
      </w:pPr>
      <w:r w:rsidRPr="005E7EAC">
        <w:rPr>
          <w:rFonts w:ascii="Verdana" w:hAnsi="Verdana"/>
          <w:i/>
          <w:sz w:val="18"/>
          <w:szCs w:val="18"/>
        </w:rPr>
        <w:t>Kasschuif tbv ISIS missie</w:t>
      </w:r>
    </w:p>
    <w:p w:rsidRPr="005E7EAC" w:rsidR="007C3517" w:rsidP="007C3517" w:rsidRDefault="007C3517">
      <w:pPr>
        <w:spacing w:line="240" w:lineRule="exact"/>
        <w:rPr>
          <w:rFonts w:ascii="Verdana" w:hAnsi="Verdana"/>
          <w:i/>
          <w:sz w:val="18"/>
          <w:szCs w:val="18"/>
        </w:rPr>
      </w:pPr>
      <w:r w:rsidRPr="005E7EAC">
        <w:rPr>
          <w:rFonts w:ascii="Verdana" w:hAnsi="Verdana" w:cs="Arial"/>
          <w:sz w:val="18"/>
          <w:szCs w:val="18"/>
        </w:rPr>
        <w:t xml:space="preserve">Voor de bekostiging van de Nederlandse defensiebijdrage aan de strijd tegen ISIS is het budget internationale veiligheid op de Defensiebegroting in 2015 en 2016 verhoogd vanuit HGIS onvoorzien. Om het generale beeld niet te belasten vindt er een kasschuif plaats binnen het investeringsartikel. </w:t>
      </w:r>
      <w:r w:rsidRPr="005E7EAC">
        <w:rPr>
          <w:rFonts w:ascii="Verdana" w:hAnsi="Verdana"/>
          <w:sz w:val="18"/>
          <w:szCs w:val="18"/>
        </w:rPr>
        <w:t>De middelen blijven beschikbaar voor investeringen.</w:t>
      </w:r>
    </w:p>
    <w:p w:rsidRPr="005E7EAC" w:rsidR="007C3517" w:rsidP="007C3517" w:rsidRDefault="007C3517">
      <w:pPr>
        <w:spacing w:line="240" w:lineRule="exact"/>
        <w:rPr>
          <w:rFonts w:ascii="Verdana" w:hAnsi="Verdana"/>
          <w:i/>
          <w:sz w:val="18"/>
          <w:szCs w:val="18"/>
        </w:rPr>
      </w:pPr>
    </w:p>
    <w:p w:rsidRPr="005E7EAC" w:rsidR="007C3517" w:rsidP="007C3517" w:rsidRDefault="007C3517">
      <w:pPr>
        <w:spacing w:line="240" w:lineRule="exact"/>
        <w:rPr>
          <w:rFonts w:ascii="Verdana" w:hAnsi="Verdana"/>
          <w:i/>
          <w:iCs/>
          <w:sz w:val="18"/>
          <w:szCs w:val="18"/>
        </w:rPr>
      </w:pPr>
      <w:r w:rsidRPr="005E7EAC">
        <w:rPr>
          <w:rFonts w:ascii="Verdana" w:hAnsi="Verdana"/>
          <w:i/>
          <w:iCs/>
          <w:sz w:val="18"/>
          <w:szCs w:val="18"/>
        </w:rPr>
        <w:t>Contraterrorisme</w:t>
      </w:r>
    </w:p>
    <w:p w:rsidRPr="005E7EAC" w:rsidR="007C3517" w:rsidP="007C3517" w:rsidRDefault="007C3517">
      <w:pPr>
        <w:spacing w:line="240" w:lineRule="exact"/>
        <w:rPr>
          <w:rFonts w:ascii="Verdana" w:hAnsi="Verdana"/>
          <w:sz w:val="18"/>
          <w:szCs w:val="18"/>
        </w:rPr>
      </w:pPr>
      <w:r w:rsidRPr="005E7EAC">
        <w:rPr>
          <w:rFonts w:ascii="Verdana" w:hAnsi="Verdana"/>
          <w:sz w:val="18"/>
          <w:szCs w:val="18"/>
        </w:rPr>
        <w:t>Op 27 februari jl. heeft het kabinet besloten de veiligheidsketen op een aantal punten substantieel te versterken. De intensiveringsmiddelen worden van de aanvullende post overgeheveld naar de begroting van Defensie.</w:t>
      </w:r>
    </w:p>
    <w:p w:rsidRPr="005E7EAC" w:rsidR="004032A8" w:rsidP="007C3517" w:rsidRDefault="004032A8">
      <w:pPr>
        <w:spacing w:line="240" w:lineRule="exact"/>
        <w:rPr>
          <w:rFonts w:ascii="Verdana" w:hAnsi="Verdana" w:cs="Arial"/>
          <w:bCs/>
          <w:sz w:val="18"/>
          <w:szCs w:val="18"/>
        </w:rPr>
      </w:pPr>
      <w:r w:rsidRPr="005E7EAC">
        <w:rPr>
          <w:rFonts w:ascii="Verdana" w:hAnsi="Verdana" w:cs="Arial"/>
          <w:bCs/>
          <w:sz w:val="18"/>
          <w:szCs w:val="18"/>
        </w:rPr>
        <w:br w:type="page"/>
      </w:r>
    </w:p>
    <w:p w:rsidRPr="005E7EAC" w:rsidR="00AA2967" w:rsidP="00E16284" w:rsidRDefault="00A06108">
      <w:pPr>
        <w:spacing w:line="240" w:lineRule="exact"/>
        <w:rPr>
          <w:rFonts w:ascii="Verdana" w:hAnsi="Verdana" w:cs="TrebuchetMS"/>
          <w:sz w:val="18"/>
          <w:szCs w:val="18"/>
        </w:rPr>
      </w:pPr>
      <w:r w:rsidRPr="005E7EAC">
        <w:rPr>
          <w:rFonts w:ascii="Verdana" w:hAnsi="Verdana" w:cs="Arial"/>
          <w:b/>
          <w:bCs/>
          <w:sz w:val="18"/>
          <w:szCs w:val="18"/>
        </w:rPr>
        <w:lastRenderedPageBreak/>
        <w:t xml:space="preserve">XII </w:t>
      </w:r>
      <w:r w:rsidRPr="005E7EAC" w:rsidR="00A15500">
        <w:rPr>
          <w:rFonts w:ascii="Verdana" w:hAnsi="Verdana" w:cs="Arial"/>
          <w:b/>
          <w:bCs/>
          <w:sz w:val="18"/>
          <w:szCs w:val="18"/>
        </w:rPr>
        <w:t>I</w:t>
      </w:r>
      <w:r w:rsidRPr="005E7EAC" w:rsidR="00B92FA0">
        <w:rPr>
          <w:rFonts w:ascii="Verdana" w:hAnsi="Verdana" w:cs="Arial"/>
          <w:b/>
          <w:bCs/>
          <w:sz w:val="18"/>
          <w:szCs w:val="18"/>
        </w:rPr>
        <w:t>nfrastructuur en Milieu</w:t>
      </w:r>
      <w:r w:rsidRPr="005E7EAC" w:rsidR="00AA2967">
        <w:rPr>
          <w:rFonts w:ascii="Verdana" w:hAnsi="Verdana" w:cs="TrebuchetMS"/>
          <w:sz w:val="18"/>
          <w:szCs w:val="18"/>
        </w:rPr>
        <w:t xml:space="preserve"> </w:t>
      </w:r>
    </w:p>
    <w:p w:rsidRPr="005E7EAC" w:rsidR="00AA2967" w:rsidP="00AA2967" w:rsidRDefault="00AA2967">
      <w:pPr>
        <w:spacing w:line="240" w:lineRule="exact"/>
        <w:rPr>
          <w:szCs w:val="18"/>
        </w:rPr>
      </w:pPr>
    </w:p>
    <w:tbl>
      <w:tblPr>
        <w:tblW w:w="5000" w:type="pct"/>
        <w:tblCellMar>
          <w:left w:w="70" w:type="dxa"/>
          <w:right w:w="70" w:type="dxa"/>
        </w:tblCellMar>
        <w:tblLook w:val="04A0"/>
      </w:tblPr>
      <w:tblGrid>
        <w:gridCol w:w="4329"/>
        <w:gridCol w:w="977"/>
        <w:gridCol w:w="977"/>
        <w:gridCol w:w="977"/>
        <w:gridCol w:w="976"/>
        <w:gridCol w:w="976"/>
      </w:tblGrid>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UITGAVEN</w:t>
            </w: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r>
      <w:tr w:rsidRPr="005E7EAC" w:rsidR="00A80D24" w:rsidTr="00A80D24">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2019</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9.215,8</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9.372,9</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9.704,4</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9.156,4</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9.254,4</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Beleidsmatige mutaties</w:t>
            </w: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ind w:firstLine="360" w:firstLineChars="200"/>
              <w:rPr>
                <w:rFonts w:ascii="Verdana" w:hAnsi="Verdana"/>
                <w:color w:val="000000"/>
                <w:sz w:val="18"/>
                <w:szCs w:val="18"/>
              </w:rPr>
            </w:pPr>
            <w:r w:rsidRPr="005E7EAC">
              <w:rPr>
                <w:rFonts w:ascii="Verdana" w:hAnsi="Verdana"/>
                <w:color w:val="000000"/>
                <w:sz w:val="18"/>
                <w:szCs w:val="18"/>
              </w:rPr>
              <w:t>Belasting infraspeed</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22,5</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2,9</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2,9</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2,9</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2,9</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ind w:firstLine="360" w:firstLineChars="200"/>
              <w:rPr>
                <w:rFonts w:ascii="Verdana" w:hAnsi="Verdana"/>
                <w:color w:val="000000"/>
                <w:sz w:val="18"/>
                <w:szCs w:val="18"/>
              </w:rPr>
            </w:pPr>
            <w:r w:rsidRPr="005E7EAC">
              <w:rPr>
                <w:rFonts w:ascii="Verdana" w:hAnsi="Verdana"/>
                <w:color w:val="000000"/>
                <w:sz w:val="18"/>
                <w:szCs w:val="18"/>
              </w:rPr>
              <w:t>Kasschuif deltafonds</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-75,0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75,0</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ind w:firstLine="360" w:firstLineChars="200"/>
              <w:rPr>
                <w:rFonts w:ascii="Verdana" w:hAnsi="Verdana"/>
                <w:color w:val="000000"/>
                <w:sz w:val="18"/>
                <w:szCs w:val="18"/>
              </w:rPr>
            </w:pPr>
            <w:r w:rsidRPr="005E7EAC">
              <w:rPr>
                <w:rFonts w:ascii="Verdana" w:hAnsi="Verdana"/>
                <w:color w:val="000000"/>
                <w:sz w:val="18"/>
                <w:szCs w:val="18"/>
              </w:rPr>
              <w:t>Kasschuif if (versnelde ontvangsten)</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-250,0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100,0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75,0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75,0</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ind w:firstLine="360" w:firstLineChars="200"/>
              <w:rPr>
                <w:rFonts w:ascii="Verdana" w:hAnsi="Verdana"/>
                <w:color w:val="000000"/>
                <w:sz w:val="18"/>
                <w:szCs w:val="18"/>
              </w:rPr>
            </w:pPr>
            <w:r w:rsidRPr="005E7EAC">
              <w:rPr>
                <w:rFonts w:ascii="Verdana" w:hAnsi="Verdana"/>
                <w:color w:val="000000"/>
                <w:sz w:val="18"/>
                <w:szCs w:val="18"/>
              </w:rPr>
              <w:t>Toekenning eindejaarsmarge 2014</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25,6</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r>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-2,4</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4,4</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2,5</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-0,2</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-0,6</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-279,3</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107,3</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5,4</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77,7</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152,3</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Technische mutaties</w:t>
            </w: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ind w:firstLine="360" w:firstLineChars="200"/>
              <w:rPr>
                <w:rFonts w:ascii="Verdana" w:hAnsi="Verdana"/>
                <w:color w:val="000000"/>
                <w:sz w:val="18"/>
                <w:szCs w:val="18"/>
              </w:rPr>
            </w:pPr>
            <w:r w:rsidRPr="005E7EAC">
              <w:rPr>
                <w:rFonts w:ascii="Verdana" w:hAnsi="Verdana"/>
                <w:color w:val="000000"/>
                <w:sz w:val="18"/>
                <w:szCs w:val="18"/>
              </w:rPr>
              <w:t>Decentralisatie bodem</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-83,2</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r>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73,4</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43,5</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45,2</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43,1</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44,3</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-9,8</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43,5</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45,2</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43,1</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44,3</w:t>
            </w:r>
          </w:p>
        </w:tc>
      </w:tr>
      <w:tr w:rsidRPr="005E7EAC" w:rsidR="00A80D24" w:rsidTr="00A80D24">
        <w:trPr>
          <w:trHeight w:val="180"/>
        </w:trPr>
        <w:tc>
          <w:tcPr>
            <w:tcW w:w="2348"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-289,0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150,8</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50,5</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120,8</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196,6</w:t>
            </w:r>
          </w:p>
        </w:tc>
      </w:tr>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8.926,8</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9.523,7</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9.755,0</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9.277,2</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9.451,1</w:t>
            </w:r>
          </w:p>
        </w:tc>
      </w:tr>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26,7</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20,2</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18,5</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18,5</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18,5</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8.953,5</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9.543,9</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9.773,5</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9.295,7</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9.469,5</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r>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NIET-BELASTINGONTVANGSTEN</w:t>
            </w: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r>
      <w:tr w:rsidRPr="005E7EAC" w:rsidR="00A80D24" w:rsidTr="00A80D24">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2019</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241,2</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210,2</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238,1</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237,8</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370,8</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Technische mutaties</w:t>
            </w: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24,6</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-0,1</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0,1</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24,6</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-0,1</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0,1</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r>
      <w:tr w:rsidRPr="005E7EAC" w:rsidR="00A80D24" w:rsidTr="00A80D24">
        <w:trPr>
          <w:trHeight w:val="180"/>
        </w:trPr>
        <w:tc>
          <w:tcPr>
            <w:tcW w:w="2348"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24,6</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-0,1</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0,1</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r>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A80D24" w:rsidP="00A80D24" w:rsidRDefault="00A80D24">
            <w:pPr>
              <w:rPr>
                <w:rFonts w:ascii="Verdana" w:hAnsi="Verdana"/>
                <w:color w:val="000000"/>
                <w:sz w:val="14"/>
                <w:szCs w:val="14"/>
              </w:rPr>
            </w:pP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265,8</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210,1</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238,2</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237,8</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370,8</w:t>
            </w:r>
          </w:p>
        </w:tc>
      </w:tr>
      <w:tr w:rsidRPr="005E7EAC" w:rsidR="00A80D24" w:rsidTr="00A80D24">
        <w:trPr>
          <w:trHeight w:val="240"/>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0,0</w:t>
            </w:r>
          </w:p>
        </w:tc>
      </w:tr>
      <w:tr w:rsidRPr="005E7EAC" w:rsidR="00A80D24" w:rsidTr="00A80D24">
        <w:trPr>
          <w:trHeight w:val="225"/>
        </w:trPr>
        <w:tc>
          <w:tcPr>
            <w:tcW w:w="2348" w:type="pct"/>
            <w:tcBorders>
              <w:top w:val="nil"/>
              <w:left w:val="nil"/>
              <w:bottom w:val="nil"/>
              <w:right w:val="nil"/>
            </w:tcBorders>
            <w:shd w:val="clear" w:color="auto" w:fill="auto"/>
            <w:hideMark/>
          </w:tcPr>
          <w:p w:rsidRPr="005E7EAC" w:rsidR="00A80D24" w:rsidP="00A80D24" w:rsidRDefault="00A80D24">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265,8</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210,1</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238,2</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237,8</w:t>
            </w:r>
          </w:p>
        </w:tc>
        <w:tc>
          <w:tcPr>
            <w:tcW w:w="530" w:type="pct"/>
            <w:tcBorders>
              <w:top w:val="single" w:color="000000" w:sz="8" w:space="0"/>
              <w:left w:val="nil"/>
              <w:bottom w:val="nil"/>
              <w:right w:val="nil"/>
            </w:tcBorders>
            <w:shd w:val="clear" w:color="auto" w:fill="auto"/>
            <w:hideMark/>
          </w:tcPr>
          <w:p w:rsidRPr="005E7EAC" w:rsidR="00A80D24" w:rsidP="00A80D24" w:rsidRDefault="00A80D24">
            <w:pPr>
              <w:jc w:val="right"/>
              <w:rPr>
                <w:rFonts w:ascii="Verdana" w:hAnsi="Verdana"/>
                <w:color w:val="000000"/>
                <w:sz w:val="18"/>
                <w:szCs w:val="18"/>
              </w:rPr>
            </w:pPr>
            <w:r w:rsidRPr="005E7EAC">
              <w:rPr>
                <w:rFonts w:ascii="Verdana" w:hAnsi="Verdana"/>
                <w:color w:val="000000"/>
                <w:sz w:val="18"/>
                <w:szCs w:val="18"/>
              </w:rPr>
              <w:t>370,8</w:t>
            </w:r>
          </w:p>
        </w:tc>
      </w:tr>
    </w:tbl>
    <w:p w:rsidRPr="005E7EAC" w:rsidR="00AA2967" w:rsidP="00AA2967" w:rsidRDefault="00AA2967">
      <w:pPr>
        <w:spacing w:line="240" w:lineRule="exact"/>
        <w:rPr>
          <w:szCs w:val="18"/>
        </w:rPr>
      </w:pPr>
    </w:p>
    <w:p w:rsidRPr="005E7EAC" w:rsidR="00AA2967" w:rsidP="00AA2967" w:rsidRDefault="00AA2967">
      <w:pPr>
        <w:spacing w:line="240" w:lineRule="exact"/>
        <w:rPr>
          <w:szCs w:val="18"/>
        </w:rPr>
      </w:pPr>
    </w:p>
    <w:p w:rsidRPr="005E7EAC" w:rsidR="00BC55B4" w:rsidP="00BC55B4" w:rsidRDefault="00BC55B4">
      <w:pPr>
        <w:spacing w:line="240" w:lineRule="exact"/>
        <w:rPr>
          <w:rFonts w:ascii="Verdana" w:hAnsi="Verdana"/>
          <w:i/>
          <w:sz w:val="18"/>
          <w:szCs w:val="18"/>
        </w:rPr>
      </w:pPr>
      <w:r w:rsidRPr="005E7EAC">
        <w:rPr>
          <w:rFonts w:ascii="Verdana" w:hAnsi="Verdana"/>
          <w:i/>
          <w:sz w:val="18"/>
          <w:szCs w:val="18"/>
        </w:rPr>
        <w:t>Belasting Infraspeed</w:t>
      </w:r>
    </w:p>
    <w:p w:rsidRPr="005E7EAC" w:rsidR="00BC55B4" w:rsidP="00BC55B4" w:rsidRDefault="00BC55B4">
      <w:pPr>
        <w:spacing w:line="240" w:lineRule="exact"/>
        <w:rPr>
          <w:rFonts w:ascii="Verdana" w:hAnsi="Verdana"/>
          <w:sz w:val="18"/>
          <w:szCs w:val="18"/>
        </w:rPr>
      </w:pPr>
      <w:r w:rsidRPr="005E7EAC">
        <w:rPr>
          <w:rFonts w:ascii="Verdana" w:hAnsi="Verdana"/>
          <w:sz w:val="18"/>
          <w:szCs w:val="18"/>
        </w:rPr>
        <w:t>Infraspeed is de railinfrastructuurbeheerder van de Hogesnelheidslijn Zuid. In het contract uit 2001 tussen de Staat en Infraspeed is een clausule opgenomen met betrekking tot de aftrekbaarheid van de rente op de aandeelhoudersleningen. Deze bestaande afspraak wordt nu verwerkt.</w:t>
      </w:r>
    </w:p>
    <w:p w:rsidRPr="005E7EAC" w:rsidR="00BC55B4" w:rsidP="00BC55B4" w:rsidRDefault="00BC55B4">
      <w:pPr>
        <w:spacing w:line="240" w:lineRule="exact"/>
        <w:rPr>
          <w:rFonts w:ascii="Verdana" w:hAnsi="Verdana"/>
          <w:i/>
          <w:sz w:val="18"/>
          <w:szCs w:val="18"/>
        </w:rPr>
      </w:pPr>
    </w:p>
    <w:p w:rsidRPr="005E7EAC" w:rsidR="00BC55B4" w:rsidP="00BC55B4" w:rsidRDefault="00BC55B4">
      <w:pPr>
        <w:spacing w:line="240" w:lineRule="exact"/>
        <w:rPr>
          <w:rFonts w:ascii="Verdana" w:hAnsi="Verdana"/>
          <w:i/>
          <w:sz w:val="18"/>
          <w:szCs w:val="18"/>
        </w:rPr>
      </w:pPr>
      <w:r w:rsidRPr="005E7EAC">
        <w:rPr>
          <w:rFonts w:ascii="Verdana" w:hAnsi="Verdana"/>
          <w:i/>
          <w:sz w:val="18"/>
          <w:szCs w:val="18"/>
        </w:rPr>
        <w:t>Kasschuif Deltafonds</w:t>
      </w:r>
    </w:p>
    <w:p w:rsidRPr="005E7EAC" w:rsidR="00BC55B4" w:rsidP="00BC55B4" w:rsidRDefault="00BC55B4">
      <w:pPr>
        <w:spacing w:line="240" w:lineRule="exact"/>
        <w:rPr>
          <w:rFonts w:ascii="Verdana" w:hAnsi="Verdana"/>
          <w:sz w:val="18"/>
          <w:szCs w:val="18"/>
        </w:rPr>
      </w:pPr>
      <w:r w:rsidRPr="005E7EAC">
        <w:rPr>
          <w:rFonts w:ascii="Verdana" w:hAnsi="Verdana"/>
          <w:sz w:val="18"/>
          <w:szCs w:val="18"/>
        </w:rPr>
        <w:t xml:space="preserve">Op het Deltafonds loopt een aantal uitvoeringsprogramma’s af. Daarnaast zijn de deltabeslissingen genomen en is het nieuwe Hoogwaterbeschermingsprogramma opgestart. Om het ritme van het meerjarige programma en het budget op het Deltafonds weer met elkaar in overeenstemming te brengen vindt er een kasschuif plaats op het Deltafonds. </w:t>
      </w:r>
    </w:p>
    <w:p w:rsidRPr="005E7EAC" w:rsidR="00BC55B4" w:rsidP="00BC55B4" w:rsidRDefault="00BC55B4">
      <w:pPr>
        <w:spacing w:line="240" w:lineRule="exact"/>
        <w:rPr>
          <w:rFonts w:ascii="Verdana" w:hAnsi="Verdana"/>
          <w:sz w:val="18"/>
          <w:szCs w:val="18"/>
        </w:rPr>
      </w:pPr>
    </w:p>
    <w:p w:rsidRPr="005E7EAC" w:rsidR="00BC55B4" w:rsidP="00BC55B4" w:rsidRDefault="00BC55B4">
      <w:pPr>
        <w:spacing w:line="240" w:lineRule="exact"/>
        <w:rPr>
          <w:rFonts w:ascii="Verdana" w:hAnsi="Verdana"/>
          <w:i/>
          <w:sz w:val="18"/>
          <w:szCs w:val="18"/>
        </w:rPr>
      </w:pPr>
      <w:r w:rsidRPr="005E7EAC">
        <w:rPr>
          <w:rFonts w:ascii="Verdana" w:hAnsi="Verdana"/>
          <w:i/>
          <w:sz w:val="18"/>
          <w:szCs w:val="18"/>
        </w:rPr>
        <w:t xml:space="preserve">Kasschuif IF (versnelde ontvangsten) </w:t>
      </w:r>
    </w:p>
    <w:p w:rsidRPr="005E7EAC" w:rsidR="00BC55B4" w:rsidP="00BC55B4" w:rsidRDefault="00BC55B4">
      <w:pPr>
        <w:spacing w:line="240" w:lineRule="exact"/>
        <w:rPr>
          <w:rFonts w:ascii="Verdana" w:hAnsi="Verdana"/>
          <w:sz w:val="18"/>
          <w:szCs w:val="18"/>
        </w:rPr>
      </w:pPr>
      <w:r w:rsidRPr="005E7EAC">
        <w:rPr>
          <w:rFonts w:ascii="Verdana" w:hAnsi="Verdana"/>
          <w:sz w:val="18"/>
          <w:szCs w:val="18"/>
        </w:rPr>
        <w:t xml:space="preserve">Voor een drietal projecten is er in 2015 versneld bijdragen van derden ontvangen (250 mln.). De projectuitgaven zijn pas in latere jaren voorzien. Om de programmering meer in lijn te brengen met het budget vindt er een kasschuif plaats op het Infrastructuurfonds. </w:t>
      </w:r>
    </w:p>
    <w:p w:rsidRPr="005E7EAC" w:rsidR="00BC55B4" w:rsidP="00BC55B4" w:rsidRDefault="00BC55B4">
      <w:pPr>
        <w:spacing w:line="240" w:lineRule="exact"/>
        <w:rPr>
          <w:rFonts w:ascii="Verdana" w:hAnsi="Verdana"/>
          <w:i/>
          <w:sz w:val="18"/>
          <w:szCs w:val="18"/>
        </w:rPr>
      </w:pPr>
    </w:p>
    <w:p w:rsidRPr="005E7EAC" w:rsidR="00BC55B4" w:rsidP="00BC55B4" w:rsidRDefault="00BC55B4">
      <w:pPr>
        <w:spacing w:line="240" w:lineRule="exact"/>
        <w:rPr>
          <w:rFonts w:ascii="Verdana" w:hAnsi="Verdana"/>
          <w:i/>
          <w:sz w:val="18"/>
          <w:szCs w:val="18"/>
        </w:rPr>
      </w:pPr>
      <w:r w:rsidRPr="005E7EAC">
        <w:rPr>
          <w:rFonts w:ascii="Verdana" w:hAnsi="Verdana"/>
          <w:i/>
          <w:sz w:val="18"/>
          <w:szCs w:val="18"/>
        </w:rPr>
        <w:t>Toekenning Eindejaarsmarge 2014</w:t>
      </w:r>
    </w:p>
    <w:p w:rsidRPr="005E7EAC" w:rsidR="00BC55B4" w:rsidP="00BC55B4" w:rsidRDefault="00BC55B4">
      <w:pPr>
        <w:autoSpaceDE w:val="0"/>
        <w:autoSpaceDN w:val="0"/>
        <w:adjustRightInd w:val="0"/>
        <w:spacing w:line="240" w:lineRule="exact"/>
        <w:rPr>
          <w:rFonts w:ascii="Verdana" w:hAnsi="Verdana"/>
          <w:sz w:val="18"/>
          <w:szCs w:val="18"/>
        </w:rPr>
      </w:pPr>
      <w:r w:rsidRPr="005E7EAC">
        <w:rPr>
          <w:rFonts w:ascii="Verdana" w:hAnsi="Verdana" w:cs="Univers"/>
          <w:sz w:val="18"/>
          <w:szCs w:val="18"/>
        </w:rPr>
        <w:t xml:space="preserve">De eindejaarsmarge van 2014 is toegevoegd aan de begroting van IenM. </w:t>
      </w:r>
    </w:p>
    <w:p w:rsidRPr="005E7EAC" w:rsidR="00BC55B4" w:rsidP="00BC55B4" w:rsidRDefault="00BC55B4">
      <w:pPr>
        <w:spacing w:line="240" w:lineRule="exact"/>
        <w:rPr>
          <w:rFonts w:ascii="Verdana" w:hAnsi="Verdana"/>
          <w:sz w:val="18"/>
          <w:szCs w:val="18"/>
        </w:rPr>
      </w:pPr>
    </w:p>
    <w:p w:rsidRPr="005E7EAC" w:rsidR="00BC55B4" w:rsidP="00BC55B4" w:rsidRDefault="00BC55B4">
      <w:pPr>
        <w:spacing w:line="240" w:lineRule="exact"/>
        <w:rPr>
          <w:rFonts w:ascii="Verdana" w:hAnsi="Verdana"/>
          <w:i/>
          <w:sz w:val="18"/>
          <w:szCs w:val="18"/>
        </w:rPr>
      </w:pPr>
      <w:r w:rsidRPr="005E7EAC">
        <w:rPr>
          <w:rFonts w:ascii="Verdana" w:hAnsi="Verdana"/>
          <w:i/>
          <w:sz w:val="18"/>
          <w:szCs w:val="18"/>
        </w:rPr>
        <w:lastRenderedPageBreak/>
        <w:t>Decentralisatie bodem</w:t>
      </w:r>
    </w:p>
    <w:p w:rsidRPr="005E7EAC" w:rsidR="00BC55B4" w:rsidP="00BC55B4" w:rsidRDefault="00BC55B4">
      <w:pPr>
        <w:spacing w:line="240" w:lineRule="exact"/>
        <w:rPr>
          <w:rFonts w:ascii="Verdana" w:hAnsi="Verdana"/>
          <w:sz w:val="18"/>
          <w:szCs w:val="18"/>
        </w:rPr>
      </w:pPr>
      <w:r w:rsidRPr="005E7EAC">
        <w:rPr>
          <w:rFonts w:ascii="Verdana" w:hAnsi="Verdana"/>
          <w:sz w:val="18"/>
          <w:szCs w:val="18"/>
        </w:rPr>
        <w:t xml:space="preserve">Dit betreft de decentralisatie-uitkering voor Bodemsanering aan gemeenten en provincies. Deze overboeking dient om het laatste jaar (2015) van het bodemconvenant uit te voeren. </w:t>
      </w:r>
    </w:p>
    <w:p w:rsidRPr="005E7EAC" w:rsidR="00BC55B4" w:rsidP="00BC55B4" w:rsidRDefault="00BC55B4">
      <w:pPr>
        <w:spacing w:line="240" w:lineRule="exact"/>
        <w:rPr>
          <w:rFonts w:ascii="Verdana" w:hAnsi="Verdana"/>
          <w:sz w:val="18"/>
          <w:szCs w:val="18"/>
        </w:rPr>
      </w:pPr>
    </w:p>
    <w:p w:rsidRPr="005E7EAC" w:rsidR="00BC55B4" w:rsidP="00BC55B4" w:rsidRDefault="00BC55B4">
      <w:pPr>
        <w:spacing w:line="240" w:lineRule="exact"/>
        <w:rPr>
          <w:rFonts w:ascii="Verdana" w:hAnsi="Verdana"/>
          <w:i/>
          <w:sz w:val="18"/>
          <w:szCs w:val="18"/>
        </w:rPr>
      </w:pPr>
      <w:r w:rsidRPr="005E7EAC">
        <w:rPr>
          <w:rFonts w:ascii="Verdana" w:hAnsi="Verdana"/>
          <w:i/>
          <w:sz w:val="18"/>
          <w:szCs w:val="18"/>
        </w:rPr>
        <w:t>Diversen (Technische mutaties)</w:t>
      </w:r>
    </w:p>
    <w:p w:rsidRPr="005E7EAC" w:rsidR="00BC55B4" w:rsidP="00BC55B4" w:rsidRDefault="00BC55B4">
      <w:pPr>
        <w:spacing w:line="240" w:lineRule="exact"/>
        <w:rPr>
          <w:rFonts w:ascii="Verdana" w:hAnsi="Verdana" w:cs="Univers"/>
          <w:sz w:val="18"/>
          <w:szCs w:val="18"/>
        </w:rPr>
      </w:pPr>
      <w:r w:rsidRPr="005E7EAC">
        <w:rPr>
          <w:rFonts w:ascii="Verdana" w:hAnsi="Verdana" w:cs="Univers"/>
          <w:sz w:val="18"/>
          <w:szCs w:val="18"/>
        </w:rPr>
        <w:t xml:space="preserve">Dit betreft overboekingen van en naar andere departementen en de loon- en prijsbijstelling. Daarnaast hebben er enkele desalderingen plaatsgevonden. </w:t>
      </w:r>
    </w:p>
    <w:p w:rsidRPr="005E7EAC" w:rsidR="00BC55B4" w:rsidP="00BC55B4" w:rsidRDefault="00BC55B4">
      <w:pPr>
        <w:spacing w:line="240" w:lineRule="exact"/>
        <w:rPr>
          <w:rFonts w:ascii="Verdana" w:hAnsi="Verdana" w:cs="Univers"/>
          <w:sz w:val="18"/>
          <w:szCs w:val="18"/>
        </w:rPr>
      </w:pPr>
    </w:p>
    <w:p w:rsidRPr="005E7EAC" w:rsidR="00BC55B4" w:rsidP="00BC55B4" w:rsidRDefault="00BC55B4">
      <w:pPr>
        <w:spacing w:line="240" w:lineRule="exact"/>
        <w:rPr>
          <w:rFonts w:ascii="Verdana" w:hAnsi="Verdana" w:cs="Univers"/>
          <w:sz w:val="18"/>
          <w:szCs w:val="18"/>
        </w:rPr>
      </w:pPr>
      <w:r w:rsidRPr="005E7EAC">
        <w:rPr>
          <w:rFonts w:ascii="Verdana" w:hAnsi="Verdana" w:cs="Univers"/>
          <w:sz w:val="18"/>
          <w:szCs w:val="18"/>
        </w:rPr>
        <w:t>De belangrijkste overboekingen zijn:</w:t>
      </w:r>
    </w:p>
    <w:p w:rsidRPr="005E7EAC" w:rsidR="00BC55B4" w:rsidP="0010178E" w:rsidRDefault="00BC55B4">
      <w:pPr>
        <w:pStyle w:val="Lijstalinea"/>
        <w:numPr>
          <w:ilvl w:val="0"/>
          <w:numId w:val="1"/>
        </w:numPr>
        <w:spacing w:line="240" w:lineRule="exact"/>
        <w:ind w:left="360"/>
        <w:rPr>
          <w:rFonts w:ascii="Verdana" w:hAnsi="Verdana" w:eastAsia="Times New Roman" w:cs="Univers"/>
          <w:sz w:val="18"/>
          <w:szCs w:val="18"/>
        </w:rPr>
      </w:pPr>
      <w:r w:rsidRPr="005E7EAC">
        <w:rPr>
          <w:rFonts w:ascii="Verdana" w:hAnsi="Verdana" w:eastAsia="Times New Roman" w:cs="Univers"/>
          <w:sz w:val="18"/>
          <w:szCs w:val="18"/>
        </w:rPr>
        <w:t>ANVS</w:t>
      </w:r>
      <w:r w:rsidRPr="005E7EAC" w:rsidR="0010178E">
        <w:rPr>
          <w:rFonts w:ascii="Verdana" w:hAnsi="Verdana" w:eastAsia="Times New Roman" w:cs="Univers"/>
          <w:sz w:val="18"/>
          <w:szCs w:val="18"/>
        </w:rPr>
        <w:t xml:space="preserve">: </w:t>
      </w:r>
      <w:r w:rsidRPr="005E7EAC">
        <w:rPr>
          <w:rFonts w:ascii="Verdana" w:hAnsi="Verdana" w:eastAsia="Times New Roman" w:cs="Univers"/>
          <w:sz w:val="18"/>
          <w:szCs w:val="18"/>
        </w:rPr>
        <w:t xml:space="preserve">De expertise op het gebied van nucleaire veiligheid en stralingsbescherming bij IenM (ILT/KFD) en EZ (RVO/stralingslab, NIV) zijn samengevoegd tot één onafhankelijke Organisatie genaamd Autoriteit Nucleaire Veiligheid en Stralingsbescherming (ANVS). Per 1 mei 2015 heeft EZ de verantwoordelijkheid voor nucleaire veiligheid overgedragen aan IenM. Het ambtelijk personeel is reeds per 1 januari 2015 aan IenM overgedragen. </w:t>
      </w:r>
    </w:p>
    <w:p w:rsidRPr="005E7EAC" w:rsidR="00BC55B4" w:rsidP="0010178E" w:rsidRDefault="0010178E">
      <w:pPr>
        <w:pStyle w:val="Lijstalinea"/>
        <w:numPr>
          <w:ilvl w:val="0"/>
          <w:numId w:val="1"/>
        </w:numPr>
        <w:spacing w:line="240" w:lineRule="exact"/>
        <w:ind w:left="360"/>
        <w:rPr>
          <w:rFonts w:ascii="Verdana" w:hAnsi="Verdana"/>
          <w:iCs/>
          <w:sz w:val="18"/>
          <w:szCs w:val="18"/>
        </w:rPr>
      </w:pPr>
      <w:r w:rsidRPr="005E7EAC">
        <w:rPr>
          <w:rFonts w:ascii="Verdana" w:hAnsi="Verdana" w:eastAsia="Times New Roman" w:cs="Univers"/>
          <w:sz w:val="18"/>
          <w:szCs w:val="18"/>
        </w:rPr>
        <w:t xml:space="preserve">Financiering GDI: </w:t>
      </w:r>
      <w:r w:rsidRPr="005E7EAC" w:rsidR="00BC55B4">
        <w:rPr>
          <w:rFonts w:ascii="Verdana" w:hAnsi="Verdana"/>
          <w:iCs/>
          <w:sz w:val="18"/>
          <w:szCs w:val="18"/>
        </w:rPr>
        <w:t>Dit betreft een bijdrage aan de voorzieningen binnen de generieke digitale infrastructuur (GDI). Deze middelen zijn op de Aanvullende Post geplaatst.</w:t>
      </w:r>
    </w:p>
    <w:p w:rsidRPr="005E7EAC" w:rsidR="00BC55B4" w:rsidP="0010178E" w:rsidRDefault="00BC55B4">
      <w:pPr>
        <w:pStyle w:val="Lijstalinea"/>
        <w:numPr>
          <w:ilvl w:val="0"/>
          <w:numId w:val="1"/>
        </w:numPr>
        <w:autoSpaceDE w:val="0"/>
        <w:autoSpaceDN w:val="0"/>
        <w:adjustRightInd w:val="0"/>
        <w:spacing w:line="240" w:lineRule="exact"/>
        <w:ind w:left="360"/>
        <w:rPr>
          <w:rFonts w:ascii="Verdana" w:hAnsi="Verdana" w:eastAsia="Times New Roman" w:cs="Univers"/>
          <w:sz w:val="18"/>
          <w:szCs w:val="18"/>
        </w:rPr>
      </w:pPr>
      <w:r w:rsidRPr="005E7EAC">
        <w:rPr>
          <w:rFonts w:ascii="Verdana" w:hAnsi="Verdana" w:eastAsia="Times New Roman" w:cs="Univers"/>
          <w:sz w:val="18"/>
          <w:szCs w:val="18"/>
        </w:rPr>
        <w:t>SAR-Defensie</w:t>
      </w:r>
      <w:r w:rsidRPr="005E7EAC" w:rsidR="0010178E">
        <w:rPr>
          <w:rFonts w:ascii="Verdana" w:hAnsi="Verdana" w:eastAsia="Times New Roman" w:cs="Univers"/>
          <w:sz w:val="18"/>
          <w:szCs w:val="18"/>
        </w:rPr>
        <w:t xml:space="preserve">: </w:t>
      </w:r>
      <w:r w:rsidRPr="005E7EAC">
        <w:rPr>
          <w:rFonts w:ascii="Verdana" w:hAnsi="Verdana" w:eastAsia="Times New Roman" w:cs="Univers"/>
          <w:sz w:val="18"/>
          <w:szCs w:val="18"/>
        </w:rPr>
        <w:t>Dit betreft de bijdrage van Defensie in het Search and Rescue (SAR)-contract.</w:t>
      </w:r>
    </w:p>
    <w:p w:rsidRPr="005E7EAC" w:rsidR="00BC55B4" w:rsidP="00BC55B4" w:rsidRDefault="00BC55B4">
      <w:pPr>
        <w:autoSpaceDE w:val="0"/>
        <w:autoSpaceDN w:val="0"/>
        <w:adjustRightInd w:val="0"/>
        <w:spacing w:line="240" w:lineRule="exact"/>
        <w:rPr>
          <w:rFonts w:ascii="Verdana" w:hAnsi="Verdana" w:cs="Univers"/>
          <w:sz w:val="18"/>
          <w:szCs w:val="18"/>
        </w:rPr>
      </w:pPr>
    </w:p>
    <w:p w:rsidRPr="005E7EAC" w:rsidR="00BC55B4" w:rsidP="00BC55B4" w:rsidRDefault="00BC55B4">
      <w:pPr>
        <w:autoSpaceDE w:val="0"/>
        <w:autoSpaceDN w:val="0"/>
        <w:adjustRightInd w:val="0"/>
        <w:spacing w:line="240" w:lineRule="exact"/>
        <w:rPr>
          <w:rFonts w:ascii="Verdana" w:hAnsi="Verdana"/>
          <w:i/>
          <w:sz w:val="18"/>
          <w:szCs w:val="18"/>
        </w:rPr>
      </w:pPr>
      <w:r w:rsidRPr="005E7EAC">
        <w:rPr>
          <w:rFonts w:ascii="Verdana" w:hAnsi="Verdana"/>
          <w:i/>
          <w:sz w:val="18"/>
          <w:szCs w:val="18"/>
        </w:rPr>
        <w:t>Diversen (Technische mutaties, Niet-belastingontvangsten)</w:t>
      </w:r>
    </w:p>
    <w:p w:rsidRPr="005E7EAC" w:rsidR="00BC55B4" w:rsidP="00BC55B4" w:rsidRDefault="00BC55B4">
      <w:pPr>
        <w:spacing w:line="240" w:lineRule="exact"/>
        <w:rPr>
          <w:rFonts w:ascii="Verdana" w:hAnsi="Verdana" w:cs="Univers"/>
          <w:sz w:val="18"/>
          <w:szCs w:val="18"/>
        </w:rPr>
      </w:pPr>
      <w:r w:rsidRPr="005E7EAC">
        <w:rPr>
          <w:rFonts w:ascii="Verdana" w:hAnsi="Verdana" w:cs="Univers"/>
          <w:sz w:val="18"/>
          <w:szCs w:val="18"/>
        </w:rPr>
        <w:t xml:space="preserve">Dit betreft de volgende desalderingen:  </w:t>
      </w:r>
    </w:p>
    <w:p w:rsidRPr="005E7EAC" w:rsidR="00BC55B4" w:rsidP="00BC55B4" w:rsidRDefault="00BC55B4">
      <w:pPr>
        <w:pStyle w:val="Lijstalinea"/>
        <w:numPr>
          <w:ilvl w:val="0"/>
          <w:numId w:val="1"/>
        </w:numPr>
        <w:spacing w:line="240" w:lineRule="exact"/>
        <w:ind w:left="360"/>
        <w:rPr>
          <w:rFonts w:ascii="Verdana" w:hAnsi="Verdana" w:eastAsia="Times New Roman" w:cs="Univers"/>
          <w:sz w:val="18"/>
          <w:szCs w:val="18"/>
        </w:rPr>
      </w:pPr>
      <w:r w:rsidRPr="005E7EAC">
        <w:rPr>
          <w:rFonts w:ascii="Verdana" w:hAnsi="Verdana" w:eastAsia="Times New Roman" w:cs="Univers"/>
          <w:sz w:val="18"/>
          <w:szCs w:val="18"/>
        </w:rPr>
        <w:t>Centrale uitgaven bedrijfsvoering</w:t>
      </w:r>
      <w:r w:rsidRPr="005E7EAC" w:rsidR="0010178E">
        <w:rPr>
          <w:rFonts w:ascii="Verdana" w:hAnsi="Verdana" w:eastAsia="Times New Roman" w:cs="Univers"/>
          <w:sz w:val="18"/>
          <w:szCs w:val="18"/>
        </w:rPr>
        <w:t xml:space="preserve">: </w:t>
      </w:r>
      <w:r w:rsidRPr="005E7EAC">
        <w:rPr>
          <w:rFonts w:ascii="Verdana" w:hAnsi="Verdana" w:eastAsia="Times New Roman" w:cs="Univers"/>
          <w:sz w:val="18"/>
          <w:szCs w:val="18"/>
        </w:rPr>
        <w:t>Het betreft de interne verrekening van centraal betaalde ICT en facilitaire dienstverlening.</w:t>
      </w:r>
    </w:p>
    <w:p w:rsidRPr="005E7EAC" w:rsidR="00BC55B4" w:rsidP="00BC55B4" w:rsidRDefault="00BC55B4">
      <w:pPr>
        <w:pStyle w:val="Lijstalinea"/>
        <w:numPr>
          <w:ilvl w:val="0"/>
          <w:numId w:val="1"/>
        </w:numPr>
        <w:spacing w:line="240" w:lineRule="exact"/>
        <w:ind w:left="360"/>
        <w:rPr>
          <w:rFonts w:ascii="Verdana" w:hAnsi="Verdana" w:eastAsia="Times New Roman" w:cs="Univers"/>
          <w:sz w:val="18"/>
          <w:szCs w:val="18"/>
        </w:rPr>
      </w:pPr>
      <w:r w:rsidRPr="005E7EAC">
        <w:rPr>
          <w:rFonts w:ascii="Verdana" w:hAnsi="Verdana" w:eastAsia="Times New Roman" w:cs="Univers"/>
          <w:sz w:val="18"/>
          <w:szCs w:val="18"/>
        </w:rPr>
        <w:t>Desaldering asbestwegen</w:t>
      </w:r>
      <w:r w:rsidRPr="005E7EAC" w:rsidR="0010178E">
        <w:rPr>
          <w:rFonts w:ascii="Verdana" w:hAnsi="Verdana" w:eastAsia="Times New Roman" w:cs="Univers"/>
          <w:sz w:val="18"/>
          <w:szCs w:val="18"/>
        </w:rPr>
        <w:t xml:space="preserve">: </w:t>
      </w:r>
      <w:r w:rsidRPr="005E7EAC">
        <w:rPr>
          <w:rFonts w:ascii="Verdana" w:hAnsi="Verdana" w:eastAsia="Times New Roman" w:cs="Univers"/>
          <w:sz w:val="18"/>
          <w:szCs w:val="18"/>
        </w:rPr>
        <w:t>Dit betreft een verhoging van het budget ten behoeve van de afrekening van het project Saneringsregeling Asbestwegen (derde fase). De afwikkeling omvat met name de arbitrages met BAM en voor de dekking voor de met AKZO af te sluiten Safety Deals.</w:t>
      </w:r>
    </w:p>
    <w:p w:rsidRPr="005E7EAC" w:rsidR="00BC55B4" w:rsidP="00BC55B4" w:rsidRDefault="00BC55B4">
      <w:pPr>
        <w:pStyle w:val="Lijstalinea"/>
        <w:numPr>
          <w:ilvl w:val="0"/>
          <w:numId w:val="1"/>
        </w:numPr>
        <w:spacing w:line="240" w:lineRule="exact"/>
        <w:ind w:left="360"/>
        <w:rPr>
          <w:rFonts w:ascii="Verdana" w:hAnsi="Verdana" w:eastAsia="Times New Roman" w:cs="Univers"/>
          <w:sz w:val="18"/>
          <w:szCs w:val="18"/>
        </w:rPr>
      </w:pPr>
      <w:r w:rsidRPr="005E7EAC">
        <w:rPr>
          <w:rFonts w:ascii="Verdana" w:hAnsi="Verdana" w:eastAsia="Times New Roman" w:cs="Univers"/>
          <w:sz w:val="18"/>
          <w:szCs w:val="18"/>
        </w:rPr>
        <w:t>Desaldering basisregistraties</w:t>
      </w:r>
      <w:r w:rsidRPr="005E7EAC" w:rsidR="0010178E">
        <w:rPr>
          <w:rFonts w:ascii="Verdana" w:hAnsi="Verdana" w:eastAsia="Times New Roman" w:cs="Univers"/>
          <w:sz w:val="18"/>
          <w:szCs w:val="18"/>
        </w:rPr>
        <w:t xml:space="preserve">: </w:t>
      </w:r>
      <w:r w:rsidRPr="005E7EAC">
        <w:rPr>
          <w:rFonts w:ascii="Verdana" w:hAnsi="Verdana" w:eastAsia="Times New Roman" w:cs="Univers"/>
          <w:sz w:val="18"/>
          <w:szCs w:val="18"/>
        </w:rPr>
        <w:t>De Unie van Waterschappen draagt bij aan de kosten van de opdrachtverstrekking aan het Kadaster voor Basisregistraties. Voor het innen van de gelden is een vordering vastgelegd. Op basis van de ontvangst wordt een aanvullende opdracht verstrekt aan het Kadaster. Hiervoor dient het uitgavenbudget voor het BRK (Basisregistraties Kadaster) te worden opgehoogd.</w:t>
      </w:r>
    </w:p>
    <w:p w:rsidRPr="005E7EAC" w:rsidR="00BC55B4" w:rsidP="00BC55B4" w:rsidRDefault="00BC55B4">
      <w:pPr>
        <w:pStyle w:val="Lijstalinea"/>
        <w:numPr>
          <w:ilvl w:val="0"/>
          <w:numId w:val="1"/>
        </w:numPr>
        <w:spacing w:line="240" w:lineRule="exact"/>
        <w:ind w:left="360"/>
        <w:rPr>
          <w:rFonts w:ascii="Verdana" w:hAnsi="Verdana" w:eastAsia="Times New Roman" w:cs="Univers"/>
          <w:sz w:val="18"/>
          <w:szCs w:val="18"/>
        </w:rPr>
      </w:pPr>
      <w:r w:rsidRPr="005E7EAC">
        <w:rPr>
          <w:rFonts w:ascii="Verdana" w:hAnsi="Verdana" w:eastAsia="Times New Roman" w:cs="Univers"/>
          <w:sz w:val="18"/>
          <w:szCs w:val="18"/>
        </w:rPr>
        <w:t>Desaldering NANoREG</w:t>
      </w:r>
      <w:r w:rsidRPr="005E7EAC" w:rsidR="0010178E">
        <w:rPr>
          <w:rFonts w:ascii="Verdana" w:hAnsi="Verdana" w:eastAsia="Times New Roman" w:cs="Univers"/>
          <w:sz w:val="18"/>
          <w:szCs w:val="18"/>
        </w:rPr>
        <w:t xml:space="preserve">: </w:t>
      </w:r>
      <w:r w:rsidRPr="005E7EAC">
        <w:rPr>
          <w:rFonts w:ascii="Verdana" w:hAnsi="Verdana" w:eastAsia="Times New Roman" w:cs="Univers"/>
          <w:sz w:val="18"/>
          <w:szCs w:val="18"/>
        </w:rPr>
        <w:t>IenM ontvangt van de Europese Commissie (EC) middelen ten behoeve van de coördinatie van het EU-programma NANoREG. De uitvoering van dit project is ondergebracht bij het projectbureau NANoREG ondersteund/gefaciliteerd door het RIVM.</w:t>
      </w:r>
    </w:p>
    <w:p w:rsidRPr="005E7EAC" w:rsidR="00BC55B4" w:rsidP="00BC55B4" w:rsidRDefault="00BC55B4">
      <w:pPr>
        <w:pStyle w:val="Lijstalinea"/>
        <w:numPr>
          <w:ilvl w:val="0"/>
          <w:numId w:val="1"/>
        </w:numPr>
        <w:spacing w:line="240" w:lineRule="exact"/>
        <w:ind w:left="360"/>
        <w:rPr>
          <w:rFonts w:ascii="Verdana" w:hAnsi="Verdana" w:eastAsia="Times New Roman" w:cs="Univers"/>
          <w:sz w:val="18"/>
          <w:szCs w:val="18"/>
        </w:rPr>
      </w:pPr>
      <w:r w:rsidRPr="005E7EAC">
        <w:rPr>
          <w:rFonts w:ascii="Verdana" w:hAnsi="Verdana" w:eastAsia="Times New Roman" w:cs="Univers"/>
          <w:sz w:val="18"/>
          <w:szCs w:val="18"/>
        </w:rPr>
        <w:t>Desaldering prosafe</w:t>
      </w:r>
      <w:r w:rsidRPr="005E7EAC" w:rsidR="0010178E">
        <w:rPr>
          <w:rFonts w:ascii="Verdana" w:hAnsi="Verdana" w:eastAsia="Times New Roman" w:cs="Univers"/>
          <w:sz w:val="18"/>
          <w:szCs w:val="18"/>
        </w:rPr>
        <w:t xml:space="preserve">: </w:t>
      </w:r>
      <w:r w:rsidRPr="005E7EAC">
        <w:rPr>
          <w:rFonts w:ascii="Verdana" w:hAnsi="Verdana" w:eastAsia="Times New Roman" w:cs="Univers"/>
          <w:sz w:val="18"/>
          <w:szCs w:val="18"/>
        </w:rPr>
        <w:t>IenM ontvangt van de Europese Commissie (EC) middelen ten behoeve van de coördinatie van het EU-project PROSAFE.</w:t>
      </w:r>
    </w:p>
    <w:p w:rsidRPr="005E7EAC" w:rsidR="00AA2967" w:rsidP="00AA2967" w:rsidRDefault="00AA2967">
      <w:pPr>
        <w:spacing w:line="240" w:lineRule="exact"/>
        <w:rPr>
          <w:szCs w:val="18"/>
        </w:rPr>
      </w:pPr>
    </w:p>
    <w:p w:rsidRPr="005E7EAC" w:rsidR="00AA2967" w:rsidP="00AA2967" w:rsidRDefault="00AA2967">
      <w:pPr>
        <w:spacing w:line="240" w:lineRule="exact"/>
        <w:rPr>
          <w:szCs w:val="18"/>
        </w:rPr>
      </w:pPr>
    </w:p>
    <w:p w:rsidRPr="005E7EAC" w:rsidR="00AA2967" w:rsidP="00AA2967" w:rsidRDefault="00AA2967">
      <w:pPr>
        <w:spacing w:line="240" w:lineRule="exact"/>
        <w:rPr>
          <w:szCs w:val="18"/>
        </w:rPr>
      </w:pPr>
    </w:p>
    <w:p w:rsidRPr="005E7EAC" w:rsidR="00AA2967" w:rsidP="00AA2967" w:rsidRDefault="00AA2967">
      <w:pPr>
        <w:spacing w:line="240" w:lineRule="exact"/>
        <w:rPr>
          <w:szCs w:val="18"/>
        </w:rPr>
      </w:pPr>
    </w:p>
    <w:p w:rsidRPr="005E7EAC" w:rsidR="00AA2967" w:rsidP="00AA2967" w:rsidRDefault="00AA2967">
      <w:pPr>
        <w:spacing w:line="240" w:lineRule="exact"/>
        <w:rPr>
          <w:szCs w:val="18"/>
        </w:rPr>
      </w:pPr>
    </w:p>
    <w:p w:rsidRPr="005E7EAC" w:rsidR="00AA2967" w:rsidP="00AA2967" w:rsidRDefault="00AA2967">
      <w:pPr>
        <w:spacing w:line="240" w:lineRule="exact"/>
        <w:rPr>
          <w:szCs w:val="18"/>
        </w:rPr>
      </w:pPr>
    </w:p>
    <w:p w:rsidRPr="005E7EAC" w:rsidR="00AA2967" w:rsidP="00AA2967" w:rsidRDefault="00AA2967">
      <w:pPr>
        <w:spacing w:line="240" w:lineRule="exact"/>
        <w:rPr>
          <w:szCs w:val="18"/>
        </w:rPr>
      </w:pPr>
    </w:p>
    <w:p w:rsidRPr="005E7EAC" w:rsidR="00AA2967" w:rsidP="00AA2967" w:rsidRDefault="00AA2967">
      <w:pPr>
        <w:spacing w:line="240" w:lineRule="exact"/>
        <w:rPr>
          <w:szCs w:val="18"/>
        </w:rPr>
      </w:pPr>
    </w:p>
    <w:p w:rsidRPr="005E7EAC" w:rsidR="00E42437" w:rsidP="00E16284" w:rsidRDefault="00A15500">
      <w:pPr>
        <w:spacing w:line="276" w:lineRule="auto"/>
        <w:rPr>
          <w:rFonts w:ascii="Verdana" w:hAnsi="Verdana"/>
          <w:b/>
          <w:sz w:val="18"/>
          <w:szCs w:val="18"/>
        </w:rPr>
      </w:pPr>
      <w:r w:rsidRPr="005E7EAC">
        <w:rPr>
          <w:rFonts w:ascii="Verdana" w:hAnsi="Verdana"/>
          <w:b/>
          <w:sz w:val="18"/>
          <w:szCs w:val="18"/>
        </w:rPr>
        <w:br w:type="page"/>
      </w:r>
      <w:r w:rsidRPr="005E7EAC" w:rsidR="00A06108">
        <w:rPr>
          <w:rFonts w:ascii="Verdana" w:hAnsi="Verdana"/>
          <w:b/>
          <w:sz w:val="18"/>
          <w:szCs w:val="18"/>
        </w:rPr>
        <w:lastRenderedPageBreak/>
        <w:t xml:space="preserve">XIII </w:t>
      </w:r>
      <w:r w:rsidRPr="005E7EAC" w:rsidR="00457E12">
        <w:rPr>
          <w:rFonts w:ascii="Verdana" w:hAnsi="Verdana"/>
          <w:b/>
          <w:sz w:val="18"/>
          <w:szCs w:val="18"/>
        </w:rPr>
        <w:t>Economische Zaken</w:t>
      </w:r>
    </w:p>
    <w:p w:rsidRPr="005E7EAC" w:rsidR="009C17DA" w:rsidP="009C17DA" w:rsidRDefault="009C17DA">
      <w:pPr>
        <w:spacing w:line="240" w:lineRule="exact"/>
        <w:rPr>
          <w:rFonts w:ascii="Verdana" w:hAnsi="Verdana"/>
          <w:b/>
          <w:sz w:val="18"/>
          <w:szCs w:val="18"/>
        </w:rPr>
      </w:pPr>
    </w:p>
    <w:tbl>
      <w:tblPr>
        <w:tblW w:w="5000" w:type="pct"/>
        <w:tblCellMar>
          <w:left w:w="70" w:type="dxa"/>
          <w:right w:w="70" w:type="dxa"/>
        </w:tblCellMar>
        <w:tblLook w:val="04A0"/>
      </w:tblPr>
      <w:tblGrid>
        <w:gridCol w:w="4156"/>
        <w:gridCol w:w="1019"/>
        <w:gridCol w:w="1019"/>
        <w:gridCol w:w="980"/>
        <w:gridCol w:w="1019"/>
        <w:gridCol w:w="1019"/>
      </w:tblGrid>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UITGAVEN</w:t>
            </w: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32"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r>
      <w:tr w:rsidRPr="005E7EAC" w:rsidR="001B64DA" w:rsidTr="001B64DA">
        <w:trPr>
          <w:trHeight w:val="240"/>
        </w:trPr>
        <w:tc>
          <w:tcPr>
            <w:tcW w:w="2256"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 </w:t>
            </w:r>
          </w:p>
        </w:tc>
        <w:tc>
          <w:tcPr>
            <w:tcW w:w="553"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2015</w:t>
            </w:r>
          </w:p>
        </w:tc>
        <w:tc>
          <w:tcPr>
            <w:tcW w:w="553"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2016</w:t>
            </w:r>
          </w:p>
        </w:tc>
        <w:tc>
          <w:tcPr>
            <w:tcW w:w="532"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2017</w:t>
            </w:r>
          </w:p>
        </w:tc>
        <w:tc>
          <w:tcPr>
            <w:tcW w:w="553"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2018</w:t>
            </w:r>
          </w:p>
        </w:tc>
        <w:tc>
          <w:tcPr>
            <w:tcW w:w="553"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2019</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Stand Miljoenennota 2015 (excl. IS)</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4.817,3</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4.732,6</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4.723,7</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4.919,7</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5.467,7</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Beleidsmatige mutaties</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Dienst landelijk gebied</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-23,0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6,0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Ejm toekomstfonds</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162,7</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Ejm 2014</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18,6</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Groningen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16,0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35,0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35,0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33,0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31,0</w:t>
            </w:r>
          </w:p>
        </w:tc>
      </w:tr>
      <w:tr w:rsidRPr="005E7EAC" w:rsidR="001B64DA" w:rsidTr="001B64DA">
        <w:trPr>
          <w:trHeight w:val="450"/>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Horizontale schuif fundamenteel en toegepast onderzoek</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-25,0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25,0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Horizontale schuif innovatiekredieten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-28,6</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2,3</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6,4</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Niet-bestede ets-middelen 2014</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Ramingsbijstellingen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-41,0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-103,0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-95,0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-98,0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Rom</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34,0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Tegenvaller groen onderwijs</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31,0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29,0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15,0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21,0</w:t>
            </w: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31,0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12,5</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8,8</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11,0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13,0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169,7</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10,5</w:t>
            </w:r>
          </w:p>
        </w:tc>
        <w:tc>
          <w:tcPr>
            <w:tcW w:w="532"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-18,9</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-22,0</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-23,6</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Technische mutaties</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Fundamenteel onderzoek</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25,0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Provinciefonds/natuurmiddelen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-34,2</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-41,0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-41,0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-41,0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-41,0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Ramingsbijstellingen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77,0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77,0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73,0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78,0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57,9</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-11,9</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-11,1</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-8,4</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Krediet 2014 ecn/nrg</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30,2</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21,3</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9,2</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2,6</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2,6</w:t>
            </w: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12,9</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136,8</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70,4</w:t>
            </w:r>
          </w:p>
        </w:tc>
        <w:tc>
          <w:tcPr>
            <w:tcW w:w="532"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34,1</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25,6</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31,2</w:t>
            </w:r>
          </w:p>
        </w:tc>
      </w:tr>
      <w:tr w:rsidRPr="005E7EAC" w:rsidR="001B64DA" w:rsidTr="001B64DA">
        <w:trPr>
          <w:trHeight w:val="180"/>
        </w:trPr>
        <w:tc>
          <w:tcPr>
            <w:tcW w:w="2256"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306,4</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81,0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15,2</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3,7</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7,6</w:t>
            </w: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Stand Voorjaarsnota 2015 (subtotaal)</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5.123,6</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4.813,5</w:t>
            </w:r>
          </w:p>
        </w:tc>
        <w:tc>
          <w:tcPr>
            <w:tcW w:w="532"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4.738,9</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4.923,3</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5.475,3</w:t>
            </w: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Totaal Internationale samenwerking</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59,4</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47,9</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47,2</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46,3</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46,3</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Stand Voorjaarsnota 2015</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5.183,0</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4.861,5</w:t>
            </w:r>
          </w:p>
        </w:tc>
        <w:tc>
          <w:tcPr>
            <w:tcW w:w="532"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4.786,1</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4.969,6</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5.521,5</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32"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NIET-BELASTINGONTVANGSTEN</w:t>
            </w: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32"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r>
      <w:tr w:rsidRPr="005E7EAC" w:rsidR="001B64DA" w:rsidTr="001B64DA">
        <w:trPr>
          <w:trHeight w:val="240"/>
        </w:trPr>
        <w:tc>
          <w:tcPr>
            <w:tcW w:w="2256"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 </w:t>
            </w:r>
          </w:p>
        </w:tc>
        <w:tc>
          <w:tcPr>
            <w:tcW w:w="553"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2015</w:t>
            </w:r>
          </w:p>
        </w:tc>
        <w:tc>
          <w:tcPr>
            <w:tcW w:w="553"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2016</w:t>
            </w:r>
          </w:p>
        </w:tc>
        <w:tc>
          <w:tcPr>
            <w:tcW w:w="532"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2017</w:t>
            </w:r>
          </w:p>
        </w:tc>
        <w:tc>
          <w:tcPr>
            <w:tcW w:w="553"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2018</w:t>
            </w:r>
          </w:p>
        </w:tc>
        <w:tc>
          <w:tcPr>
            <w:tcW w:w="553" w:type="pct"/>
            <w:tcBorders>
              <w:top w:val="single" w:color="000000" w:sz="8" w:space="0"/>
              <w:left w:val="nil"/>
              <w:bottom w:val="single" w:color="000000" w:sz="8" w:space="0"/>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2019</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Stand Miljoenennota 2015 (excl. IS)</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10.168,5</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10.118,1</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9.898,9</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10.083,5</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10.573,7</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Beleidsmatige mutaties</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16,6</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12,5</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9,6</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11,8</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13,8</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16,6</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12,5</w:t>
            </w:r>
          </w:p>
        </w:tc>
        <w:tc>
          <w:tcPr>
            <w:tcW w:w="532"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9,6</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11,8</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13,8</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Technische mutaties</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Ramingsbijstelling</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20,0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77,0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77,0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73,0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78,0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57,8</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1,7</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1,7</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1,6</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1,5</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450"/>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Bijstelling aardgasbaten o.g.v. macrobriefje</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-1.300,0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-1.500,0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-1.300,0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-1.000,0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-1.050,0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Rom</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34,0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-15,8</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15,8</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-1.204,0</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-1.405,5</w:t>
            </w:r>
          </w:p>
        </w:tc>
        <w:tc>
          <w:tcPr>
            <w:tcW w:w="532"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-1.221,3</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-925,4</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-970,5</w:t>
            </w:r>
          </w:p>
        </w:tc>
      </w:tr>
      <w:tr w:rsidRPr="005E7EAC" w:rsidR="001B64DA" w:rsidTr="001B64DA">
        <w:trPr>
          <w:trHeight w:val="180"/>
        </w:trPr>
        <w:tc>
          <w:tcPr>
            <w:tcW w:w="2256"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-1.187,4</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-1.393,0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-1.211,7</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-913,6</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-956,7</w:t>
            </w: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32"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c>
          <w:tcPr>
            <w:tcW w:w="553" w:type="pct"/>
            <w:tcBorders>
              <w:top w:val="nil"/>
              <w:left w:val="nil"/>
              <w:bottom w:val="nil"/>
              <w:right w:val="nil"/>
            </w:tcBorders>
            <w:shd w:val="clear" w:color="auto" w:fill="auto"/>
            <w:noWrap/>
            <w:vAlign w:val="bottom"/>
            <w:hideMark/>
          </w:tcPr>
          <w:p w:rsidRPr="005E7EAC" w:rsidR="001B64DA" w:rsidP="001B64DA" w:rsidRDefault="001B64DA">
            <w:pPr>
              <w:rPr>
                <w:rFonts w:ascii="Verdana" w:hAnsi="Verdana"/>
                <w:color w:val="000000"/>
                <w:sz w:val="14"/>
                <w:szCs w:val="14"/>
              </w:rPr>
            </w:pP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Stand Voorjaarsnota 2015 (subtotaal)</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8.981,1</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8.725,2</w:t>
            </w:r>
          </w:p>
        </w:tc>
        <w:tc>
          <w:tcPr>
            <w:tcW w:w="532"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8.687,2</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9.169,9</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9.617,0</w:t>
            </w:r>
          </w:p>
        </w:tc>
      </w:tr>
      <w:tr w:rsidRPr="005E7EAC" w:rsidR="001B64DA" w:rsidTr="001B64DA">
        <w:trPr>
          <w:trHeight w:val="240"/>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Totaal Internationale samenwerking</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0,4</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32"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c>
          <w:tcPr>
            <w:tcW w:w="553" w:type="pct"/>
            <w:tcBorders>
              <w:top w:val="nil"/>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0,0</w:t>
            </w:r>
          </w:p>
        </w:tc>
      </w:tr>
      <w:tr w:rsidRPr="005E7EAC" w:rsidR="001B64DA" w:rsidTr="001B64DA">
        <w:trPr>
          <w:trHeight w:val="225"/>
        </w:trPr>
        <w:tc>
          <w:tcPr>
            <w:tcW w:w="2256" w:type="pct"/>
            <w:tcBorders>
              <w:top w:val="nil"/>
              <w:left w:val="nil"/>
              <w:bottom w:val="nil"/>
              <w:right w:val="nil"/>
            </w:tcBorders>
            <w:shd w:val="clear" w:color="auto" w:fill="auto"/>
            <w:hideMark/>
          </w:tcPr>
          <w:p w:rsidRPr="005E7EAC" w:rsidR="001B64DA" w:rsidP="001B64DA" w:rsidRDefault="001B64DA">
            <w:pPr>
              <w:rPr>
                <w:rFonts w:ascii="Verdana" w:hAnsi="Verdana"/>
                <w:color w:val="000000"/>
                <w:sz w:val="18"/>
                <w:szCs w:val="18"/>
              </w:rPr>
            </w:pPr>
            <w:r w:rsidRPr="005E7EAC">
              <w:rPr>
                <w:rFonts w:ascii="Verdana" w:hAnsi="Verdana"/>
                <w:color w:val="000000"/>
                <w:sz w:val="18"/>
                <w:szCs w:val="18"/>
              </w:rPr>
              <w:t>Stand Voorjaarsnota 2015</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8.981,4</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8.725,2</w:t>
            </w:r>
          </w:p>
        </w:tc>
        <w:tc>
          <w:tcPr>
            <w:tcW w:w="532"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8.687,2</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9.169,9</w:t>
            </w:r>
          </w:p>
        </w:tc>
        <w:tc>
          <w:tcPr>
            <w:tcW w:w="553" w:type="pct"/>
            <w:tcBorders>
              <w:top w:val="single" w:color="000000" w:sz="8" w:space="0"/>
              <w:left w:val="nil"/>
              <w:bottom w:val="nil"/>
              <w:right w:val="nil"/>
            </w:tcBorders>
            <w:shd w:val="clear" w:color="auto" w:fill="auto"/>
            <w:hideMark/>
          </w:tcPr>
          <w:p w:rsidRPr="005E7EAC" w:rsidR="001B64DA" w:rsidP="001B64DA" w:rsidRDefault="001B64DA">
            <w:pPr>
              <w:jc w:val="right"/>
              <w:rPr>
                <w:rFonts w:ascii="Verdana" w:hAnsi="Verdana"/>
                <w:color w:val="000000"/>
                <w:sz w:val="18"/>
                <w:szCs w:val="18"/>
              </w:rPr>
            </w:pPr>
            <w:r w:rsidRPr="005E7EAC">
              <w:rPr>
                <w:rFonts w:ascii="Verdana" w:hAnsi="Verdana"/>
                <w:color w:val="000000"/>
                <w:sz w:val="18"/>
                <w:szCs w:val="18"/>
              </w:rPr>
              <w:t>9.617,0</w:t>
            </w:r>
          </w:p>
        </w:tc>
      </w:tr>
    </w:tbl>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lastRenderedPageBreak/>
        <w:t>Dienst Landelijk Gebied (DLG)</w:t>
      </w:r>
    </w:p>
    <w:p w:rsidRPr="005E7EAC" w:rsidR="001B64DA" w:rsidP="001B64DA" w:rsidRDefault="001B64DA">
      <w:pPr>
        <w:spacing w:line="240" w:lineRule="exact"/>
        <w:rPr>
          <w:rFonts w:ascii="Verdana" w:hAnsi="Verdana"/>
          <w:sz w:val="18"/>
          <w:szCs w:val="18"/>
        </w:rPr>
      </w:pPr>
      <w:r w:rsidRPr="005E7EAC">
        <w:rPr>
          <w:rFonts w:ascii="Verdana" w:hAnsi="Verdana"/>
          <w:sz w:val="18"/>
          <w:szCs w:val="18"/>
        </w:rPr>
        <w:t xml:space="preserve">Met deze mutatie worden de middelen van de eindbalans van DLG aangesloten bij de uitgaven voor de zogenaamde Van Werk Naar Werk (VWNW) kandidaten. </w:t>
      </w:r>
    </w:p>
    <w:p w:rsidRPr="005E7EAC" w:rsidR="001B64DA" w:rsidP="001B64DA" w:rsidRDefault="001B64DA">
      <w:pPr>
        <w:spacing w:line="240" w:lineRule="exact"/>
        <w:rPr>
          <w:rFonts w:ascii="Verdana" w:hAnsi="Verdana" w:eastAsia="Verdana"/>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EJM 2014</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 xml:space="preserve">De mutatie betreft een deel van de reguliere eindejaarsmarge (EJM) van EZ (de totale EJM bedraagt 32,8 mln.). </w:t>
      </w:r>
    </w:p>
    <w:p w:rsidRPr="005E7EAC" w:rsidR="001B64DA" w:rsidP="001B64DA" w:rsidRDefault="001B64DA">
      <w:pPr>
        <w:spacing w:line="240" w:lineRule="exact"/>
        <w:rPr>
          <w:rFonts w:ascii="Verdana" w:hAnsi="Verdana" w:eastAsia="Verdana"/>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EJM toekomstfonds</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De niet bestede middelen uit het Toekomstfonds van 2014 worden doorgeschoven naar 2015.</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pStyle w:val="Geenafstand"/>
        <w:spacing w:line="240" w:lineRule="exact"/>
        <w:rPr>
          <w:rFonts w:eastAsia="Verdana"/>
          <w:i/>
          <w:szCs w:val="18"/>
        </w:rPr>
      </w:pPr>
      <w:r w:rsidRPr="005E7EAC">
        <w:rPr>
          <w:rFonts w:eastAsia="Verdana"/>
          <w:i/>
          <w:szCs w:val="18"/>
        </w:rPr>
        <w:t>Groningen</w:t>
      </w:r>
    </w:p>
    <w:p w:rsidRPr="005E7EAC" w:rsidR="001B64DA" w:rsidP="001B64DA" w:rsidRDefault="001B64DA">
      <w:pPr>
        <w:pStyle w:val="Geenafstand"/>
        <w:spacing w:line="240" w:lineRule="exact"/>
        <w:rPr>
          <w:rFonts w:eastAsia="Verdana"/>
          <w:szCs w:val="18"/>
        </w:rPr>
      </w:pPr>
      <w:r w:rsidRPr="005E7EAC">
        <w:rPr>
          <w:rFonts w:eastAsia="Verdana"/>
          <w:szCs w:val="18"/>
        </w:rPr>
        <w:t xml:space="preserve">Deze post omvat de uitbreiding van de EZ organisatie ter oprichting van de overheidsdienst Groningen, de versterking van SODM en de energiedirecties. Daarnaast zijn de middelen bedoeld voor de financiering van bodemonderzoeken. Dit naar aanleiding van de besluiten in de Kamerbrief van 9 februari jl. over de instelling van de nationaal coördinator Groningen. </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Horizontale schuif fundamenteel en toegepast onderzoek</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 xml:space="preserve">Om de middelen aan te laten sluiten op het kasritme vindt er een kasschuif plaats binnen het Toekomstfonds. </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Horizontale schuif innovatiekredieten</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 xml:space="preserve">Om de middelen aan te laten sluiten op het kasritme vindt er een kasschuif plaats binnen het Toekomstfonds. </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Niet bestede ets middelen 2014</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 xml:space="preserve">De niet bestede ETS middelen van 2014 worden toegevoegd aan de begroting 2015. </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Ramingsbijstellingen (beleidsmatige en technische mutaties)</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 xml:space="preserve">In deze mutatie is de dekking van de verschillende tegenvallers en intensiveringen verwerkt. Er wordt geïntensiveerd in de overheidsdienst Groningen. Daarnaast worden tegenvallers binnen het groen onderwijs opgelost. De dekking hiervoor komt uit de TKI toeslag, ETS compensatiemiddelen en een kasschuif bij duurzame energie. </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pStyle w:val="Geenafstand"/>
        <w:spacing w:line="240" w:lineRule="exact"/>
        <w:rPr>
          <w:rFonts w:eastAsia="Verdana"/>
          <w:i/>
          <w:szCs w:val="18"/>
        </w:rPr>
      </w:pPr>
      <w:r w:rsidRPr="005E7EAC">
        <w:rPr>
          <w:rFonts w:eastAsia="Verdana"/>
          <w:i/>
          <w:szCs w:val="18"/>
        </w:rPr>
        <w:t>Regionale ontwikkelingsmaatschappijen (ROM’s)</w:t>
      </w:r>
    </w:p>
    <w:p w:rsidRPr="005E7EAC" w:rsidR="00A703ED" w:rsidP="00A703ED" w:rsidRDefault="00A703ED">
      <w:pPr>
        <w:spacing w:line="240" w:lineRule="exact"/>
        <w:rPr>
          <w:rFonts w:ascii="Verdana" w:hAnsi="Verdana"/>
          <w:sz w:val="18"/>
          <w:szCs w:val="18"/>
        </w:rPr>
      </w:pPr>
      <w:r w:rsidRPr="005E7EAC">
        <w:rPr>
          <w:rFonts w:ascii="Verdana" w:hAnsi="Verdana" w:eastAsia="Verdana"/>
          <w:sz w:val="18"/>
          <w:szCs w:val="18"/>
          <w:lang w:eastAsia="en-US"/>
        </w:rPr>
        <w:t>Het voornemen is een deel van het aandelenpakket LIOF (</w:t>
      </w:r>
      <w:r w:rsidRPr="005E7EAC">
        <w:rPr>
          <w:rFonts w:ascii="Verdana" w:hAnsi="Verdana" w:eastAsia="Verdana"/>
          <w:bCs/>
          <w:sz w:val="18"/>
          <w:szCs w:val="18"/>
          <w:lang w:eastAsia="en-US"/>
        </w:rPr>
        <w:t xml:space="preserve">Limburgse ontwikkelings- en investeringsmaatschappij) </w:t>
      </w:r>
      <w:r w:rsidRPr="005E7EAC">
        <w:rPr>
          <w:rFonts w:ascii="Verdana" w:hAnsi="Verdana" w:eastAsia="Verdana"/>
          <w:sz w:val="18"/>
          <w:szCs w:val="18"/>
          <w:lang w:eastAsia="en-US"/>
        </w:rPr>
        <w:t>te verkopen voor een bedrag van 34 mln. De opbrengst hiervan blijft beschikbaar binnen het Toekomstfonds voor eventuele kapitaalstortingen in de ROM’s.</w:t>
      </w:r>
      <w:r w:rsidRPr="005E7EAC">
        <w:rPr>
          <w:rFonts w:ascii="Verdana" w:hAnsi="Verdana"/>
          <w:sz w:val="18"/>
          <w:szCs w:val="18"/>
        </w:rPr>
        <w:t xml:space="preserve"> De inkomsten zijn een financiële transactie (niet kader- en EMU-saldo relevant), maar de uitgaven zijn een beleidsmatige transactie (wel kader- en EMU-saldo-relevant), hierdoor is er een kaderbelasting. De mutatie heeft geen effect op de staatsschuld.</w:t>
      </w:r>
    </w:p>
    <w:p w:rsidRPr="005E7EAC" w:rsidR="001B64DA" w:rsidP="001B64DA" w:rsidRDefault="001B64DA">
      <w:pPr>
        <w:pStyle w:val="Geenafstand"/>
        <w:spacing w:line="240" w:lineRule="exact"/>
        <w:rPr>
          <w:rFonts w:eastAsia="Verdana"/>
          <w:szCs w:val="18"/>
        </w:rPr>
      </w:pPr>
    </w:p>
    <w:p w:rsidRPr="005E7EAC" w:rsidR="001B64DA" w:rsidP="001B64DA" w:rsidRDefault="001B64DA">
      <w:pPr>
        <w:pStyle w:val="Geenafstand"/>
        <w:spacing w:line="240" w:lineRule="exact"/>
        <w:rPr>
          <w:rFonts w:eastAsia="Verdana"/>
          <w:i/>
          <w:szCs w:val="18"/>
        </w:rPr>
      </w:pPr>
      <w:r w:rsidRPr="005E7EAC">
        <w:rPr>
          <w:rFonts w:eastAsia="Verdana"/>
          <w:i/>
          <w:szCs w:val="18"/>
        </w:rPr>
        <w:t>Tegenvallers groen onderwijs</w:t>
      </w:r>
    </w:p>
    <w:p w:rsidRPr="005E7EAC" w:rsidR="001B64DA" w:rsidP="001B64DA" w:rsidRDefault="001B64DA">
      <w:pPr>
        <w:pStyle w:val="Geenafstand"/>
        <w:spacing w:line="240" w:lineRule="exact"/>
        <w:rPr>
          <w:rFonts w:eastAsia="Verdana"/>
          <w:szCs w:val="18"/>
        </w:rPr>
      </w:pPr>
      <w:r w:rsidRPr="005E7EAC">
        <w:rPr>
          <w:rFonts w:eastAsia="Verdana"/>
          <w:szCs w:val="18"/>
        </w:rPr>
        <w:t xml:space="preserve">Bij het groen onderwijs hebben zich enkele tegenvallers voorgedaan. Het gaat om leerling-stijgingen en het volgen van OCW bij de prijsstijgingen in de lump sum bekostiging. Daarnaast wordt het amendement van de leden Harbers en Koolmees structureel ingepast. </w:t>
      </w:r>
    </w:p>
    <w:p w:rsidRPr="005E7EAC" w:rsidR="001B64DA" w:rsidP="001B64DA" w:rsidRDefault="001B64DA">
      <w:pPr>
        <w:pStyle w:val="Geenafstand"/>
        <w:spacing w:line="240" w:lineRule="exact"/>
        <w:rPr>
          <w:rFonts w:eastAsia="Verdana"/>
          <w:szCs w:val="18"/>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Diversen beleidsmatige mutaties</w:t>
      </w:r>
    </w:p>
    <w:p w:rsidRPr="005E7EAC" w:rsidR="001B64DA" w:rsidP="001B64DA" w:rsidRDefault="001B64DA">
      <w:pPr>
        <w:spacing w:line="240" w:lineRule="exact"/>
        <w:rPr>
          <w:rFonts w:ascii="Verdana" w:hAnsi="Verdana" w:eastAsia="Verdana"/>
          <w:b/>
          <w:sz w:val="18"/>
          <w:szCs w:val="18"/>
          <w:lang w:eastAsia="en-US"/>
        </w:rPr>
      </w:pPr>
      <w:r w:rsidRPr="005E7EAC">
        <w:rPr>
          <w:rFonts w:ascii="Verdana" w:hAnsi="Verdana" w:eastAsia="Verdana"/>
          <w:sz w:val="18"/>
          <w:szCs w:val="18"/>
          <w:lang w:eastAsia="en-US"/>
        </w:rPr>
        <w:t xml:space="preserve">Deze post omvat verschillende mutaties, waaronder een intensivering bij de Autoriteit Nucleaire Veiligheid en Stralingsbescherming (ANVS) samenhangend met de overgang van de betreffende taken naar het ministerie van I&amp;M. </w:t>
      </w:r>
    </w:p>
    <w:p w:rsidRPr="005E7EAC" w:rsidR="001B64DA" w:rsidP="001B64DA" w:rsidRDefault="001B64DA">
      <w:pPr>
        <w:pStyle w:val="Geenafstand"/>
        <w:spacing w:line="240" w:lineRule="exact"/>
        <w:rPr>
          <w:rFonts w:eastAsia="Verdana"/>
          <w:szCs w:val="18"/>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Fundamenteel onderzoek</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 xml:space="preserve">Vanuit de aanvullende post worden de middelen voor fundamenteel onderzoek toegevoegd aan de begroting van EZ. </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Provinciefonds/natuurmiddelen</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 xml:space="preserve">Voor de uitvoering van het Natuurpact ontwikkeling en beheer van natuur in Nederland hebben de provincies FTE’s overgenomen van Dienst Landelijk Gebied (DLG). Met deze mutatie worden de bijbehorende middelen overgeheveld naar het Provinciefonds. </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Krediet 2014 ecn/nrg</w:t>
      </w:r>
    </w:p>
    <w:p w:rsidRPr="005E7EAC" w:rsidR="001B64DA" w:rsidP="001B64DA" w:rsidRDefault="001B64DA">
      <w:pPr>
        <w:spacing w:line="240" w:lineRule="exact"/>
        <w:rPr>
          <w:rFonts w:ascii="Verdana" w:hAnsi="Verdana" w:eastAsia="Verdana"/>
          <w:sz w:val="18"/>
          <w:szCs w:val="22"/>
          <w:lang w:eastAsia="en-US"/>
        </w:rPr>
      </w:pPr>
      <w:r w:rsidRPr="005E7EAC">
        <w:rPr>
          <w:rFonts w:ascii="Verdana" w:hAnsi="Verdana" w:eastAsia="Verdana"/>
          <w:sz w:val="18"/>
          <w:szCs w:val="22"/>
          <w:lang w:eastAsia="en-US"/>
        </w:rPr>
        <w:t>Aan het Energieonderzoek Centrum Nederland (ECN) en haar dochter de Nuclear Research and Consultancy Group (NRG) wordt door het Rijk een krediet verstrekt om de continuïteit van hun bedrijfsvoering te verzekeren (TK 2014–2015, 25 422, nr. 112).</w:t>
      </w:r>
    </w:p>
    <w:p w:rsidRPr="005E7EAC" w:rsidR="001B64DA" w:rsidP="001B64DA" w:rsidRDefault="001B64DA">
      <w:pPr>
        <w:spacing w:line="240" w:lineRule="exact"/>
        <w:rPr>
          <w:rFonts w:ascii="Verdana" w:hAnsi="Verdana" w:eastAsia="Verdana"/>
          <w:i/>
          <w:sz w:val="18"/>
          <w:szCs w:val="18"/>
          <w:lang w:eastAsia="en-US"/>
        </w:rPr>
      </w:pPr>
    </w:p>
    <w:p w:rsidRPr="005E7EAC" w:rsidR="001B64DA" w:rsidP="001B64DA" w:rsidRDefault="001B64DA">
      <w:pPr>
        <w:spacing w:line="240" w:lineRule="exact"/>
        <w:rPr>
          <w:rFonts w:ascii="Verdana" w:hAnsi="Verdana" w:eastAsia="Verdana"/>
          <w:i/>
          <w:sz w:val="18"/>
          <w:szCs w:val="18"/>
          <w:lang w:eastAsia="en-US"/>
        </w:rPr>
      </w:pPr>
      <w:r w:rsidRPr="005E7EAC">
        <w:rPr>
          <w:rFonts w:ascii="Verdana" w:hAnsi="Verdana" w:eastAsia="Verdana"/>
          <w:i/>
          <w:sz w:val="18"/>
          <w:szCs w:val="18"/>
          <w:lang w:eastAsia="en-US"/>
        </w:rPr>
        <w:t>Bijstelling aardgasbaten o.g.v. macrobriefje</w:t>
      </w:r>
    </w:p>
    <w:p w:rsidRPr="005E7EAC" w:rsidR="001B64DA" w:rsidP="001B64DA" w:rsidRDefault="001B64DA">
      <w:pPr>
        <w:spacing w:line="240" w:lineRule="exact"/>
        <w:rPr>
          <w:rFonts w:ascii="Verdana" w:hAnsi="Verdana" w:eastAsia="Verdana"/>
          <w:sz w:val="18"/>
          <w:szCs w:val="18"/>
          <w:lang w:eastAsia="en-US"/>
        </w:rPr>
      </w:pPr>
      <w:r w:rsidRPr="005E7EAC">
        <w:rPr>
          <w:rFonts w:ascii="Verdana" w:hAnsi="Verdana" w:eastAsia="Verdana"/>
          <w:sz w:val="18"/>
          <w:szCs w:val="18"/>
          <w:lang w:eastAsia="en-US"/>
        </w:rPr>
        <w:t>De aardgasbaten zijn naar beneden bijgesteld door macro economische ontwikkelingen en volumebeperking.</w:t>
      </w:r>
    </w:p>
    <w:p w:rsidRPr="005E7EAC" w:rsidR="004032A8" w:rsidP="001B64DA" w:rsidRDefault="004032A8">
      <w:pPr>
        <w:spacing w:line="240" w:lineRule="exact"/>
        <w:rPr>
          <w:rFonts w:ascii="Verdana" w:hAnsi="Verdana"/>
          <w:b/>
          <w:sz w:val="18"/>
          <w:szCs w:val="18"/>
        </w:rPr>
      </w:pPr>
      <w:r w:rsidRPr="005E7EAC">
        <w:rPr>
          <w:rFonts w:ascii="Verdana" w:hAnsi="Verdana"/>
          <w:b/>
          <w:sz w:val="18"/>
          <w:szCs w:val="18"/>
        </w:rPr>
        <w:br w:type="page"/>
      </w:r>
    </w:p>
    <w:p w:rsidRPr="005E7EAC" w:rsidR="002D0117" w:rsidP="00FF73F6" w:rsidRDefault="002D0117">
      <w:pPr>
        <w:spacing w:line="240" w:lineRule="exact"/>
        <w:rPr>
          <w:rFonts w:ascii="Verdana" w:hAnsi="Verdana"/>
          <w:b/>
          <w:sz w:val="18"/>
          <w:szCs w:val="18"/>
        </w:rPr>
      </w:pPr>
      <w:r w:rsidRPr="005E7EAC">
        <w:rPr>
          <w:rFonts w:ascii="Verdana" w:hAnsi="Verdana"/>
          <w:b/>
          <w:sz w:val="18"/>
          <w:szCs w:val="18"/>
        </w:rPr>
        <w:lastRenderedPageBreak/>
        <w:t xml:space="preserve">XV </w:t>
      </w:r>
      <w:r w:rsidRPr="005E7EAC" w:rsidR="00457E12">
        <w:rPr>
          <w:rFonts w:ascii="Verdana" w:hAnsi="Verdana"/>
          <w:b/>
          <w:sz w:val="18"/>
          <w:szCs w:val="18"/>
        </w:rPr>
        <w:t>Sociale Zaken en Werkgelegenheid</w:t>
      </w:r>
    </w:p>
    <w:p w:rsidRPr="005E7EAC" w:rsidR="00FB51B9" w:rsidP="00FB51B9" w:rsidRDefault="00FB51B9">
      <w:pPr>
        <w:spacing w:line="276" w:lineRule="auto"/>
        <w:rPr>
          <w:rFonts w:ascii="Verdana" w:hAnsi="Verdana"/>
          <w:b/>
          <w:sz w:val="18"/>
          <w:szCs w:val="18"/>
        </w:rPr>
      </w:pPr>
    </w:p>
    <w:tbl>
      <w:tblPr>
        <w:tblW w:w="5000" w:type="pct"/>
        <w:tblCellMar>
          <w:left w:w="70" w:type="dxa"/>
          <w:right w:w="70" w:type="dxa"/>
        </w:tblCellMar>
        <w:tblLook w:val="04A0"/>
      </w:tblPr>
      <w:tblGrid>
        <w:gridCol w:w="4137"/>
        <w:gridCol w:w="1015"/>
        <w:gridCol w:w="1015"/>
        <w:gridCol w:w="1015"/>
        <w:gridCol w:w="1015"/>
        <w:gridCol w:w="1015"/>
      </w:tblGrid>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UITGAVEN</w:t>
            </w: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r>
      <w:tr w:rsidRPr="005E7EAC" w:rsidR="00FB51B9" w:rsidTr="00FB51B9">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2019</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32.421,2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32.875,5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33.671,5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33.984,8</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34.402,5</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Akw</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10,3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15,2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18,9</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21,6</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Bijstand</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67,4</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7,6</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83,0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88,0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99,2</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Generieke digitale infrastructuur</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14,7</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19,2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12,7</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Iow</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2,9</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13,1</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9,9</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Kinderopvangtoeslag</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-237,3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-291,5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-349,2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-401,2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-452,8</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Kindgebonden budget</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-26,2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-12,5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3,4</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4,4</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Verhoogde asielinstroom</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22,0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19,0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11,0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11,0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11,0</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Wajong</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-21,2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-21,3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-21,5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-21,3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-21,5</w:t>
            </w: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-6,1</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-9,4</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-8,9</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-7,2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-6,2</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-181,3</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-262,6</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-236,9</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-291,1</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-321,7</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Eindejaarsmarge rbg-eng</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52,3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Kasschuiven rbg-eng</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-138,8</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-9,0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117,8</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-4,0</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Aanpassing fraudewet</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15,2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15,0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14,4</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14,6</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14,8</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Eindejaarsmarge sza</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48,5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r>
      <w:tr w:rsidRPr="005E7EAC" w:rsidR="00FB51B9" w:rsidTr="00FB51B9">
        <w:trPr>
          <w:trHeight w:val="45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Inzet reservering coördinatie sociale zekerheidsstelsels</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-12,5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-6,2</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Inzet restant eindejaarsmarge sza</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-48,5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Kasschuiven sza</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-12,5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24,0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4,8</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-10,9</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-15,4</w:t>
            </w:r>
          </w:p>
        </w:tc>
      </w:tr>
      <w:tr w:rsidRPr="005E7EAC" w:rsidR="00FB51B9" w:rsidTr="00FB51B9">
        <w:trPr>
          <w:trHeight w:val="45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Neutrale herschikking uitvoeringskosten uwv</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-13,8</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12,5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18,5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19,5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20,2</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Tijdelijke inkomensondersteuning aow</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76,1</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-0,8</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8,9</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10,6</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9,7</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4,8</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-34,8</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36,9</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150,1</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42,7</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14,2</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-0,4</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-0,3</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4,2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1,8</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19,5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22,3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25,7</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Bikk aow</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-122,9</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-129,6</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-137,0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-144,9</w:t>
            </w:r>
          </w:p>
        </w:tc>
      </w:tr>
      <w:tr w:rsidRPr="005E7EAC" w:rsidR="00FB51B9" w:rsidTr="00FB51B9">
        <w:trPr>
          <w:trHeight w:val="45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Rijksbijdrage vermogenstekort ouderdomsfonds</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-748,6</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-1.424,2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-1.954,5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-1.875,2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-1.793,2</w:t>
            </w: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0,7</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-0,3</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-740,1</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-1.545,6</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-2.065,1</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-1.990,6</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-1.913,0</w:t>
            </w:r>
          </w:p>
        </w:tc>
      </w:tr>
      <w:tr w:rsidRPr="005E7EAC" w:rsidR="00FB51B9" w:rsidTr="00FB51B9">
        <w:trPr>
          <w:trHeight w:val="180"/>
        </w:trPr>
        <w:tc>
          <w:tcPr>
            <w:tcW w:w="2245"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-956,1</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-1.771,5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-2.152,0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-2.239,0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-2.220,6</w:t>
            </w: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31.465,1</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31.104,0</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31.519,5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31.745,9</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32.181,9</w:t>
            </w: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31.465,6</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31.104,5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31.520,0</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31.746,3</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32.182,4</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NIET-BELASTINGONTVANGSTEN</w:t>
            </w: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r>
      <w:tr w:rsidRPr="005E7EAC" w:rsidR="00FB51B9" w:rsidTr="00FB51B9">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2019</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1.685,3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1.702,1</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1.677,5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1.681,1</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1.687,2</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Kinderopvangtoeslag</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96,8</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32,6</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25,3</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6,2</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-7,9</w:t>
            </w:r>
          </w:p>
        </w:tc>
      </w:tr>
      <w:tr w:rsidRPr="005E7EAC" w:rsidR="00FB51B9" w:rsidTr="00FB51B9">
        <w:trPr>
          <w:trHeight w:val="45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Ontvangsten sociale werkvoorziening en participatiebudget</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26,0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lastRenderedPageBreak/>
              <w:t>Diversen</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9,7</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-1,9</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-0,7</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0,1</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132,5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30,6</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23,4</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5,5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-7,8</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0,7</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0,7</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-0,5</w:t>
            </w:r>
          </w:p>
        </w:tc>
      </w:tr>
      <w:tr w:rsidRPr="005E7EAC" w:rsidR="00FB51B9" w:rsidTr="00FB51B9">
        <w:trPr>
          <w:trHeight w:val="180"/>
        </w:trPr>
        <w:tc>
          <w:tcPr>
            <w:tcW w:w="2245"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133,1</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30,1</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23,0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5,0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-8,4</w:t>
            </w: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FB51B9" w:rsidP="00FB51B9" w:rsidRDefault="00FB51B9">
            <w:pPr>
              <w:rPr>
                <w:rFonts w:ascii="Verdana" w:hAnsi="Verdana"/>
                <w:color w:val="000000"/>
                <w:sz w:val="14"/>
                <w:szCs w:val="14"/>
              </w:rPr>
            </w:pP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1.818,4</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1.732,2</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1.700,5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1.686,1</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1.678,8</w:t>
            </w:r>
          </w:p>
        </w:tc>
      </w:tr>
      <w:tr w:rsidRPr="005E7EAC" w:rsidR="00FB51B9" w:rsidTr="00FB51B9">
        <w:trPr>
          <w:trHeight w:val="240"/>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0,0</w:t>
            </w:r>
          </w:p>
        </w:tc>
      </w:tr>
      <w:tr w:rsidRPr="005E7EAC" w:rsidR="00FB51B9" w:rsidTr="00FB51B9">
        <w:trPr>
          <w:trHeight w:val="225"/>
        </w:trPr>
        <w:tc>
          <w:tcPr>
            <w:tcW w:w="2245" w:type="pct"/>
            <w:tcBorders>
              <w:top w:val="nil"/>
              <w:left w:val="nil"/>
              <w:bottom w:val="nil"/>
              <w:right w:val="nil"/>
            </w:tcBorders>
            <w:shd w:val="clear" w:color="auto" w:fill="auto"/>
            <w:hideMark/>
          </w:tcPr>
          <w:p w:rsidRPr="005E7EAC" w:rsidR="00FB51B9" w:rsidP="00FB51B9" w:rsidRDefault="00FB51B9">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1.818,4</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1.732,2</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1.700,5</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1.686,1</w:t>
            </w:r>
          </w:p>
        </w:tc>
        <w:tc>
          <w:tcPr>
            <w:tcW w:w="551" w:type="pct"/>
            <w:tcBorders>
              <w:top w:val="single" w:color="000000" w:sz="8" w:space="0"/>
              <w:left w:val="nil"/>
              <w:bottom w:val="nil"/>
              <w:right w:val="nil"/>
            </w:tcBorders>
            <w:shd w:val="clear" w:color="auto" w:fill="auto"/>
            <w:hideMark/>
          </w:tcPr>
          <w:p w:rsidRPr="005E7EAC" w:rsidR="00FB51B9" w:rsidP="00FB51B9" w:rsidRDefault="00FB51B9">
            <w:pPr>
              <w:jc w:val="right"/>
              <w:rPr>
                <w:rFonts w:ascii="Verdana" w:hAnsi="Verdana"/>
                <w:color w:val="000000"/>
                <w:sz w:val="18"/>
                <w:szCs w:val="18"/>
              </w:rPr>
            </w:pPr>
            <w:r w:rsidRPr="005E7EAC">
              <w:rPr>
                <w:rFonts w:ascii="Verdana" w:hAnsi="Verdana"/>
                <w:color w:val="000000"/>
                <w:sz w:val="18"/>
                <w:szCs w:val="18"/>
              </w:rPr>
              <w:t>1.678,8</w:t>
            </w:r>
          </w:p>
        </w:tc>
      </w:tr>
    </w:tbl>
    <w:p w:rsidRPr="005E7EAC" w:rsidR="00FB51B9" w:rsidP="00FB51B9" w:rsidRDefault="00FB51B9">
      <w:pPr>
        <w:spacing w:line="276" w:lineRule="auto"/>
        <w:rPr>
          <w:rFonts w:ascii="Verdana" w:hAnsi="Verdana"/>
          <w:b/>
          <w:sz w:val="18"/>
          <w:szCs w:val="18"/>
        </w:rPr>
      </w:pPr>
    </w:p>
    <w:p w:rsidRPr="005E7EAC" w:rsidR="00FB51B9" w:rsidP="00FB51B9" w:rsidRDefault="00FB51B9">
      <w:pPr>
        <w:spacing w:line="276" w:lineRule="auto"/>
        <w:rPr>
          <w:rFonts w:ascii="Verdana" w:hAnsi="Verdana"/>
          <w:b/>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AKW</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De uitgaven aan de kinderbijslag zijn opwaarts bijgesteld op basis van de volumeprognose 2015 van de SVB. Dit wordt voornamelijk veroorzaakt door een stijging van het aantal kinderen ten opzichte van de vorige volumeprognose van de SVB. </w:t>
      </w:r>
    </w:p>
    <w:p w:rsidRPr="005E7EAC" w:rsidR="00FB51B9" w:rsidP="00FB51B9" w:rsidRDefault="00FB51B9">
      <w:pPr>
        <w:spacing w:line="240" w:lineRule="exact"/>
        <w:rPr>
          <w:rFonts w:ascii="Verdana" w:hAnsi="Verdana" w:cs="Courier New"/>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Bijstand</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De raming van uitgaven aan de bijstand wordt opwaarts bijgesteld als gevolg van</w:t>
      </w:r>
      <w:r w:rsidRPr="005E7EAC">
        <w:rPr>
          <w:rFonts w:ascii="Verdana" w:hAnsi="Verdana" w:cs="Calibri"/>
          <w:color w:val="000000"/>
          <w:sz w:val="18"/>
          <w:szCs w:val="18"/>
        </w:rPr>
        <w:t xml:space="preserve"> de voorlopige</w:t>
      </w:r>
      <w:r w:rsidRPr="005E7EAC">
        <w:rPr>
          <w:rFonts w:ascii="Verdana" w:hAnsi="Verdana" w:cs="Courier New"/>
          <w:sz w:val="18"/>
          <w:szCs w:val="18"/>
        </w:rPr>
        <w:t xml:space="preserve"> realisaties van gemeenten. Iets meer mensen blijken recht te hebben op een bijstandsuitkering.  </w:t>
      </w:r>
    </w:p>
    <w:p w:rsidRPr="005E7EAC" w:rsidR="00FB51B9" w:rsidP="00FB51B9" w:rsidRDefault="00FB51B9">
      <w:pPr>
        <w:spacing w:line="240" w:lineRule="exact"/>
        <w:rPr>
          <w:rFonts w:ascii="Verdana" w:hAnsi="Verdana" w:cs="Courier New"/>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Generieke digitale infrastructuur</w:t>
      </w:r>
    </w:p>
    <w:p w:rsidRPr="005E7EAC" w:rsidR="00FB51B9" w:rsidP="00FB51B9" w:rsidRDefault="00FB51B9">
      <w:pPr>
        <w:spacing w:line="240" w:lineRule="exact"/>
        <w:rPr>
          <w:rFonts w:ascii="Verdana" w:hAnsi="Verdana" w:eastAsiaTheme="minorEastAsia"/>
          <w:iCs/>
          <w:sz w:val="18"/>
          <w:szCs w:val="18"/>
          <w:u w:val="single"/>
        </w:rPr>
      </w:pPr>
      <w:r w:rsidRPr="005E7EAC">
        <w:rPr>
          <w:rFonts w:ascii="Verdana" w:hAnsi="Verdana"/>
          <w:iCs/>
          <w:sz w:val="18"/>
          <w:szCs w:val="18"/>
        </w:rPr>
        <w:t>Dit betreft een bijdrage aan de voorzieningen binnen de generieke digitale infrastructuur (GDI). Deze middelen zijn op de Aanvullende Post geplaatst.</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IOW</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Op basis van uitvoeringsinformatie van het UWV is de raming van de IOW-uitgaven opwaarts bijgesteld. Mensen hebben gemiddeld langer recht op een IOW-uitkering en de gemiddelde verwachte uitkering is iets hoger dan eerder gedacht. Daarnaast komen naar verwachting meer mensen in aanmerking voor een IOW-uitkering dan eerder gedacht. </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Kinderopvangtoeslag (uitgaven en inkomsten)</w:t>
      </w:r>
    </w:p>
    <w:p w:rsidRPr="005E7EAC" w:rsidR="00FB51B9" w:rsidP="00FB51B9" w:rsidRDefault="00FB51B9">
      <w:pPr>
        <w:spacing w:line="240" w:lineRule="exact"/>
        <w:rPr>
          <w:rFonts w:ascii="Verdana" w:hAnsi="Verdana" w:cs="Calibri"/>
          <w:color w:val="000000"/>
          <w:sz w:val="18"/>
          <w:szCs w:val="18"/>
        </w:rPr>
      </w:pPr>
      <w:r w:rsidRPr="005E7EAC">
        <w:rPr>
          <w:rFonts w:ascii="Verdana" w:hAnsi="Verdana" w:cs="Calibri"/>
          <w:color w:val="000000"/>
          <w:sz w:val="18"/>
          <w:szCs w:val="18"/>
        </w:rPr>
        <w:t>Op basis van recente realisatiecijfers van de Belastingdienst is de raming van de uitgaven aan de kinderopvang naar beneden bijgesteld. De effecten van eerdere bezuinigingen in de kinderopvang bleken groter dan eerder gedacht. Daarnaast zijn de effecten van de economische crisis groter gebleken dan verwacht. De raming is ook structureel naar beneden bijgesteld, omdat de in het verleden verwachte autonome stijging van het gebruik van kinderopvang zich niet meer lijkt voor te doen.</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Kindgebonden budget</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De raming van uitgaven aan het kindgebonden budget is neerwaarts bijgesteld op basis van nieuwe inkomensgegeven van het CPB. Door de hogere economische groei en hogere inkomens in 2015 en 2016 hebben minder mensen recht op een (hoger) kindgebonden budget. </w:t>
      </w:r>
    </w:p>
    <w:p w:rsidRPr="005E7EAC" w:rsidR="00FB51B9" w:rsidP="00FB51B9" w:rsidRDefault="00FB51B9">
      <w:pPr>
        <w:spacing w:line="240" w:lineRule="exact"/>
        <w:rPr>
          <w:rFonts w:ascii="Verdana" w:hAnsi="Verdana" w:cs="Courier New"/>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Verhoogde asielinstroom</w:t>
      </w:r>
    </w:p>
    <w:p w:rsidRPr="005E7EAC" w:rsidR="00FB51B9" w:rsidP="00FB51B9" w:rsidRDefault="00FB51B9">
      <w:pPr>
        <w:spacing w:line="240" w:lineRule="exact"/>
        <w:rPr>
          <w:rFonts w:ascii="Verdana" w:hAnsi="Verdana" w:eastAsiaTheme="minorEastAsia"/>
          <w:sz w:val="18"/>
          <w:szCs w:val="18"/>
        </w:rPr>
      </w:pPr>
      <w:r w:rsidRPr="005E7EAC">
        <w:rPr>
          <w:rFonts w:ascii="Verdana" w:hAnsi="Verdana"/>
          <w:sz w:val="18"/>
          <w:szCs w:val="18"/>
        </w:rPr>
        <w:t>De asielinstroom neemt toe en dit leidt tot extra kosten voor voorinburgeringstrajecten bij het Centraal Orgaan Opvang Asielzoekers (COA) en kosten voor maatschappelijke begeleiding bij gemeenten.</w:t>
      </w:r>
    </w:p>
    <w:p w:rsidRPr="005E7EAC" w:rsidR="00FB51B9" w:rsidP="00FB51B9" w:rsidRDefault="00FB51B9">
      <w:pPr>
        <w:spacing w:line="240" w:lineRule="exact"/>
        <w:rPr>
          <w:rFonts w:ascii="Verdana" w:hAnsi="Verdana" w:cs="Courier New"/>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Wajong</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Uit uitvoeringsinformatie van het UWV blijkt dat het aantal mensen in de Wajong lager is dan verwacht. Daarnaast stijgt de gemiddelde verwachte uitkering minder hard dan eerder gedacht. Dit leidt tot een neerwaartse bijstelling van de geraamde uitgaven aan de Wajong. </w:t>
      </w:r>
    </w:p>
    <w:p w:rsidRPr="005E7EAC" w:rsidR="00FB51B9" w:rsidP="00FB51B9" w:rsidRDefault="00FB51B9">
      <w:pPr>
        <w:spacing w:line="240" w:lineRule="exact"/>
        <w:rPr>
          <w:rFonts w:ascii="Verdana" w:hAnsi="Verdana" w:cs="Courier New"/>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Eindejaarsmarge RBG-eng</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Dit betreft de overheveling van de eindejaarsmarge naar de begroting van SZW. </w:t>
      </w: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lastRenderedPageBreak/>
        <w:t>Kasschuiven RBG-eng</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Om het kasritme van de uitgaven te ondersteunen worden diverse kasschuiven gedaan. De grootste hiervan betreft een kasschuif ten behoeve van de sectorplannen. Een deel van het budget voor de sectorplannen wordt van 2015 en 2016 overgeheveld naar latere jaren vanwege een andere liquiditeitsbehoefte van de eerdere plannen. </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Aanpassing fraudewet</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Dit betreft de aanpassing van de uitvoering van de Fraudewet naar aanleiding van de uitspraak van de Centrale Raad van Beroep.</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 xml:space="preserve">Eindejaarsmarge SZA </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Dit betreft de overheveling van de eindejaarsmarge naar de begroting van SZW. </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Neutrale herschikking uitvoeringskosten UWV</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Dit betreft een budgettair neutrale herschikking van de uitvoeringskosten UWV. Tegenover de hogere begrotingsgefinancierde uitvoeringskosten UWV staat een gelijke daling van de premiegefinancierde uitvoeringskosten UWV.</w:t>
      </w:r>
    </w:p>
    <w:p w:rsidRPr="005E7EAC" w:rsidR="00FB51B9" w:rsidP="00FB51B9" w:rsidRDefault="00FB51B9">
      <w:pPr>
        <w:spacing w:line="240" w:lineRule="exact"/>
        <w:rPr>
          <w:rFonts w:ascii="Verdana" w:hAnsi="Verdana" w:cs="Courier New"/>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Inzet reservering coördinatie sociale zekerheidsstelsels</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Het project voor de coördinatie van sociale zekerheidsstelsels in de EU vordert minder snel dan gedacht. Een deel van de reservering kan worden ingezet ter dekking van het budgettaire beeld SZA.</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Inzet restant eindejaarsmarge SZA</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Ter dekking van het budgettaire beeld SZA zet SZW het restant van de eindejaarsmarge in. </w:t>
      </w:r>
    </w:p>
    <w:p w:rsidRPr="005E7EAC" w:rsidR="00FB51B9" w:rsidP="00FB51B9" w:rsidRDefault="00FB51B9">
      <w:pPr>
        <w:spacing w:line="240" w:lineRule="exact"/>
        <w:rPr>
          <w:rFonts w:ascii="Verdana" w:hAnsi="Verdana" w:cs="Courier New"/>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Kasschuiven SZA</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Om het kasritme van de uitgaven binnen het kader SZA te ondersteunen worden diverse kasschuiven gedaan.</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Tijdelijke inkomensondersteuning AOW</w:t>
      </w:r>
    </w:p>
    <w:p w:rsidRPr="005E7EAC" w:rsidR="00FB51B9" w:rsidP="00FB51B9" w:rsidRDefault="00FB51B9">
      <w:pPr>
        <w:spacing w:line="240" w:lineRule="exact"/>
        <w:rPr>
          <w:rFonts w:ascii="Verdana" w:hAnsi="Verdana" w:cs="Courier New"/>
          <w:sz w:val="18"/>
          <w:szCs w:val="18"/>
        </w:rPr>
      </w:pPr>
      <w:r w:rsidRPr="005E7EAC">
        <w:rPr>
          <w:rFonts w:ascii="Verdana" w:hAnsi="Verdana"/>
          <w:sz w:val="18"/>
          <w:szCs w:val="18"/>
        </w:rPr>
        <w:t>Deze post heeft betrekking op de in de maand januari uitgekeerde inkomensondersteuning AOW. Per 1 februari wordt de inkomensondersteuning gefinancierd uit het Ouderdomsfonds</w:t>
      </w:r>
      <w:r w:rsidRPr="005E7EAC">
        <w:rPr>
          <w:rFonts w:ascii="Verdana" w:hAnsi="Verdana" w:cs="Courier New"/>
          <w:sz w:val="18"/>
          <w:szCs w:val="18"/>
        </w:rPr>
        <w:t>.</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BIKK AOW</w:t>
      </w:r>
    </w:p>
    <w:p w:rsidRPr="005E7EAC" w:rsidR="00FB51B9" w:rsidP="00FB51B9" w:rsidRDefault="00FB51B9">
      <w:pPr>
        <w:spacing w:line="240" w:lineRule="exact"/>
        <w:rPr>
          <w:rFonts w:ascii="Verdana" w:hAnsi="Verdana" w:cs="Courier New"/>
          <w:sz w:val="18"/>
          <w:szCs w:val="18"/>
        </w:rPr>
      </w:pPr>
      <w:r w:rsidRPr="005E7EAC">
        <w:rPr>
          <w:rFonts w:ascii="Verdana" w:hAnsi="Verdana" w:cs="Courier New"/>
          <w:sz w:val="18"/>
          <w:szCs w:val="18"/>
        </w:rPr>
        <w:t xml:space="preserve">Op basis van het Centraal Economisch Plan van het CPB is de raming voor de bijdrage in de kosten van de heffingskortingen (BIKK) aan het ouderdomsfonds voor 2016 en verder neerwaarts bijgesteld. </w:t>
      </w:r>
    </w:p>
    <w:p w:rsidRPr="005E7EAC" w:rsidR="00FB51B9" w:rsidP="00FB51B9" w:rsidRDefault="00FB51B9">
      <w:pPr>
        <w:spacing w:line="240" w:lineRule="exact"/>
        <w:rPr>
          <w:rFonts w:ascii="Verdana" w:hAnsi="Verdana" w:cs="Courier New"/>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Rijksbijdrage vermogenstekort ouderdomsfonds</w:t>
      </w:r>
    </w:p>
    <w:p w:rsidRPr="005E7EAC" w:rsidR="00FB51B9" w:rsidP="00FB51B9" w:rsidRDefault="00FB51B9">
      <w:pPr>
        <w:spacing w:line="240" w:lineRule="exact"/>
        <w:rPr>
          <w:rFonts w:ascii="Verdana" w:hAnsi="Verdana" w:cs="Courier New"/>
          <w:sz w:val="18"/>
          <w:szCs w:val="18"/>
        </w:rPr>
      </w:pPr>
      <w:r w:rsidRPr="005E7EAC">
        <w:rPr>
          <w:rFonts w:ascii="Verdana" w:hAnsi="Verdana"/>
          <w:sz w:val="18"/>
          <w:szCs w:val="18"/>
        </w:rPr>
        <w:t>Op basis van het Centraal Economisch Plan van het CPB is de raming voor de rijksbijdrage aan het vermogenstekort van het ouderdomsfonds neerwaarts bijgesteld</w:t>
      </w:r>
      <w:r w:rsidRPr="005E7EAC">
        <w:rPr>
          <w:rFonts w:ascii="Verdana" w:hAnsi="Verdana" w:cs="Courier New"/>
          <w:sz w:val="18"/>
          <w:szCs w:val="18"/>
        </w:rPr>
        <w:t>.</w:t>
      </w:r>
    </w:p>
    <w:p w:rsidRPr="005E7EAC" w:rsidR="00FB51B9" w:rsidP="00FB51B9" w:rsidRDefault="00FB51B9">
      <w:pPr>
        <w:spacing w:line="240" w:lineRule="exact"/>
        <w:rPr>
          <w:rFonts w:ascii="Verdana" w:hAnsi="Verdana" w:cs="Courier New"/>
          <w:i/>
          <w:sz w:val="18"/>
          <w:szCs w:val="18"/>
        </w:rPr>
      </w:pPr>
    </w:p>
    <w:p w:rsidRPr="005E7EAC" w:rsidR="00FB51B9" w:rsidP="00FB51B9" w:rsidRDefault="00FB51B9">
      <w:pPr>
        <w:spacing w:line="240" w:lineRule="exact"/>
        <w:rPr>
          <w:rFonts w:ascii="Verdana" w:hAnsi="Verdana" w:cs="Courier New"/>
          <w:i/>
          <w:sz w:val="18"/>
          <w:szCs w:val="18"/>
        </w:rPr>
      </w:pPr>
      <w:r w:rsidRPr="005E7EAC">
        <w:rPr>
          <w:rFonts w:ascii="Verdana" w:hAnsi="Verdana" w:cs="Courier New"/>
          <w:i/>
          <w:sz w:val="18"/>
          <w:szCs w:val="18"/>
        </w:rPr>
        <w:t>Ontvangsten sociale werkvoorziening en participatiebudget</w:t>
      </w:r>
    </w:p>
    <w:p w:rsidRPr="005E7EAC" w:rsidR="00FB51B9" w:rsidP="00FB51B9" w:rsidRDefault="00FB51B9">
      <w:pPr>
        <w:spacing w:line="240" w:lineRule="exact"/>
        <w:rPr>
          <w:rFonts w:ascii="Verdana" w:hAnsi="Verdana" w:eastAsiaTheme="minorEastAsia"/>
          <w:sz w:val="18"/>
          <w:szCs w:val="18"/>
        </w:rPr>
      </w:pPr>
      <w:r w:rsidRPr="005E7EAC">
        <w:rPr>
          <w:rFonts w:ascii="Verdana" w:hAnsi="Verdana"/>
          <w:sz w:val="18"/>
          <w:szCs w:val="18"/>
        </w:rPr>
        <w:t xml:space="preserve">Dit betreffen terugontvangsten van de sociale werkvoorziening (WSW) en het Participatiebudget in verband met onderrealisatie bij de WSW en onrechtmatigheid bij het Participatiebudget. </w:t>
      </w:r>
    </w:p>
    <w:p w:rsidRPr="005E7EAC" w:rsidR="004032A8" w:rsidRDefault="004032A8">
      <w:pPr>
        <w:spacing w:after="200" w:line="276" w:lineRule="auto"/>
        <w:rPr>
          <w:rFonts w:ascii="Verdana" w:hAnsi="Verdana"/>
          <w:b/>
          <w:sz w:val="18"/>
          <w:szCs w:val="18"/>
        </w:rPr>
      </w:pPr>
      <w:r w:rsidRPr="005E7EAC">
        <w:rPr>
          <w:rFonts w:ascii="Verdana" w:hAnsi="Verdana"/>
          <w:b/>
          <w:sz w:val="18"/>
          <w:szCs w:val="18"/>
        </w:rPr>
        <w:br w:type="page"/>
      </w:r>
    </w:p>
    <w:p w:rsidRPr="005E7EAC" w:rsidR="00A15500" w:rsidP="00E16284" w:rsidRDefault="00B92FA0">
      <w:pPr>
        <w:spacing w:line="276" w:lineRule="auto"/>
        <w:rPr>
          <w:rFonts w:ascii="Verdana" w:hAnsi="Verdana"/>
          <w:b/>
          <w:sz w:val="18"/>
          <w:szCs w:val="18"/>
        </w:rPr>
      </w:pPr>
      <w:r w:rsidRPr="005E7EAC">
        <w:rPr>
          <w:rFonts w:ascii="Verdana" w:hAnsi="Verdana"/>
          <w:b/>
          <w:sz w:val="18"/>
          <w:szCs w:val="18"/>
        </w:rPr>
        <w:lastRenderedPageBreak/>
        <w:t xml:space="preserve">Sociale </w:t>
      </w:r>
      <w:r w:rsidRPr="005E7EAC" w:rsidR="002065F2">
        <w:rPr>
          <w:rFonts w:ascii="Verdana" w:hAnsi="Verdana"/>
          <w:b/>
          <w:sz w:val="18"/>
          <w:szCs w:val="18"/>
        </w:rPr>
        <w:t>Z</w:t>
      </w:r>
      <w:r w:rsidRPr="005E7EAC">
        <w:rPr>
          <w:rFonts w:ascii="Verdana" w:hAnsi="Verdana"/>
          <w:b/>
          <w:sz w:val="18"/>
          <w:szCs w:val="18"/>
        </w:rPr>
        <w:t>ekerheid</w:t>
      </w:r>
    </w:p>
    <w:p w:rsidRPr="005E7EAC" w:rsidR="00253F08" w:rsidP="00253F08" w:rsidRDefault="00253F08">
      <w:pPr>
        <w:spacing w:line="276" w:lineRule="auto"/>
        <w:rPr>
          <w:rFonts w:ascii="Verdana" w:hAnsi="Verdana" w:cs="Arial"/>
          <w:sz w:val="18"/>
          <w:szCs w:val="18"/>
        </w:rPr>
      </w:pPr>
    </w:p>
    <w:tbl>
      <w:tblPr>
        <w:tblW w:w="5000" w:type="pct"/>
        <w:tblCellMar>
          <w:left w:w="70" w:type="dxa"/>
          <w:right w:w="70" w:type="dxa"/>
        </w:tblCellMar>
        <w:tblLook w:val="04A0"/>
      </w:tblPr>
      <w:tblGrid>
        <w:gridCol w:w="4137"/>
        <w:gridCol w:w="1015"/>
        <w:gridCol w:w="1015"/>
        <w:gridCol w:w="1015"/>
        <w:gridCol w:w="1015"/>
        <w:gridCol w:w="1015"/>
      </w:tblGrid>
      <w:tr w:rsidRPr="005E7EAC" w:rsidR="00253F08" w:rsidTr="00253F08">
        <w:trPr>
          <w:trHeight w:val="240"/>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UITGAVEN</w:t>
            </w: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r>
      <w:tr w:rsidRPr="005E7EAC" w:rsidR="00253F08" w:rsidTr="00253F08">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2019</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Stand Miljoenennota 2015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78.009,9</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78.883,0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79.584,2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80.500,4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81.234,1</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Aow</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40,7</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65,4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112,5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131,6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143,2</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Bijstand</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67,4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83,0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88,0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99,2</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Iva</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38,1</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77,8</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106,2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135,0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163,0</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Kinderopvangtoeslag</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-237,3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-291,5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-349,2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-401,2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-452,8</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Kindgebonden budget</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-26,2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-12,5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4,4</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Nominale ontwikkeling</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-185,0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-1,8</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48,5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32,5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35,0</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Wao</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79,5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76,6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74,7</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74,3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74,6</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Wazo</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-52,7</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-40,9</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-32,7</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-25,8</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-14,8</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Wga</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-1,1</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-33,0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-59,0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-89,0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-117,9</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Ww</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-320,6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-447,2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-352,4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-355,3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-275,0</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Zw</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40,8</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64,0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64,9</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65,2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65,5</w:t>
            </w:r>
          </w:p>
        </w:tc>
      </w:tr>
      <w:tr w:rsidRPr="005E7EAC" w:rsidR="00253F08" w:rsidTr="00253F08">
        <w:trPr>
          <w:trHeight w:val="240"/>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23,8</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28,2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22,8</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15,6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26,6</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-532,6</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-507,3</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-277,3</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-324,9</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-249,0</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Aanpassing fraudewet</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35,3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34,6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33,5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33,8</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34,2</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Eindejaarsmarge sza</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48,5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In=uit taakstelling</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-48,5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Inzet restant eindejaarsmarge sza</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-48,5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Kasschuiven sza</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-8,3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30,1</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7,9</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-11,0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-18,7</w:t>
            </w:r>
          </w:p>
        </w:tc>
      </w:tr>
      <w:tr w:rsidRPr="005E7EAC" w:rsidR="00253F08" w:rsidTr="00253F08">
        <w:trPr>
          <w:trHeight w:val="240"/>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-9,4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-11,5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-15,9</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-3,8</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-31,9</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55,3</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29,9</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6,9</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11,7</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Brutering</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56,1</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-44,3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-51,4</w:t>
            </w:r>
          </w:p>
        </w:tc>
      </w:tr>
      <w:tr w:rsidRPr="005E7EAC" w:rsidR="00253F08" w:rsidTr="00253F08">
        <w:trPr>
          <w:trHeight w:val="240"/>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-23,7</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-30,3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-28,4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-26,9</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6,2</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32,4</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19,7</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-72,7</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-78,3</w:t>
            </w:r>
          </w:p>
        </w:tc>
      </w:tr>
      <w:tr w:rsidRPr="005E7EAC" w:rsidR="00253F08" w:rsidTr="00253F08">
        <w:trPr>
          <w:trHeight w:val="180"/>
        </w:trPr>
        <w:tc>
          <w:tcPr>
            <w:tcW w:w="2245"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40"/>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-558,6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-419,5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-227,9</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-390,7</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-315,6</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77.451,3</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78.463,5</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79.356,2</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80.109,7</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80.918,5</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r>
      <w:tr w:rsidRPr="005E7EAC" w:rsidR="00253F08" w:rsidTr="00253F08">
        <w:trPr>
          <w:trHeight w:val="240"/>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NIET-BELASTINGONTVANGSTEN</w:t>
            </w: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r>
      <w:tr w:rsidRPr="005E7EAC" w:rsidR="00253F08" w:rsidTr="00253F08">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2019</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Stand Miljoenennota 2015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1.017,4</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1.044,1</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1.029,0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1.041,9</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1.057,5</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Kinderopvangtoeslag</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96,8</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32,6</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25,3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6,2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-7,9</w:t>
            </w:r>
          </w:p>
        </w:tc>
      </w:tr>
      <w:tr w:rsidRPr="005E7EAC" w:rsidR="00253F08" w:rsidTr="00253F08">
        <w:trPr>
          <w:trHeight w:val="450"/>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Ontvangsten sociale werkvoorziening en participatiebudget</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26,0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0,0</w:t>
            </w:r>
          </w:p>
        </w:tc>
      </w:tr>
      <w:tr w:rsidRPr="005E7EAC" w:rsidR="00253F08" w:rsidTr="00253F08">
        <w:trPr>
          <w:trHeight w:val="240"/>
        </w:trPr>
        <w:tc>
          <w:tcPr>
            <w:tcW w:w="2245" w:type="pct"/>
            <w:tcBorders>
              <w:top w:val="nil"/>
              <w:left w:val="nil"/>
              <w:bottom w:val="nil"/>
              <w:right w:val="nil"/>
            </w:tcBorders>
            <w:shd w:val="clear" w:color="auto" w:fill="auto"/>
            <w:hideMark/>
          </w:tcPr>
          <w:p w:rsidRPr="005E7EAC" w:rsidR="00253F08" w:rsidP="00253F08" w:rsidRDefault="00253F0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7,7</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-4,1</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-4,1</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-2,9</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-2,2</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130,5</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28,5</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21,2</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3,3</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-10,1</w:t>
            </w:r>
          </w:p>
        </w:tc>
      </w:tr>
      <w:tr w:rsidRPr="005E7EAC" w:rsidR="00253F08" w:rsidTr="00253F08">
        <w:trPr>
          <w:trHeight w:val="180"/>
        </w:trPr>
        <w:tc>
          <w:tcPr>
            <w:tcW w:w="2245"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F08" w:rsidP="00253F08" w:rsidRDefault="00253F08">
            <w:pPr>
              <w:rPr>
                <w:rFonts w:ascii="Verdana" w:hAnsi="Verdana"/>
                <w:color w:val="000000"/>
                <w:sz w:val="14"/>
                <w:szCs w:val="14"/>
              </w:rPr>
            </w:pPr>
          </w:p>
        </w:tc>
      </w:tr>
      <w:tr w:rsidRPr="005E7EAC" w:rsidR="00253F08" w:rsidTr="00253F08">
        <w:trPr>
          <w:trHeight w:val="240"/>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130,5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28,5</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21,2</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3,3</w:t>
            </w:r>
          </w:p>
        </w:tc>
        <w:tc>
          <w:tcPr>
            <w:tcW w:w="551" w:type="pct"/>
            <w:tcBorders>
              <w:top w:val="nil"/>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-10,2</w:t>
            </w:r>
          </w:p>
        </w:tc>
      </w:tr>
      <w:tr w:rsidRPr="005E7EAC" w:rsidR="00253F08" w:rsidTr="00253F08">
        <w:trPr>
          <w:trHeight w:val="225"/>
        </w:trPr>
        <w:tc>
          <w:tcPr>
            <w:tcW w:w="2245" w:type="pct"/>
            <w:tcBorders>
              <w:top w:val="nil"/>
              <w:left w:val="nil"/>
              <w:bottom w:val="nil"/>
              <w:right w:val="nil"/>
            </w:tcBorders>
            <w:shd w:val="clear" w:color="auto" w:fill="auto"/>
            <w:hideMark/>
          </w:tcPr>
          <w:p w:rsidRPr="005E7EAC" w:rsidR="00253F08" w:rsidP="00253F08" w:rsidRDefault="00253F08">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1.147,8</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1.072,6</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1.050,2</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1.045,1</w:t>
            </w:r>
          </w:p>
        </w:tc>
        <w:tc>
          <w:tcPr>
            <w:tcW w:w="551" w:type="pct"/>
            <w:tcBorders>
              <w:top w:val="single" w:color="000000" w:sz="8" w:space="0"/>
              <w:left w:val="nil"/>
              <w:bottom w:val="nil"/>
              <w:right w:val="nil"/>
            </w:tcBorders>
            <w:shd w:val="clear" w:color="auto" w:fill="auto"/>
            <w:hideMark/>
          </w:tcPr>
          <w:p w:rsidRPr="005E7EAC" w:rsidR="00253F08" w:rsidP="00253F08" w:rsidRDefault="00253F08">
            <w:pPr>
              <w:jc w:val="right"/>
              <w:rPr>
                <w:rFonts w:ascii="Verdana" w:hAnsi="Verdana"/>
                <w:color w:val="000000"/>
                <w:sz w:val="18"/>
                <w:szCs w:val="18"/>
              </w:rPr>
            </w:pPr>
            <w:r w:rsidRPr="005E7EAC">
              <w:rPr>
                <w:rFonts w:ascii="Verdana" w:hAnsi="Verdana"/>
                <w:color w:val="000000"/>
                <w:sz w:val="18"/>
                <w:szCs w:val="18"/>
              </w:rPr>
              <w:t>1.047,3</w:t>
            </w:r>
          </w:p>
        </w:tc>
      </w:tr>
    </w:tbl>
    <w:p w:rsidRPr="005E7EAC" w:rsidR="00F30FCC" w:rsidP="00F30FCC" w:rsidRDefault="00F30FCC">
      <w:pPr>
        <w:spacing w:line="240" w:lineRule="exact"/>
        <w:rPr>
          <w:rFonts w:ascii="Verdana" w:hAnsi="Verdana" w:cs="Arial"/>
          <w:sz w:val="18"/>
          <w:szCs w:val="18"/>
        </w:rPr>
      </w:pPr>
    </w:p>
    <w:p w:rsidRPr="005E7EAC" w:rsidR="00F30FCC" w:rsidP="00F30FCC" w:rsidRDefault="00F30FCC">
      <w:pPr>
        <w:spacing w:line="240" w:lineRule="exact"/>
        <w:rPr>
          <w:rFonts w:ascii="Verdana" w:hAnsi="Verdana" w:cs="Arial"/>
          <w:sz w:val="18"/>
          <w:szCs w:val="18"/>
        </w:rPr>
      </w:pP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i/>
          <w:sz w:val="18"/>
          <w:szCs w:val="18"/>
        </w:rPr>
        <w:t>AOW</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De raming van de uitgaven aan de AOW is bijgesteld op basis van de volumeprognose 2015 van de SVB. Het aantal mensen met een AOW-uitkering stijgt als gevolg van de gestegen levensverwachting. </w:t>
      </w:r>
    </w:p>
    <w:p w:rsidRPr="005E7EAC" w:rsidR="00F30FCC" w:rsidP="00F30FCC" w:rsidRDefault="00F30FCC">
      <w:pPr>
        <w:spacing w:line="240" w:lineRule="exact"/>
        <w:rPr>
          <w:rFonts w:ascii="Verdana" w:hAnsi="Verdana" w:cs="Courier New"/>
          <w:sz w:val="18"/>
          <w:szCs w:val="18"/>
        </w:rPr>
      </w:pPr>
    </w:p>
    <w:p w:rsidRPr="005E7EAC" w:rsidR="00F30FCC" w:rsidP="00F30FCC" w:rsidRDefault="00F30FCC">
      <w:pPr>
        <w:spacing w:line="240" w:lineRule="exact"/>
        <w:rPr>
          <w:rFonts w:ascii="Verdana" w:hAnsi="Verdana" w:cs="Courier New"/>
          <w:sz w:val="18"/>
          <w:szCs w:val="18"/>
        </w:rPr>
      </w:pPr>
    </w:p>
    <w:p w:rsidRPr="005E7EAC" w:rsidR="00F30FCC" w:rsidP="00F30FCC" w:rsidRDefault="00F30FCC">
      <w:pPr>
        <w:spacing w:line="240" w:lineRule="exact"/>
        <w:rPr>
          <w:rFonts w:ascii="Verdana" w:hAnsi="Verdana" w:cs="Courier New"/>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lastRenderedPageBreak/>
        <w:t>Bijstand</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De raming van uitgaven aan de bijstand wordt opwaarts bijgesteld als gevolg van</w:t>
      </w:r>
      <w:r w:rsidRPr="005E7EAC">
        <w:rPr>
          <w:rFonts w:ascii="Verdana" w:hAnsi="Verdana" w:cs="Calibri"/>
          <w:color w:val="000000"/>
          <w:sz w:val="18"/>
          <w:szCs w:val="18"/>
        </w:rPr>
        <w:t xml:space="preserve"> de voorlopige</w:t>
      </w:r>
      <w:r w:rsidRPr="005E7EAC">
        <w:rPr>
          <w:rFonts w:ascii="Verdana" w:hAnsi="Verdana" w:cs="Courier New"/>
          <w:sz w:val="18"/>
          <w:szCs w:val="18"/>
        </w:rPr>
        <w:t xml:space="preserve"> realisaties van gemeenten. Iets meer mensen blijken recht te hebben op een bijstandsuitkering.  </w:t>
      </w:r>
    </w:p>
    <w:p w:rsidRPr="005E7EAC" w:rsidR="00F30FCC" w:rsidP="00F30FCC" w:rsidRDefault="00F30FCC">
      <w:pPr>
        <w:spacing w:line="240" w:lineRule="exact"/>
        <w:rPr>
          <w:rFonts w:ascii="Verdana" w:hAnsi="Verdana" w:cs="Courier New"/>
          <w:sz w:val="18"/>
          <w:szCs w:val="18"/>
        </w:rPr>
      </w:pPr>
    </w:p>
    <w:p w:rsidRPr="005E7EAC" w:rsidR="00F30FCC" w:rsidP="00F30FCC" w:rsidRDefault="00F30FCC">
      <w:pPr>
        <w:spacing w:line="240" w:lineRule="exact"/>
        <w:rPr>
          <w:rFonts w:ascii="Verdana" w:hAnsi="Verdana" w:eastAsiaTheme="minorEastAsia"/>
          <w:iCs/>
          <w:sz w:val="18"/>
          <w:szCs w:val="18"/>
          <w:u w:val="single"/>
        </w:rPr>
      </w:pPr>
      <w:r w:rsidRPr="005E7EAC">
        <w:rPr>
          <w:rFonts w:ascii="Verdana" w:hAnsi="Verdana" w:cs="Courier New"/>
          <w:i/>
          <w:sz w:val="18"/>
          <w:szCs w:val="18"/>
        </w:rPr>
        <w:t>IVA</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Het verwachte aantal mensen met een IVA-uitkering is naar boven bijgesteld op basis van uitvoeringsinformatie van het UWV. Meer mensen zijn duurzaam arbeidsongeschikt dan eerder verwacht. Daarnaast is de verwachte gemiddelde uitkering hoger dan eerder gedacht.</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Kinderopvangtoeslag (uitgaven en inkomsten)</w:t>
      </w:r>
    </w:p>
    <w:p w:rsidRPr="005E7EAC" w:rsidR="00F30FCC" w:rsidP="00F30FCC" w:rsidRDefault="00F30FCC">
      <w:pPr>
        <w:spacing w:line="240" w:lineRule="exact"/>
        <w:rPr>
          <w:rFonts w:ascii="Verdana" w:hAnsi="Verdana" w:cs="Calibri"/>
          <w:color w:val="000000"/>
          <w:sz w:val="18"/>
          <w:szCs w:val="18"/>
        </w:rPr>
      </w:pPr>
      <w:r w:rsidRPr="005E7EAC">
        <w:rPr>
          <w:rFonts w:ascii="Verdana" w:hAnsi="Verdana" w:cs="Calibri"/>
          <w:color w:val="000000"/>
          <w:sz w:val="18"/>
          <w:szCs w:val="18"/>
        </w:rPr>
        <w:t>Op basis van recente realisatiecijfers van de Belastingdienst is de raming van de uitgaven aan de kinderopvang naar beneden bijgesteld. De effecten van eerdere bezuinigingen in de kinderopvang bleken groter dan eerder gedacht. Daarnaast zijn de effecten van de economische crisis groter gebleken dan verwacht. De raming is ook structureel naar beneden bijgesteld, omdat de in het verleden verwachte autonome stijging van het gebruik van kinderopvang zich niet meer lijkt voor te doen.</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Kindgebonden budget</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De raming van uitgaven aan het kindgebonden budget is neerwaarts bijgesteld op basis van nieuwe inkomensgegeven van het CPB. Door de hogere economische groei en hogere inkomens in 2015 en 2016 hebben minder mensen recht op een (hoger) kindgebonden budget. </w:t>
      </w:r>
    </w:p>
    <w:p w:rsidRPr="005E7EAC" w:rsidR="00F30FCC" w:rsidP="00F30FCC" w:rsidRDefault="00F30FCC">
      <w:pPr>
        <w:spacing w:line="240" w:lineRule="exact"/>
        <w:rPr>
          <w:rFonts w:ascii="Verdana" w:hAnsi="Verdana" w:cs="Courier New"/>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Nominale ontwikkeling</w:t>
      </w:r>
    </w:p>
    <w:p w:rsidRPr="005E7EAC" w:rsidR="00F30FCC" w:rsidP="00F30FCC" w:rsidRDefault="00F30FCC">
      <w:pPr>
        <w:spacing w:line="240" w:lineRule="exact"/>
        <w:rPr>
          <w:rFonts w:ascii="Verdana" w:hAnsi="Verdana" w:cs="Courier New"/>
          <w:i/>
          <w:sz w:val="18"/>
          <w:szCs w:val="18"/>
        </w:rPr>
      </w:pPr>
      <w:r w:rsidRPr="005E7EAC">
        <w:rPr>
          <w:rFonts w:ascii="Verdana" w:hAnsi="Verdana"/>
          <w:sz w:val="18"/>
          <w:szCs w:val="18"/>
        </w:rPr>
        <w:t>De mutatie betreft een aanpassing in de geraamde nominale ontwikkeling binnen het SZA-kader als gevolg van CPB-ramingen van loon- en prijsontwikkeling en als gevolg van mutaties in uitgavenramingen binnen de Sociale Zekerheid.</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WAO</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De opwaartse bijstelling van de geraamde uitgaven aan de WAO wordt met name veroorzaakt doordat meer mensen recht hebben op een WAO-uitkering dan eerder gedacht . </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WAZO</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De raming van de WAZO-uitgaven wordt naar beneden bijgesteld. Het totaal aantal geboorten ligt lager dan eerder gedacht. </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WGA</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De raming van de WGA-uitgaven wordt neerwaarts bijgesteld. Het verwachte aantal mensen dat van een WGA-uitkering doorstroomt naar een IVA-uitkering neemt meerjarig toe.  </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WW</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De raming van de WW-uitgaven wordt neerwaarts bijgesteld. Dit wordt voornamelijk veroorzaakt door de lagere verwachte werkloosheid dan bij MEV. </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ZW</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De opwaartse bijstelling van de geraamde uitgaven aan de Ziektewet (ZW) wordt met name veroorzaakt doordat meer mensen recht hebben op een ZW-uitkering dan eerder gedacht . Daartegenover staat dat de verwachte gemiddelde uitkering lager is dan eerder werd gedacht. Per saldo wordt de raming van de ZW-uitgaven opwaarts bijgesteld. </w:t>
      </w:r>
    </w:p>
    <w:p w:rsidRPr="005E7EAC" w:rsidR="00F30FCC" w:rsidP="00F30FCC" w:rsidRDefault="00F30FCC">
      <w:pPr>
        <w:spacing w:line="240" w:lineRule="exact"/>
        <w:rPr>
          <w:rFonts w:ascii="Verdana" w:hAnsi="Verdana" w:cs="Courier New"/>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Aanpassing fraudewet</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Dit betreft de aanpassing van de uitvoering van de Fraudewet naar aanleiding van de uitspraak van de Centrale Raad van Beroep.</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Eindejaarsmarge SZA en ramingstechnische veronderstelling in=uit</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Dit betreft de overheveling van de eindejaarsmarge naar de begroting van SZW. Gelijktijdig is de ramingstechnische veronderstelling in=uit geboekt op de Aanvullende Post. De combinatie van beide bewerkstelligt dat het totale uitgavenbeeld niet wijzigt. </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lastRenderedPageBreak/>
        <w:t>Inzet restant eindejaarsmarge SZA</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 xml:space="preserve">Ter dekking van het budgettaire beeld SZA zet SZW het restant van de eindejaarsmarge in. </w:t>
      </w:r>
    </w:p>
    <w:p w:rsidRPr="005E7EAC" w:rsidR="00F30FCC" w:rsidP="00F30FCC" w:rsidRDefault="00F30FCC">
      <w:pPr>
        <w:spacing w:line="240" w:lineRule="exact"/>
        <w:rPr>
          <w:rFonts w:ascii="Verdana" w:hAnsi="Verdana" w:cs="Courier New"/>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Kasschuiven SZA</w:t>
      </w:r>
    </w:p>
    <w:p w:rsidRPr="005E7EAC" w:rsidR="00F30FCC" w:rsidP="00F30FCC" w:rsidRDefault="00F30FCC">
      <w:pPr>
        <w:spacing w:line="240" w:lineRule="exact"/>
        <w:rPr>
          <w:rFonts w:ascii="Verdana" w:hAnsi="Verdana" w:cs="Courier New"/>
          <w:sz w:val="18"/>
          <w:szCs w:val="18"/>
        </w:rPr>
      </w:pPr>
      <w:r w:rsidRPr="005E7EAC">
        <w:rPr>
          <w:rFonts w:ascii="Verdana" w:hAnsi="Verdana" w:cs="Courier New"/>
          <w:sz w:val="18"/>
          <w:szCs w:val="18"/>
        </w:rPr>
        <w:t>Om het kasritme van de uitgaven binnen het kader SZA te ondersteunen worden diverse kasschuiven gedaan.</w:t>
      </w:r>
    </w:p>
    <w:p w:rsidRPr="005E7EAC" w:rsidR="00F30FCC" w:rsidP="00F30FCC" w:rsidRDefault="00F30FCC">
      <w:pPr>
        <w:spacing w:line="240" w:lineRule="exact"/>
        <w:rPr>
          <w:rFonts w:ascii="Verdana" w:hAnsi="Verdana" w:cs="Courier New"/>
          <w:i/>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Brutering</w:t>
      </w:r>
    </w:p>
    <w:p w:rsidRPr="005E7EAC" w:rsidR="00F30FCC" w:rsidP="00F30FCC" w:rsidRDefault="00F30FCC">
      <w:pPr>
        <w:spacing w:line="240" w:lineRule="exact"/>
        <w:rPr>
          <w:rFonts w:ascii="Verdana" w:hAnsi="Verdana" w:cs="Courier New" w:eastAsiaTheme="minorEastAsia"/>
          <w:sz w:val="18"/>
          <w:szCs w:val="18"/>
        </w:rPr>
      </w:pPr>
      <w:r w:rsidRPr="005E7EAC">
        <w:rPr>
          <w:rFonts w:ascii="Verdana" w:hAnsi="Verdana" w:cs="Courier New"/>
          <w:sz w:val="18"/>
          <w:szCs w:val="18"/>
        </w:rPr>
        <w:t>Diverse uitkeringen zijn netto gekoppeld aan het netto minimumloon, maar kennen een ander bruto-netto traject dan het minimumloon. Wijzigingen in het bruto-netto traject van het minimumloon leiden tot aanpassing van het netto minimumloon. De uitkeringen die netto zijn gekoppeld, worden evenredig aangepast maar door het andere bruto-netto traject kan de bruto uitkering een afwijkende ontwikkeling vertonen dan die van het bruto mimimumloon. Het effect hiervan op de uitkeringslasten wordt het bruteringseffect genoemd. Het uitgavenkader SZA is voor dit effect gecorrigeerd.</w:t>
      </w:r>
    </w:p>
    <w:p w:rsidRPr="005E7EAC" w:rsidR="00F30FCC" w:rsidP="00F30FCC" w:rsidRDefault="00F30FCC">
      <w:pPr>
        <w:spacing w:line="240" w:lineRule="exact"/>
        <w:rPr>
          <w:rFonts w:ascii="Verdana" w:hAnsi="Verdana" w:cs="Courier New"/>
          <w:sz w:val="18"/>
          <w:szCs w:val="18"/>
        </w:rPr>
      </w:pPr>
    </w:p>
    <w:p w:rsidRPr="005E7EAC" w:rsidR="00F30FCC" w:rsidP="00F30FCC" w:rsidRDefault="00F30FCC">
      <w:pPr>
        <w:spacing w:line="240" w:lineRule="exact"/>
        <w:rPr>
          <w:rFonts w:ascii="Verdana" w:hAnsi="Verdana" w:cs="Courier New"/>
          <w:i/>
          <w:sz w:val="18"/>
          <w:szCs w:val="18"/>
        </w:rPr>
      </w:pPr>
      <w:r w:rsidRPr="005E7EAC">
        <w:rPr>
          <w:rFonts w:ascii="Verdana" w:hAnsi="Verdana" w:cs="Courier New"/>
          <w:i/>
          <w:sz w:val="18"/>
          <w:szCs w:val="18"/>
        </w:rPr>
        <w:t>Ontvangsten sociale werkvoorziening en participatiebudget</w:t>
      </w:r>
    </w:p>
    <w:p w:rsidRPr="005E7EAC" w:rsidR="00F30FCC" w:rsidP="00F30FCC" w:rsidRDefault="00F30FCC">
      <w:pPr>
        <w:spacing w:line="240" w:lineRule="exact"/>
        <w:rPr>
          <w:rFonts w:ascii="Verdana" w:hAnsi="Verdana" w:eastAsiaTheme="minorEastAsia"/>
          <w:sz w:val="18"/>
          <w:szCs w:val="18"/>
        </w:rPr>
      </w:pPr>
      <w:r w:rsidRPr="005E7EAC">
        <w:rPr>
          <w:rFonts w:ascii="Verdana" w:hAnsi="Verdana"/>
          <w:sz w:val="18"/>
          <w:szCs w:val="18"/>
        </w:rPr>
        <w:t xml:space="preserve">Dit betreffen terugontvangsten van de sociale werkvoorziening (WSW) en het Participatiebudget in verband met onderrealisatie bij de WSW en onrechtmatigheid bij het Participatiebudget. </w:t>
      </w:r>
    </w:p>
    <w:p w:rsidRPr="005E7EAC" w:rsidR="002B5FE1" w:rsidP="00212995" w:rsidRDefault="002B5FE1">
      <w:pPr>
        <w:spacing w:after="200" w:line="276" w:lineRule="auto"/>
        <w:rPr>
          <w:rFonts w:ascii="Verdana" w:hAnsi="Verdana" w:cs="Arial"/>
          <w:sz w:val="18"/>
          <w:szCs w:val="18"/>
        </w:rPr>
      </w:pPr>
      <w:r w:rsidRPr="005E7EAC">
        <w:rPr>
          <w:rFonts w:ascii="Verdana" w:hAnsi="Verdana" w:cs="Arial"/>
          <w:sz w:val="18"/>
          <w:szCs w:val="18"/>
        </w:rPr>
        <w:br w:type="page"/>
      </w:r>
    </w:p>
    <w:p w:rsidRPr="005E7EAC" w:rsidR="002B5FE1" w:rsidP="00E16284" w:rsidRDefault="00A06108">
      <w:pPr>
        <w:rPr>
          <w:rFonts w:ascii="Verdana" w:hAnsi="Verdana" w:cs="Courier New"/>
          <w:b/>
          <w:sz w:val="18"/>
          <w:szCs w:val="18"/>
        </w:rPr>
      </w:pPr>
      <w:r w:rsidRPr="005E7EAC">
        <w:rPr>
          <w:rFonts w:ascii="Verdana" w:hAnsi="Verdana" w:cs="Courier New"/>
          <w:b/>
          <w:sz w:val="18"/>
          <w:szCs w:val="18"/>
        </w:rPr>
        <w:lastRenderedPageBreak/>
        <w:t xml:space="preserve">XVI </w:t>
      </w:r>
      <w:r w:rsidRPr="005E7EAC" w:rsidR="00212995">
        <w:rPr>
          <w:rFonts w:ascii="Verdana" w:hAnsi="Verdana" w:cs="Courier New"/>
          <w:b/>
          <w:sz w:val="18"/>
          <w:szCs w:val="18"/>
        </w:rPr>
        <w:t>Volksgezondheid, Welzijn en Sport</w:t>
      </w:r>
    </w:p>
    <w:p w:rsidRPr="005E7EAC" w:rsidR="00B262FD" w:rsidP="006868A2" w:rsidRDefault="00B262FD">
      <w:pPr>
        <w:spacing w:line="240" w:lineRule="atLeast"/>
        <w:rPr>
          <w:rFonts w:ascii="Verdana" w:hAnsi="Verdana" w:cs="Arial"/>
          <w:sz w:val="18"/>
          <w:szCs w:val="18"/>
        </w:rPr>
      </w:pPr>
    </w:p>
    <w:tbl>
      <w:tblPr>
        <w:tblW w:w="5000" w:type="pct"/>
        <w:tblCellMar>
          <w:left w:w="70" w:type="dxa"/>
          <w:right w:w="70" w:type="dxa"/>
        </w:tblCellMar>
        <w:tblLook w:val="04A0"/>
      </w:tblPr>
      <w:tblGrid>
        <w:gridCol w:w="4137"/>
        <w:gridCol w:w="1015"/>
        <w:gridCol w:w="1015"/>
        <w:gridCol w:w="1015"/>
        <w:gridCol w:w="1015"/>
        <w:gridCol w:w="1015"/>
      </w:tblGrid>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UITGAVEN</w:t>
            </w: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r>
      <w:tr w:rsidRPr="005E7EAC" w:rsidR="0025321F" w:rsidTr="0025321F">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2019</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14.580,8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14.792,9</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14.954,8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14.841,1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14.742,8</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450"/>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Kasschuif capaciteitsreductie jeugdzorg plus</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Taakstellende onderuitputting</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-19,1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16,1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16,1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16,1</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Uitvoering rvp en hielprik</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-35,4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-30,4</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64,6</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16,5</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12,2</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7,4</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450"/>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Herziene raming zorg caribisch nederland</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Kwaliteitsimpuls umc's</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49,8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49,8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49,8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37,4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37,4</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Onderuitputting integrale tarieven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-80,0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Ruimte subsidie capaciteitsopleidingen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-21,0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Tegemoetkomingen wtcg</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34,0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1,2</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61,6</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51,9</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123,8</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54,3</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53,5</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450"/>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Uitvoeringskosten svb 2015 pgb trekkingsrechten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42,7</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8,4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8,4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5,7</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5,7</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18,2</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30,2</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36,1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35,8</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-1,1</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Bijstelling bikk</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-185,5</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-195,6</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-206,8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-218,6</w:t>
            </w: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Bijstelling zorgtoeslag</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44,6</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132,7</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119,6</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425,3</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609,6</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91,0</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-27,3</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-38,5</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259,2</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431,4</w:t>
            </w:r>
          </w:p>
        </w:tc>
      </w:tr>
      <w:tr w:rsidRPr="005E7EAC" w:rsidR="0025321F" w:rsidTr="0025321F">
        <w:trPr>
          <w:trHeight w:val="180"/>
        </w:trPr>
        <w:tc>
          <w:tcPr>
            <w:tcW w:w="2245"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152,6</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24,6</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85,4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313,6</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484,9</w:t>
            </w: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14.733,5</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14.817,5</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15.040,2</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15.154,7</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15.227,7</w:t>
            </w: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5,3</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5,1</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5,0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14.738,8</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14.822,6</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15.045,2</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15.159,7</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15.232,8</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NIET-BELASTINGONTVANGSTEN</w:t>
            </w: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r>
      <w:tr w:rsidRPr="005E7EAC" w:rsidR="0025321F" w:rsidTr="0025321F">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2019</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82,7</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150,7</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72,7</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72,7</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72,7</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Ontvangsten wanbetalers</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15,0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2,4</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17,4</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12,8</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12,8</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r>
      <w:tr w:rsidRPr="005E7EAC" w:rsidR="0025321F" w:rsidTr="0025321F">
        <w:trPr>
          <w:trHeight w:val="180"/>
        </w:trPr>
        <w:tc>
          <w:tcPr>
            <w:tcW w:w="2245"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30,2</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-1,0</w:t>
            </w: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25321F" w:rsidP="0025321F" w:rsidRDefault="0025321F">
            <w:pPr>
              <w:rPr>
                <w:rFonts w:ascii="Verdana" w:hAnsi="Verdana"/>
                <w:color w:val="000000"/>
                <w:sz w:val="14"/>
                <w:szCs w:val="14"/>
              </w:rPr>
            </w:pP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112,9</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149,7</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71,7</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71,7</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71,7</w:t>
            </w:r>
          </w:p>
        </w:tc>
      </w:tr>
      <w:tr w:rsidRPr="005E7EAC" w:rsidR="0025321F" w:rsidTr="0025321F">
        <w:trPr>
          <w:trHeight w:val="240"/>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0,0</w:t>
            </w:r>
          </w:p>
        </w:tc>
      </w:tr>
      <w:tr w:rsidRPr="005E7EAC" w:rsidR="0025321F" w:rsidTr="0025321F">
        <w:trPr>
          <w:trHeight w:val="225"/>
        </w:trPr>
        <w:tc>
          <w:tcPr>
            <w:tcW w:w="2245" w:type="pct"/>
            <w:tcBorders>
              <w:top w:val="nil"/>
              <w:left w:val="nil"/>
              <w:bottom w:val="nil"/>
              <w:right w:val="nil"/>
            </w:tcBorders>
            <w:shd w:val="clear" w:color="auto" w:fill="auto"/>
            <w:hideMark/>
          </w:tcPr>
          <w:p w:rsidRPr="005E7EAC" w:rsidR="0025321F" w:rsidP="0025321F" w:rsidRDefault="0025321F">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112,9</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149,7</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71,7</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71,7</w:t>
            </w:r>
          </w:p>
        </w:tc>
        <w:tc>
          <w:tcPr>
            <w:tcW w:w="551" w:type="pct"/>
            <w:tcBorders>
              <w:top w:val="single" w:color="000000" w:sz="8" w:space="0"/>
              <w:left w:val="nil"/>
              <w:bottom w:val="nil"/>
              <w:right w:val="nil"/>
            </w:tcBorders>
            <w:shd w:val="clear" w:color="auto" w:fill="auto"/>
            <w:hideMark/>
          </w:tcPr>
          <w:p w:rsidRPr="005E7EAC" w:rsidR="0025321F" w:rsidP="0025321F" w:rsidRDefault="0025321F">
            <w:pPr>
              <w:jc w:val="right"/>
              <w:rPr>
                <w:rFonts w:ascii="Verdana" w:hAnsi="Verdana"/>
                <w:color w:val="000000"/>
                <w:sz w:val="18"/>
                <w:szCs w:val="18"/>
              </w:rPr>
            </w:pPr>
            <w:r w:rsidRPr="005E7EAC">
              <w:rPr>
                <w:rFonts w:ascii="Verdana" w:hAnsi="Verdana"/>
                <w:color w:val="000000"/>
                <w:sz w:val="18"/>
                <w:szCs w:val="18"/>
              </w:rPr>
              <w:t>71,7</w:t>
            </w:r>
          </w:p>
        </w:tc>
      </w:tr>
    </w:tbl>
    <w:p w:rsidRPr="005E7EAC" w:rsidR="00B262FD" w:rsidP="006868A2" w:rsidRDefault="00B262FD">
      <w:pPr>
        <w:spacing w:line="240" w:lineRule="atLeast"/>
        <w:rPr>
          <w:rFonts w:ascii="Verdana" w:hAnsi="Verdana" w:cs="Arial"/>
          <w:sz w:val="18"/>
          <w:szCs w:val="18"/>
        </w:rPr>
      </w:pPr>
    </w:p>
    <w:p w:rsidRPr="005E7EAC" w:rsidR="00B262FD" w:rsidP="006868A2" w:rsidRDefault="00B262FD">
      <w:pPr>
        <w:spacing w:line="240" w:lineRule="atLeast"/>
        <w:rPr>
          <w:rFonts w:ascii="Verdana" w:hAnsi="Verdana" w:cs="Arial"/>
          <w:sz w:val="18"/>
          <w:szCs w:val="18"/>
        </w:rPr>
      </w:pPr>
    </w:p>
    <w:p w:rsidRPr="005E7EAC" w:rsidR="00B262FD" w:rsidP="00B262FD" w:rsidRDefault="00B262FD">
      <w:pPr>
        <w:spacing w:line="276" w:lineRule="auto"/>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lastRenderedPageBreak/>
        <w:t>Kasschuif capaciteitsreductie jeugdzorg plus</w:t>
      </w:r>
    </w:p>
    <w:p w:rsidRPr="005E7EAC" w:rsidR="00B262FD" w:rsidP="00B262FD" w:rsidRDefault="00B262FD">
      <w:pPr>
        <w:spacing w:line="240" w:lineRule="exact"/>
        <w:rPr>
          <w:rFonts w:ascii="Verdana" w:hAnsi="Verdana"/>
          <w:sz w:val="18"/>
          <w:szCs w:val="18"/>
        </w:rPr>
      </w:pPr>
      <w:r w:rsidRPr="005E7EAC">
        <w:rPr>
          <w:rFonts w:ascii="Verdana" w:hAnsi="Verdana"/>
          <w:sz w:val="18"/>
          <w:szCs w:val="18"/>
        </w:rPr>
        <w:t>De capaciteit jeugdzorg plus wordt verlaagd met 174 capaciteitsplaatsen. Om dit mogelijk te maken is er een subsidieregeling sanering leegstand gesloten jeugdhulp. Om alle aanvragen al in 2015 te kunnen vergoeden is voorzien in een kasschuif 25 mln</w:t>
      </w:r>
      <w:r w:rsidRPr="005E7EAC" w:rsidR="0025321F">
        <w:rPr>
          <w:rFonts w:ascii="Verdana" w:hAnsi="Verdana"/>
          <w:sz w:val="18"/>
          <w:szCs w:val="18"/>
        </w:rPr>
        <w:t>.</w:t>
      </w:r>
      <w:r w:rsidRPr="005E7EAC">
        <w:rPr>
          <w:rFonts w:ascii="Verdana" w:hAnsi="Verdana"/>
          <w:sz w:val="18"/>
          <w:szCs w:val="18"/>
        </w:rPr>
        <w:t xml:space="preserve"> van 2016 naar 2015.</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Taakstellende onderuitputting</w:t>
      </w:r>
    </w:p>
    <w:p w:rsidRPr="005E7EAC" w:rsidR="0025321F" w:rsidP="0025321F" w:rsidRDefault="0025321F">
      <w:pPr>
        <w:spacing w:line="240" w:lineRule="exact"/>
        <w:rPr>
          <w:rFonts w:ascii="Verdana" w:hAnsi="Verdana"/>
          <w:sz w:val="18"/>
          <w:szCs w:val="18"/>
        </w:rPr>
      </w:pPr>
      <w:r w:rsidRPr="005E7EAC">
        <w:rPr>
          <w:rFonts w:ascii="Verdana" w:hAnsi="Verdana"/>
          <w:sz w:val="18"/>
          <w:szCs w:val="18"/>
        </w:rPr>
        <w:t>De taakstellende onderuitputting wordt in 2016 incidenteel verhoogd. In de overige jaren wordt de taakstellende onderuitputting verlaagd en is vanaf  2017 nul.</w:t>
      </w:r>
    </w:p>
    <w:p w:rsidRPr="005E7EAC" w:rsidR="00B262FD" w:rsidP="00B262FD" w:rsidRDefault="00B262FD">
      <w:pPr>
        <w:spacing w:line="240" w:lineRule="exact"/>
        <w:rPr>
          <w:rFonts w:ascii="Verdana" w:hAnsi="Verdana"/>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 xml:space="preserve">Uitvoering RVP en hielprik </w:t>
      </w:r>
    </w:p>
    <w:p w:rsidRPr="005E7EAC" w:rsidR="00B262FD" w:rsidP="00B262FD" w:rsidRDefault="00B262FD">
      <w:pPr>
        <w:spacing w:line="240" w:lineRule="exact"/>
        <w:rPr>
          <w:rFonts w:ascii="Verdana" w:hAnsi="Verdana"/>
          <w:sz w:val="18"/>
          <w:szCs w:val="18"/>
        </w:rPr>
      </w:pPr>
      <w:r w:rsidRPr="005E7EAC">
        <w:rPr>
          <w:rFonts w:ascii="Verdana" w:hAnsi="Verdana"/>
          <w:sz w:val="18"/>
          <w:szCs w:val="18"/>
        </w:rPr>
        <w:t xml:space="preserve">De uitgaven voor de uitvoering van het Rijksvaccinatieprogramma en de hielprik zijn als gevolg van onder meer dalende geboortecijfers structureel lager dan het hiervoor beschikbaar gestelde budget. Hierbij is reeds rekening gehouden met de extra uitgaven door uitbreiding van de screening bij de hielprik (advies Gezondheidsraad). </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Diversen (beleidsmatige mutaties, Rijksbegroting in enge zin)</w:t>
      </w:r>
    </w:p>
    <w:p w:rsidRPr="005E7EAC" w:rsidR="00B262FD" w:rsidP="00B262FD" w:rsidRDefault="00B262FD">
      <w:pPr>
        <w:spacing w:line="240" w:lineRule="exact"/>
        <w:rPr>
          <w:rFonts w:ascii="Verdana" w:hAnsi="Verdana"/>
          <w:sz w:val="18"/>
          <w:szCs w:val="18"/>
        </w:rPr>
      </w:pPr>
      <w:r w:rsidRPr="005E7EAC">
        <w:rPr>
          <w:rFonts w:ascii="Verdana" w:hAnsi="Verdana"/>
          <w:sz w:val="18"/>
          <w:szCs w:val="18"/>
        </w:rPr>
        <w:t>Deze post bevat verschillende mutaties, waaronder de uitwerking strategische agenda, de kosten voor de mobiliteitsorganisatie voormalige diensten en de verbeterplannen transitie DBC-Onderhoud.</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 xml:space="preserve">Herziene raming zorg Caribisch Nederland </w:t>
      </w:r>
    </w:p>
    <w:p w:rsidRPr="005E7EAC" w:rsidR="00B262FD" w:rsidP="00B262FD" w:rsidRDefault="00B262FD">
      <w:pPr>
        <w:spacing w:line="240" w:lineRule="exact"/>
        <w:rPr>
          <w:rFonts w:ascii="Verdana" w:hAnsi="Verdana"/>
          <w:color w:val="000000"/>
          <w:sz w:val="18"/>
          <w:szCs w:val="18"/>
        </w:rPr>
      </w:pPr>
      <w:r w:rsidRPr="005E7EAC">
        <w:rPr>
          <w:rFonts w:ascii="Verdana" w:hAnsi="Verdana"/>
          <w:color w:val="000000"/>
          <w:sz w:val="18"/>
          <w:szCs w:val="18"/>
        </w:rPr>
        <w:t>Dit betreft een stijging van de uitgaven voor medisch-specialistische zorg op Caribisch Nederland. Daarnaast leidt de waardedaling van de euro tot meerkosten voor 2015 en verder.</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 xml:space="preserve">Kwaliteitsimpuls UMC’s </w:t>
      </w:r>
    </w:p>
    <w:p w:rsidRPr="005E7EAC" w:rsidR="00B262FD" w:rsidP="00B262FD" w:rsidRDefault="00B262FD">
      <w:pPr>
        <w:spacing w:line="240" w:lineRule="exact"/>
        <w:rPr>
          <w:rFonts w:ascii="Verdana" w:hAnsi="Verdana"/>
          <w:color w:val="000000"/>
          <w:sz w:val="18"/>
          <w:szCs w:val="18"/>
        </w:rPr>
      </w:pPr>
      <w:r w:rsidRPr="005E7EAC">
        <w:rPr>
          <w:rFonts w:ascii="Verdana" w:hAnsi="Verdana"/>
          <w:color w:val="000000"/>
          <w:sz w:val="18"/>
          <w:szCs w:val="18"/>
        </w:rPr>
        <w:t xml:space="preserve">Bij de zorgafspraken in het voorjaar 2013 speelden de UMC’s middelen vrij voor de overgang naar het Pensioenfonds Zorg en Welzijn. Deze overgang gaat niet door en daarmee vallen de middelen vrij voor alternatieve aanwending. Deze middelen vloeien terug naar de UMC’s door middel van een subsidieregeling kwaliteitsimpuls UMC’s. </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 xml:space="preserve">Onderuitputting integrale tarieven </w:t>
      </w:r>
    </w:p>
    <w:p w:rsidRPr="005E7EAC" w:rsidR="00B262FD" w:rsidP="00B262FD" w:rsidRDefault="00B262FD">
      <w:pPr>
        <w:spacing w:line="240" w:lineRule="exact"/>
        <w:rPr>
          <w:rFonts w:ascii="Verdana" w:hAnsi="Verdana"/>
          <w:color w:val="000000"/>
          <w:sz w:val="18"/>
          <w:szCs w:val="18"/>
        </w:rPr>
      </w:pPr>
      <w:r w:rsidRPr="005E7EAC">
        <w:rPr>
          <w:rFonts w:ascii="Verdana" w:hAnsi="Verdana"/>
          <w:color w:val="000000"/>
          <w:sz w:val="18"/>
          <w:szCs w:val="18"/>
        </w:rPr>
        <w:t xml:space="preserve">In het hoofdlijnenakkoord medisch-specialistische zorg zijn afspraken gemaakt ter facilitering van de transitie naar integrale tarieven. In 2015 is sprake van onderuitputting. Deze middelen worden via een kasschuif beschikbaar gehouden voor 2016 en 2017. </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Ruimte subsidie capaciteitsopleidingen</w:t>
      </w:r>
    </w:p>
    <w:p w:rsidRPr="005E7EAC" w:rsidR="00B262FD" w:rsidP="00B262FD" w:rsidRDefault="00B262FD">
      <w:pPr>
        <w:spacing w:line="240" w:lineRule="exact"/>
        <w:rPr>
          <w:rFonts w:ascii="Verdana" w:hAnsi="Verdana"/>
          <w:color w:val="000000"/>
          <w:sz w:val="18"/>
          <w:szCs w:val="18"/>
        </w:rPr>
      </w:pPr>
      <w:r w:rsidRPr="005E7EAC">
        <w:rPr>
          <w:rFonts w:ascii="Verdana" w:hAnsi="Verdana"/>
          <w:color w:val="000000"/>
          <w:sz w:val="18"/>
          <w:szCs w:val="18"/>
        </w:rPr>
        <w:t>In de loop van 2015 en 2016 zal het Capaciteitsorgaan nieuwe adviezen afgeven. Deze hebben geen effect meer op de uitgaven in 2015. In 2015 resteert derhalve een ruimte van 21 mln.</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Tegemoetkomingen wtcg</w:t>
      </w:r>
    </w:p>
    <w:p w:rsidRPr="005E7EAC" w:rsidR="00B262FD" w:rsidP="00B262FD" w:rsidRDefault="00B262FD">
      <w:pPr>
        <w:spacing w:line="240" w:lineRule="exact"/>
        <w:rPr>
          <w:rFonts w:ascii="Verdana" w:hAnsi="Verdana"/>
          <w:color w:val="000000"/>
          <w:sz w:val="18"/>
          <w:szCs w:val="18"/>
        </w:rPr>
      </w:pPr>
      <w:r w:rsidRPr="005E7EAC">
        <w:rPr>
          <w:rFonts w:ascii="Verdana" w:hAnsi="Verdana"/>
          <w:color w:val="000000"/>
          <w:sz w:val="18"/>
          <w:szCs w:val="18"/>
        </w:rPr>
        <w:t xml:space="preserve">Het tekort op het Wtcg-budget 2015 is ontstaan doordat een deel van de voor 2014 geraamde betalingen van tegemoetkomingen Wtcg is doorgeschoven naar 2015. </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 xml:space="preserve">Diversen (beleidsmatige mutaties, zorg) </w:t>
      </w:r>
    </w:p>
    <w:p w:rsidRPr="005E7EAC" w:rsidR="00B262FD" w:rsidP="00B262FD" w:rsidRDefault="00B262FD">
      <w:pPr>
        <w:spacing w:line="240" w:lineRule="exact"/>
        <w:rPr>
          <w:rFonts w:ascii="Verdana" w:hAnsi="Verdana"/>
          <w:i/>
          <w:sz w:val="18"/>
          <w:szCs w:val="18"/>
        </w:rPr>
      </w:pPr>
      <w:r w:rsidRPr="005E7EAC">
        <w:rPr>
          <w:rFonts w:ascii="Verdana" w:hAnsi="Verdana"/>
          <w:sz w:val="18"/>
          <w:szCs w:val="18"/>
        </w:rPr>
        <w:t>Deze post betreft een stijging van de kosten voor abortusklinieken onder andere als gevolg van tariefindexatie en volumeontwikkeling.</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 xml:space="preserve">Uitvoeringskosten SVB 2015 pgb trekkingsrechten </w:t>
      </w:r>
    </w:p>
    <w:p w:rsidRPr="005E7EAC" w:rsidR="00B262FD" w:rsidP="00B262FD" w:rsidRDefault="00B262FD">
      <w:pPr>
        <w:spacing w:line="240" w:lineRule="exact"/>
        <w:rPr>
          <w:rFonts w:ascii="Verdana" w:hAnsi="Verdana"/>
          <w:color w:val="000000"/>
          <w:sz w:val="18"/>
          <w:szCs w:val="18"/>
        </w:rPr>
      </w:pPr>
      <w:r w:rsidRPr="005E7EAC">
        <w:rPr>
          <w:rFonts w:ascii="Verdana" w:hAnsi="Verdana"/>
          <w:color w:val="000000"/>
          <w:sz w:val="18"/>
          <w:szCs w:val="18"/>
        </w:rPr>
        <w:t xml:space="preserve">Het SVB heeft aanvullende kosten voor de trekkingsrechten pgb’s en de overgang voor pgb-houders. </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Diversen (technische mutaties, rijksbegroting in enge zin)</w:t>
      </w:r>
    </w:p>
    <w:p w:rsidRPr="005E7EAC" w:rsidR="00B262FD" w:rsidP="00B262FD" w:rsidRDefault="00B262FD">
      <w:pPr>
        <w:spacing w:line="240" w:lineRule="exact"/>
        <w:rPr>
          <w:rFonts w:ascii="Verdana" w:hAnsi="Verdana"/>
          <w:sz w:val="18"/>
          <w:szCs w:val="18"/>
        </w:rPr>
      </w:pPr>
      <w:r w:rsidRPr="005E7EAC">
        <w:rPr>
          <w:rFonts w:ascii="Verdana" w:hAnsi="Verdana"/>
          <w:sz w:val="18"/>
          <w:szCs w:val="18"/>
        </w:rPr>
        <w:t>Deze post betreft onder meer een desaldering in verband met de tijdelijke projectdirectie PD Alt, de invoering van de normatieve huisvestingcomponent (NHC) en middelen voor antibioticaresistentie.</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 xml:space="preserve">Diversen (technische mutaties, zorg) </w:t>
      </w:r>
    </w:p>
    <w:p w:rsidRPr="005E7EAC" w:rsidR="00B262FD" w:rsidP="00B262FD" w:rsidRDefault="00B262FD">
      <w:pPr>
        <w:pStyle w:val="Geenafstand"/>
        <w:spacing w:line="240" w:lineRule="exact"/>
        <w:rPr>
          <w:rFonts w:cs="Times New Roman"/>
          <w:szCs w:val="18"/>
        </w:rPr>
      </w:pPr>
      <w:r w:rsidRPr="005E7EAC">
        <w:rPr>
          <w:rFonts w:cs="Times New Roman"/>
          <w:szCs w:val="18"/>
        </w:rPr>
        <w:t>Dit betreft de prijsbijstelling tranche 2015 voor het begrotingsgefinancierde deel van het BKZ.</w:t>
      </w:r>
    </w:p>
    <w:p w:rsidRPr="005E7EAC" w:rsidR="00B262FD" w:rsidP="00B262FD" w:rsidRDefault="00B262FD">
      <w:pPr>
        <w:spacing w:line="240" w:lineRule="exact"/>
        <w:rPr>
          <w:rFonts w:ascii="Verdana" w:hAnsi="Verdana"/>
          <w:i/>
          <w:sz w:val="18"/>
          <w:szCs w:val="18"/>
        </w:rPr>
      </w:pPr>
    </w:p>
    <w:p w:rsidRPr="005E7EAC" w:rsidR="00E95EB4" w:rsidP="00B262FD" w:rsidRDefault="00E95EB4">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Bijstelling BIKK</w:t>
      </w:r>
    </w:p>
    <w:p w:rsidRPr="005E7EAC" w:rsidR="00B262FD" w:rsidP="00B262FD" w:rsidRDefault="00B262FD">
      <w:pPr>
        <w:pStyle w:val="Geenafstand"/>
        <w:spacing w:line="240" w:lineRule="exact"/>
        <w:rPr>
          <w:rFonts w:cs="Times New Roman"/>
          <w:szCs w:val="18"/>
        </w:rPr>
      </w:pPr>
      <w:r w:rsidRPr="005E7EAC">
        <w:rPr>
          <w:rFonts w:cs="Times New Roman"/>
          <w:szCs w:val="18"/>
        </w:rPr>
        <w:t>Dit is de bijstelling Bijdrage in Kosten van Kortingen (BIKK) naar aanleiding van actuele ramingen van het Centraal Planbureau.</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Bijstelling Zorgtoeslag</w:t>
      </w:r>
    </w:p>
    <w:p w:rsidRPr="005E7EAC" w:rsidR="00B262FD" w:rsidP="00B262FD" w:rsidRDefault="00B262FD">
      <w:pPr>
        <w:pStyle w:val="Geenafstand"/>
        <w:spacing w:line="240" w:lineRule="exact"/>
        <w:rPr>
          <w:rFonts w:cs="Times New Roman"/>
          <w:szCs w:val="18"/>
        </w:rPr>
      </w:pPr>
      <w:r w:rsidRPr="005E7EAC">
        <w:rPr>
          <w:rFonts w:cs="Times New Roman"/>
          <w:szCs w:val="18"/>
        </w:rPr>
        <w:t>Dit is de bijstelling van de uitgavenraming zorgtoeslag naar aanleiding van actuele ramingen van het Centraal Planbureau.</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Ontvangsten wanbetalers</w:t>
      </w:r>
    </w:p>
    <w:p w:rsidRPr="005E7EAC" w:rsidR="00B262FD" w:rsidP="00B262FD" w:rsidRDefault="00B262FD">
      <w:pPr>
        <w:spacing w:line="240" w:lineRule="exact"/>
        <w:rPr>
          <w:rFonts w:ascii="Verdana" w:hAnsi="Verdana"/>
          <w:color w:val="000000"/>
          <w:sz w:val="18"/>
          <w:szCs w:val="18"/>
        </w:rPr>
      </w:pPr>
      <w:r w:rsidRPr="005E7EAC">
        <w:rPr>
          <w:rFonts w:ascii="Verdana" w:hAnsi="Verdana"/>
          <w:color w:val="000000"/>
          <w:sz w:val="18"/>
          <w:szCs w:val="18"/>
        </w:rPr>
        <w:t xml:space="preserve">Betreft een ramingsbijstelling van het Zorginstituut Nederland ten aanzien van de opbrengsten wanbetalers. </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 xml:space="preserve">Diversen (beleidsmatige mutaties, rijksbegroting in enge zin) </w:t>
      </w:r>
    </w:p>
    <w:p w:rsidRPr="005E7EAC" w:rsidR="00B262FD" w:rsidP="00B262FD" w:rsidRDefault="00B262FD">
      <w:pPr>
        <w:pStyle w:val="Geenafstand"/>
        <w:spacing w:line="240" w:lineRule="exact"/>
        <w:rPr>
          <w:rFonts w:cs="Times New Roman"/>
          <w:szCs w:val="18"/>
        </w:rPr>
      </w:pPr>
      <w:r w:rsidRPr="005E7EAC">
        <w:rPr>
          <w:rFonts w:cs="Times New Roman"/>
          <w:szCs w:val="18"/>
        </w:rPr>
        <w:t>Dit is een optelsom van verschillende mutaties en desalderingen.</w:t>
      </w:r>
    </w:p>
    <w:p w:rsidRPr="005E7EAC" w:rsidR="00B262FD" w:rsidP="00B262FD" w:rsidRDefault="00B262FD">
      <w:pPr>
        <w:spacing w:line="240" w:lineRule="exact"/>
        <w:rPr>
          <w:rFonts w:ascii="Verdana" w:hAnsi="Verdana"/>
          <w:i/>
          <w:sz w:val="18"/>
          <w:szCs w:val="18"/>
        </w:rPr>
      </w:pPr>
    </w:p>
    <w:p w:rsidRPr="005E7EAC" w:rsidR="00B262FD" w:rsidP="00B262FD" w:rsidRDefault="00B262FD">
      <w:pPr>
        <w:spacing w:line="240" w:lineRule="exact"/>
        <w:rPr>
          <w:rFonts w:ascii="Verdana" w:hAnsi="Verdana"/>
          <w:i/>
          <w:sz w:val="18"/>
          <w:szCs w:val="18"/>
        </w:rPr>
      </w:pPr>
      <w:r w:rsidRPr="005E7EAC">
        <w:rPr>
          <w:rFonts w:ascii="Verdana" w:hAnsi="Verdana"/>
          <w:i/>
          <w:sz w:val="18"/>
          <w:szCs w:val="18"/>
        </w:rPr>
        <w:t>Diversen (technische mutaties, rijksbegroting in enge zin)</w:t>
      </w:r>
    </w:p>
    <w:p w:rsidRPr="005E7EAC" w:rsidR="00B262FD" w:rsidP="00B262FD" w:rsidRDefault="00B262FD">
      <w:pPr>
        <w:spacing w:line="240" w:lineRule="exact"/>
        <w:rPr>
          <w:rFonts w:ascii="Verdana" w:hAnsi="Verdana"/>
          <w:sz w:val="18"/>
          <w:szCs w:val="18"/>
        </w:rPr>
      </w:pPr>
      <w:r w:rsidRPr="005E7EAC">
        <w:rPr>
          <w:rFonts w:ascii="Verdana" w:hAnsi="Verdana"/>
          <w:sz w:val="18"/>
          <w:szCs w:val="18"/>
        </w:rPr>
        <w:t>Deze post betreft een desaldering in verband met de tijdelijke projectdirectie PD ALT.</w:t>
      </w:r>
    </w:p>
    <w:p w:rsidRPr="005E7EAC" w:rsidR="00406846" w:rsidP="006868A2" w:rsidRDefault="00B92FA0">
      <w:pPr>
        <w:spacing w:line="240" w:lineRule="atLeast"/>
        <w:rPr>
          <w:rFonts w:ascii="Verdana" w:hAnsi="Verdana" w:cs="Arial"/>
          <w:sz w:val="18"/>
          <w:szCs w:val="18"/>
        </w:rPr>
      </w:pPr>
      <w:r w:rsidRPr="005E7EAC">
        <w:rPr>
          <w:rFonts w:ascii="Verdana" w:hAnsi="Verdana" w:cs="Arial"/>
          <w:sz w:val="18"/>
          <w:szCs w:val="18"/>
        </w:rPr>
        <w:br w:type="page"/>
      </w:r>
    </w:p>
    <w:p w:rsidRPr="005E7EAC" w:rsidR="0071290E" w:rsidP="00CD01B4" w:rsidRDefault="00406846">
      <w:pPr>
        <w:rPr>
          <w:rFonts w:ascii="Verdana" w:hAnsi="Verdana" w:cs="Courier New"/>
          <w:b/>
          <w:sz w:val="18"/>
          <w:szCs w:val="18"/>
        </w:rPr>
      </w:pPr>
      <w:r w:rsidRPr="005E7EAC">
        <w:rPr>
          <w:rFonts w:ascii="Verdana" w:hAnsi="Verdana" w:cs="Courier New"/>
          <w:b/>
          <w:sz w:val="18"/>
          <w:szCs w:val="18"/>
        </w:rPr>
        <w:lastRenderedPageBreak/>
        <w:t>Budgettair Kader Zorg</w:t>
      </w:r>
      <w:r w:rsidRPr="005E7EAC" w:rsidR="0071290E">
        <w:rPr>
          <w:rFonts w:ascii="Verdana" w:hAnsi="Verdana" w:cs="Courier New"/>
          <w:b/>
          <w:sz w:val="18"/>
          <w:szCs w:val="18"/>
        </w:rPr>
        <w:t xml:space="preserve"> </w:t>
      </w:r>
    </w:p>
    <w:p w:rsidRPr="005E7EAC" w:rsidR="0055692F" w:rsidP="0055692F" w:rsidRDefault="0055692F">
      <w:pPr>
        <w:spacing w:line="240" w:lineRule="exact"/>
        <w:rPr>
          <w:rFonts w:ascii="Verdana" w:hAnsi="Verdana" w:cs="Arial"/>
          <w:b/>
          <w:sz w:val="18"/>
          <w:szCs w:val="18"/>
        </w:rPr>
      </w:pPr>
    </w:p>
    <w:tbl>
      <w:tblPr>
        <w:tblW w:w="5000" w:type="pct"/>
        <w:tblCellMar>
          <w:left w:w="70" w:type="dxa"/>
          <w:right w:w="70" w:type="dxa"/>
        </w:tblCellMar>
        <w:tblLook w:val="04A0"/>
      </w:tblPr>
      <w:tblGrid>
        <w:gridCol w:w="4137"/>
        <w:gridCol w:w="1015"/>
        <w:gridCol w:w="1015"/>
        <w:gridCol w:w="1015"/>
        <w:gridCol w:w="1015"/>
        <w:gridCol w:w="1015"/>
      </w:tblGrid>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UITGAVEN</w:t>
            </w: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r>
      <w:tr w:rsidRPr="005E7EAC" w:rsidR="00916621" w:rsidTr="00916621">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2019</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Stand Miljoenennota 2015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71.346,4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73.582,3</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75.068,1</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78.271,5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81.815,6</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Genees- en hulpmiddelen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-271,1</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-271,1</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-271,1</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-271,1</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-271,1</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Grensoverschrijdende zorg</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Herverdelingseffect jeugdzorg</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-132,8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-135,9</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-136,8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-136,8</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Herverdelingseffect wlz</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241,5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305,2</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353,3</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364,4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364,4</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Herverdelingseffect wmo</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-256,5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-288,5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-317,1</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-306,1</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Herverdelingseffect zvw</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-37,9</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-26,2</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-69,0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-72,7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-51,7</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Medisch specialistische zorg</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-34,7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-34,7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-34,7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-34,7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-34,7</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Nominale ontwikkeling</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-268,6</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-259,4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-244,5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-202,7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-251,4</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Wlz-indiceerbaren jeugdzorg</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-108,9</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-108,9</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-108,9</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-108,9</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-108,9</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Wlz-indiceerbaren wmo</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r>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-9,7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-5,4</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-564,4</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-864,8</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-879,7</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-860,0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-876,7</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Capaciteitsreductie gesloten jeugdzorg</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-9,0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Darmkankerscreening</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Dekking pgb-tekort</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-116,0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-176,0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-176,0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-176,0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Extramuraliseringseffecten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259,0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338,0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378,0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309,0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Geneesmiddelen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-149,2</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-291,3</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-345,0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-345,0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Groeiruimte wmo 2015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-27,6</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-30,7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-30,7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-30,7</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Huishoudelijke hulptoelage</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13,5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66,0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Kapitaallasten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22,9</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57,5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71,7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71,7</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Kasschuif groeiruimte care</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Kosten svb pgb trekkingsrechten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42,7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5,7</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Kwaliteitsimpuls umc's</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49,8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49,8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49,8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37,4</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Onderuitputting integrale tarieven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r>
      <w:tr w:rsidRPr="005E7EAC" w:rsidR="00916621" w:rsidTr="00916621">
        <w:trPr>
          <w:trHeight w:val="450"/>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Pgb-tekort wlz wegens hogere toestroom</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160,0</w:t>
            </w:r>
          </w:p>
        </w:tc>
      </w:tr>
      <w:tr w:rsidRPr="005E7EAC" w:rsidR="00916621" w:rsidTr="00916621">
        <w:trPr>
          <w:trHeight w:val="450"/>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Premie reservering awbz uitvoeringskosten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-40,0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Ruimte kwaliteitsimpuls umc's</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-37,4</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Tarieven tandheelkunde</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-18,0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-35,0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Tegemoetkomingen wtcg</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34,0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7,1</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3,1</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1,2</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Volumegroei tranche 2017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-96,0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-96,0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-96,0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Volumegroei 2016</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28,4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28,4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28,4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28,4</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Volumegroei 2017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110,0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Vrijval nominaal en onverdeeld</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-164,8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-159,3</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-153,8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-153,8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-153,8</w:t>
            </w:r>
          </w:p>
        </w:tc>
      </w:tr>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-25,8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-71,5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-66,4</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-54,6</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-55,6</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-186,2</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-106,5</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-155,1</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-151,1</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-222,3</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Brutering pgb</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r>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-64,3</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-48,7</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-64,6</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-63,7</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-4,3</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11,3</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-4,6</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-3,7</w:t>
            </w:r>
          </w:p>
        </w:tc>
      </w:tr>
      <w:tr w:rsidRPr="005E7EAC" w:rsidR="00916621" w:rsidTr="00916621">
        <w:trPr>
          <w:trHeight w:val="180"/>
        </w:trPr>
        <w:tc>
          <w:tcPr>
            <w:tcW w:w="2245"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-754,9</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-960,0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-1.034,6</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-1.015,6</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-1.102,6</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70.591,5</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72.622,3</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74.033,5</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77.255,9</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80.713,0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r>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NIET-BELASTINGONTVANGSTEN</w:t>
            </w: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r>
      <w:tr w:rsidRPr="005E7EAC" w:rsidR="00916621" w:rsidTr="00916621">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2019</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Stand Miljoenennota 2015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4.955,0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5.071,8</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5.138,0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5.261,0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5.462,9</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Eigen bijdrage wlz</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94,0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112,0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123,0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125,0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115,0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94,0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112,0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123,0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125,0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115,0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ind w:firstLine="360" w:firstLineChars="200"/>
              <w:rPr>
                <w:rFonts w:ascii="Verdana" w:hAnsi="Verdana"/>
                <w:color w:val="000000"/>
                <w:sz w:val="18"/>
                <w:szCs w:val="18"/>
              </w:rPr>
            </w:pPr>
            <w:r w:rsidRPr="005E7EAC">
              <w:rPr>
                <w:rFonts w:ascii="Verdana" w:hAnsi="Verdana"/>
                <w:color w:val="000000"/>
                <w:sz w:val="18"/>
                <w:szCs w:val="18"/>
              </w:rPr>
              <w:t>Brutering pgb</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60,0</w:t>
            </w:r>
          </w:p>
        </w:tc>
      </w:tr>
      <w:tr w:rsidRPr="005E7EAC" w:rsidR="00916621" w:rsidTr="00916621">
        <w:trPr>
          <w:trHeight w:val="180"/>
        </w:trPr>
        <w:tc>
          <w:tcPr>
            <w:tcW w:w="2245"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916621" w:rsidP="00916621" w:rsidRDefault="00916621">
            <w:pPr>
              <w:rPr>
                <w:rFonts w:ascii="Verdana" w:hAnsi="Verdana"/>
                <w:color w:val="000000"/>
                <w:sz w:val="14"/>
                <w:szCs w:val="14"/>
              </w:rPr>
            </w:pPr>
          </w:p>
        </w:tc>
      </w:tr>
      <w:tr w:rsidRPr="005E7EAC" w:rsidR="00916621" w:rsidTr="00916621">
        <w:trPr>
          <w:trHeight w:val="240"/>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154,0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172,0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183,0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185,0</w:t>
            </w:r>
          </w:p>
        </w:tc>
        <w:tc>
          <w:tcPr>
            <w:tcW w:w="551" w:type="pct"/>
            <w:tcBorders>
              <w:top w:val="nil"/>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175,0</w:t>
            </w:r>
          </w:p>
        </w:tc>
      </w:tr>
      <w:tr w:rsidRPr="005E7EAC" w:rsidR="00916621" w:rsidTr="00916621">
        <w:trPr>
          <w:trHeight w:val="225"/>
        </w:trPr>
        <w:tc>
          <w:tcPr>
            <w:tcW w:w="2245" w:type="pct"/>
            <w:tcBorders>
              <w:top w:val="nil"/>
              <w:left w:val="nil"/>
              <w:bottom w:val="nil"/>
              <w:right w:val="nil"/>
            </w:tcBorders>
            <w:shd w:val="clear" w:color="auto" w:fill="auto"/>
            <w:hideMark/>
          </w:tcPr>
          <w:p w:rsidRPr="005E7EAC" w:rsidR="00916621" w:rsidP="00916621" w:rsidRDefault="00916621">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5.109,0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5.243,8</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5.321,0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5.446,0</w:t>
            </w:r>
          </w:p>
        </w:tc>
        <w:tc>
          <w:tcPr>
            <w:tcW w:w="551" w:type="pct"/>
            <w:tcBorders>
              <w:top w:val="single" w:color="000000" w:sz="8" w:space="0"/>
              <w:left w:val="nil"/>
              <w:bottom w:val="nil"/>
              <w:right w:val="nil"/>
            </w:tcBorders>
            <w:shd w:val="clear" w:color="auto" w:fill="auto"/>
            <w:hideMark/>
          </w:tcPr>
          <w:p w:rsidRPr="005E7EAC" w:rsidR="00916621" w:rsidP="00916621" w:rsidRDefault="00916621">
            <w:pPr>
              <w:jc w:val="right"/>
              <w:rPr>
                <w:rFonts w:ascii="Verdana" w:hAnsi="Verdana"/>
                <w:color w:val="000000"/>
                <w:sz w:val="18"/>
                <w:szCs w:val="18"/>
              </w:rPr>
            </w:pPr>
            <w:r w:rsidRPr="005E7EAC">
              <w:rPr>
                <w:rFonts w:ascii="Verdana" w:hAnsi="Verdana"/>
                <w:color w:val="000000"/>
                <w:sz w:val="18"/>
                <w:szCs w:val="18"/>
              </w:rPr>
              <w:t>5.637,9</w:t>
            </w:r>
          </w:p>
        </w:tc>
      </w:tr>
    </w:tbl>
    <w:p w:rsidRPr="005E7EAC" w:rsidR="008317DA" w:rsidP="008317DA" w:rsidRDefault="008317DA">
      <w:pPr>
        <w:spacing w:line="240" w:lineRule="exact"/>
        <w:rPr>
          <w:rFonts w:ascii="Verdana" w:hAnsi="Verdana" w:cs="Arial"/>
          <w:b/>
          <w:sz w:val="18"/>
          <w:szCs w:val="18"/>
        </w:rPr>
      </w:pPr>
    </w:p>
    <w:p w:rsidRPr="005E7EAC" w:rsidR="008317DA" w:rsidP="008317DA" w:rsidRDefault="008317DA">
      <w:pPr>
        <w:spacing w:line="240" w:lineRule="exact"/>
        <w:rPr>
          <w:rFonts w:ascii="Verdana" w:hAnsi="Verdana" w:cs="Arial"/>
          <w:b/>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Genees- en hulpmiddelen</w:t>
      </w:r>
    </w:p>
    <w:p w:rsidRPr="005E7EAC" w:rsidR="008317DA" w:rsidP="00C92D8B" w:rsidRDefault="008317DA">
      <w:pPr>
        <w:spacing w:line="240" w:lineRule="exact"/>
        <w:ind w:right="567"/>
        <w:rPr>
          <w:rFonts w:ascii="Verdana" w:hAnsi="Verdana"/>
          <w:sz w:val="18"/>
          <w:szCs w:val="18"/>
        </w:rPr>
      </w:pPr>
      <w:r w:rsidRPr="005E7EAC">
        <w:rPr>
          <w:rFonts w:ascii="Verdana" w:hAnsi="Verdana" w:cs="Calibri"/>
          <w:sz w:val="18"/>
          <w:szCs w:val="18"/>
        </w:rPr>
        <w:t xml:space="preserve">Dit betreft de neerwaartse bijstelling van de uitgaven voor genees- en hulpmiddelen. Dit is de doorwerking van de afrekening 2014. De neerwaartse bijstelling van de geneesmiddelen (188 mln.) wordt voornamelijk veroorzaakt door o.a. lagere volumegroei en succesvol gevoerd preferentiebeleid. </w:t>
      </w:r>
      <w:r w:rsidRPr="005E7EAC">
        <w:rPr>
          <w:rFonts w:ascii="Verdana" w:hAnsi="Verdana" w:cs="Calibri"/>
          <w:color w:val="000000"/>
          <w:sz w:val="18"/>
          <w:szCs w:val="18"/>
        </w:rPr>
        <w:t xml:space="preserve">De uitgaven in de hulpmiddelensector lijken zich te stabiliseren, terwijl vooraf met een groei rekening werd gehouden. </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Grensoverschrijdende zorg </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Dit betreft de structurele doorwerking van over 2014 geraamde ontvangsten vanuit het buitenland voor zorg die in Nederland is verleend aan verdragsgerechtigden. Deze ontvangsten worden hoger geraamd dan eerder is verondersteld.</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Herverdelingseffect jeugdzorg</w:t>
      </w:r>
    </w:p>
    <w:p w:rsidRPr="005E7EAC" w:rsidR="00E54707" w:rsidP="00E54707" w:rsidRDefault="00E54707">
      <w:pPr>
        <w:spacing w:line="240" w:lineRule="exact"/>
        <w:rPr>
          <w:rFonts w:ascii="Verdana" w:hAnsi="Verdana"/>
          <w:sz w:val="18"/>
          <w:szCs w:val="18"/>
        </w:rPr>
      </w:pPr>
      <w:r w:rsidRPr="005E7EAC">
        <w:rPr>
          <w:rFonts w:ascii="Verdana" w:hAnsi="Verdana"/>
          <w:sz w:val="18"/>
          <w:szCs w:val="18"/>
        </w:rPr>
        <w:t xml:space="preserve">In februari 2015 zijn de realisatiecijfers 2014 AWBZ binnengekomen voor zowel de zorg in natura als het pgb. Op basis van deze cijfers vindt er een herverdeling plaats over de verschillende domeinen binnen de hervorming langdurige zorg. Per saldo komen de uitgaven voor de jeugdzorg lager uit. </w:t>
      </w:r>
      <w:r w:rsidRPr="005E7EAC">
        <w:rPr>
          <w:rFonts w:ascii="Verdana" w:hAnsi="Verdana"/>
          <w:sz w:val="18"/>
        </w:rPr>
        <w:t>In 2015 vindt geen herverdeling plaats met gemeenten.</w:t>
      </w:r>
    </w:p>
    <w:p w:rsidRPr="005E7EAC" w:rsidR="008317DA" w:rsidP="008317DA" w:rsidRDefault="008317DA">
      <w:pPr>
        <w:spacing w:line="240" w:lineRule="exact"/>
        <w:rPr>
          <w:rFonts w:ascii="Verdana" w:hAnsi="Verdana"/>
          <w:i/>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Herverdelingseffect wlz </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In februari 2015 zijn de realisatiecijfers 2014 AWBZ binnengekomen voor zowel de zorg in natura als het pgb. Op basis van deze cijfers vindt er een herverdeling plaats over de verschillende domeinen binnen de hervorming langdurige zorg. Per saldo komen de uitgaven voor de Wlz (inclusief Wlz-indiceerbaren) hoger uit.</w:t>
      </w:r>
    </w:p>
    <w:p w:rsidRPr="005E7EAC" w:rsidR="008317DA" w:rsidP="008317DA" w:rsidRDefault="008317DA">
      <w:pPr>
        <w:spacing w:line="240" w:lineRule="exact"/>
        <w:rPr>
          <w:rFonts w:ascii="Verdana" w:hAnsi="Verdana"/>
          <w:sz w:val="18"/>
          <w:szCs w:val="18"/>
        </w:rPr>
      </w:pPr>
    </w:p>
    <w:p w:rsidRPr="005E7EAC" w:rsidR="00AE7E63" w:rsidP="00AE7E63" w:rsidRDefault="00AE7E63">
      <w:pPr>
        <w:spacing w:line="240" w:lineRule="exact"/>
        <w:rPr>
          <w:rFonts w:ascii="Verdana" w:hAnsi="Verdana"/>
          <w:i/>
          <w:sz w:val="18"/>
          <w:szCs w:val="18"/>
        </w:rPr>
      </w:pPr>
      <w:r w:rsidRPr="005E7EAC">
        <w:rPr>
          <w:rFonts w:ascii="Verdana" w:hAnsi="Verdana"/>
          <w:i/>
          <w:sz w:val="18"/>
          <w:szCs w:val="18"/>
        </w:rPr>
        <w:t>Herverdelingseffect wmo</w:t>
      </w:r>
    </w:p>
    <w:p w:rsidRPr="005E7EAC" w:rsidR="00AE7E63" w:rsidP="00AE7E63" w:rsidRDefault="00AE7E63">
      <w:pPr>
        <w:spacing w:line="240" w:lineRule="exact"/>
        <w:rPr>
          <w:rFonts w:ascii="Verdana" w:hAnsi="Verdana"/>
          <w:sz w:val="18"/>
          <w:szCs w:val="18"/>
        </w:rPr>
      </w:pPr>
      <w:r w:rsidRPr="005E7EAC">
        <w:rPr>
          <w:rFonts w:ascii="Verdana" w:hAnsi="Verdana"/>
          <w:sz w:val="18"/>
          <w:szCs w:val="18"/>
        </w:rPr>
        <w:t xml:space="preserve">In februari 2015 zijn de realisatiecijfers 2014 AWBZ binnengekomen voor zowel de zorg in natura als het pgb. Op basis van deze cijfers vindt er een herverdeling plaats over de verschillende domeinen binnen de hervorming langdurige zorg. Per saldo komen de uitgaven voor de Wmo lager uit. </w:t>
      </w:r>
      <w:r w:rsidRPr="005E7EAC">
        <w:rPr>
          <w:rFonts w:ascii="Verdana" w:hAnsi="Verdana"/>
          <w:sz w:val="18"/>
        </w:rPr>
        <w:t>In 2015 vindt geen herverdeling plaats met gemeenten.</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Herverdelingseffect zvw </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In februari 2015 zijn de realisatiecijfers 2014 AWBZ binnengekomen voor zowel de zorg in natura als het pgb. Op basis van deze realisatiecijfers van februari 2015 vindt er een herverdeling plaats over de verschillende domeinen binnen de hervorming langdurige zorg. Per saldo komen de uitgaven voor de Zvw lager uit.</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Medisch specialistische zorg </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Dit betreft meevallers binnen een aantal sectoren binnen de tweedelijns curatieve zorg waaronder de geriatrische revalidatiezorg.</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Nominale ontwikkeling</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 xml:space="preserve">De raming van de loon- en prijsbijstelling is aangepast op basis van de meest recente macro-economische inzichten in het </w:t>
      </w:r>
      <w:r w:rsidRPr="005E7EAC">
        <w:rPr>
          <w:rFonts w:ascii="Verdana" w:hAnsi="Verdana" w:cs="Arial"/>
          <w:sz w:val="18"/>
          <w:szCs w:val="18"/>
        </w:rPr>
        <w:t xml:space="preserve">Centraal Economisch Plan (CEP) </w:t>
      </w:r>
      <w:r w:rsidRPr="005E7EAC">
        <w:rPr>
          <w:rFonts w:ascii="Verdana" w:hAnsi="Verdana"/>
          <w:sz w:val="18"/>
          <w:szCs w:val="18"/>
        </w:rPr>
        <w:t>van het CPB en het wijzigen van de grondslagen.</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Wlz-indiceerbaren jeugdzorg/wmo</w:t>
      </w:r>
    </w:p>
    <w:p w:rsidRPr="005E7EAC" w:rsidR="008317DA" w:rsidP="008317DA" w:rsidRDefault="008317DA">
      <w:pPr>
        <w:pStyle w:val="Default"/>
        <w:spacing w:line="240" w:lineRule="exact"/>
        <w:rPr>
          <w:sz w:val="18"/>
          <w:szCs w:val="18"/>
        </w:rPr>
      </w:pPr>
      <w:r w:rsidRPr="005E7EAC">
        <w:rPr>
          <w:sz w:val="18"/>
          <w:szCs w:val="18"/>
        </w:rPr>
        <w:t>Met deze mutatie wordt (cf. decembercirculaire 2014) vanaf 2015 het gemeentefonds verlaagd. De middelen worden ingezet binnen de Wlz</w:t>
      </w:r>
    </w:p>
    <w:p w:rsidRPr="005E7EAC" w:rsidR="008317DA" w:rsidP="008317DA" w:rsidRDefault="008317DA">
      <w:pPr>
        <w:pStyle w:val="Default"/>
        <w:spacing w:line="240" w:lineRule="exact"/>
        <w:rPr>
          <w:i/>
          <w:sz w:val="18"/>
          <w:szCs w:val="18"/>
        </w:rPr>
      </w:pPr>
      <w:r w:rsidRPr="005E7EAC">
        <w:rPr>
          <w:i/>
          <w:sz w:val="18"/>
          <w:szCs w:val="18"/>
        </w:rPr>
        <w:lastRenderedPageBreak/>
        <w:t>Diversen (mee- en tegenvallers)</w:t>
      </w:r>
    </w:p>
    <w:p w:rsidRPr="005E7EAC" w:rsidR="008317DA" w:rsidP="008317DA" w:rsidRDefault="008317DA">
      <w:pPr>
        <w:pStyle w:val="Default"/>
        <w:spacing w:line="240" w:lineRule="exact"/>
        <w:rPr>
          <w:sz w:val="18"/>
          <w:szCs w:val="18"/>
        </w:rPr>
      </w:pPr>
      <w:r w:rsidRPr="005E7EAC">
        <w:rPr>
          <w:sz w:val="18"/>
          <w:szCs w:val="18"/>
        </w:rPr>
        <w:t>Deze post is het saldo van een meevaller bij het ziekenvervoer (10,5 mln.) en een tegenvaller bij de eerstelijnszorg (5,1 mln.).</w:t>
      </w:r>
    </w:p>
    <w:p w:rsidRPr="005E7EAC" w:rsidR="008317DA" w:rsidP="008317DA" w:rsidRDefault="008317DA">
      <w:pPr>
        <w:pStyle w:val="Default"/>
        <w:spacing w:line="240" w:lineRule="exact"/>
        <w:rPr>
          <w:i/>
          <w:sz w:val="18"/>
          <w:szCs w:val="18"/>
        </w:rPr>
      </w:pPr>
    </w:p>
    <w:p w:rsidRPr="005E7EAC" w:rsidR="00F07F31" w:rsidP="00F07F31" w:rsidRDefault="00F07F31">
      <w:pPr>
        <w:pStyle w:val="Default"/>
        <w:spacing w:line="240" w:lineRule="exact"/>
        <w:rPr>
          <w:i/>
          <w:sz w:val="18"/>
          <w:szCs w:val="18"/>
        </w:rPr>
      </w:pPr>
      <w:r w:rsidRPr="005E7EAC">
        <w:rPr>
          <w:i/>
          <w:sz w:val="18"/>
          <w:szCs w:val="18"/>
        </w:rPr>
        <w:t>Capaciteitsreductie gesloten jeugdzorg</w:t>
      </w:r>
    </w:p>
    <w:p w:rsidRPr="005E7EAC" w:rsidR="00F07F31" w:rsidP="00F07F31" w:rsidRDefault="00F07F31">
      <w:pPr>
        <w:spacing w:line="240" w:lineRule="exact"/>
        <w:rPr>
          <w:rFonts w:ascii="Verdana" w:hAnsi="Verdana"/>
          <w:sz w:val="18"/>
          <w:szCs w:val="18"/>
        </w:rPr>
      </w:pPr>
      <w:r w:rsidRPr="005E7EAC">
        <w:rPr>
          <w:rFonts w:ascii="Verdana" w:hAnsi="Verdana"/>
          <w:sz w:val="18"/>
          <w:szCs w:val="18"/>
        </w:rPr>
        <w:t>Dit betreft het toevoegen van middelen in 2016 voor de regeling capaciteitsreductie gesloten jeugdzorg. In 2015 is de verwachting dat er minder wordt uitgegeven.</w:t>
      </w:r>
    </w:p>
    <w:p w:rsidRPr="005E7EAC" w:rsidR="00F07F31" w:rsidP="008317DA" w:rsidRDefault="00F07F31">
      <w:pPr>
        <w:pStyle w:val="Default"/>
        <w:spacing w:line="240" w:lineRule="exact"/>
        <w:rPr>
          <w:i/>
          <w:sz w:val="18"/>
          <w:szCs w:val="18"/>
        </w:rPr>
      </w:pPr>
    </w:p>
    <w:p w:rsidRPr="005E7EAC" w:rsidR="008317DA" w:rsidP="008317DA" w:rsidRDefault="008317DA">
      <w:pPr>
        <w:pStyle w:val="Default"/>
        <w:spacing w:line="240" w:lineRule="exact"/>
        <w:rPr>
          <w:i/>
          <w:sz w:val="18"/>
          <w:szCs w:val="18"/>
        </w:rPr>
      </w:pPr>
      <w:r w:rsidRPr="005E7EAC">
        <w:rPr>
          <w:i/>
          <w:sz w:val="18"/>
          <w:szCs w:val="18"/>
        </w:rPr>
        <w:t>Darmkankerscreening</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De kosten voor vervolgonderzoeken naar aanleiding van de eerste darmkankerscreeningen zijn hoger zijn dan waarmee in de oorspronkelijke ramingen rekening is gehouden. Tegelijkertijd blijkt het aantal vervolgonderzoeken hoger te zijn dan eerder werd verwacht.</w:t>
      </w:r>
    </w:p>
    <w:p w:rsidRPr="005E7EAC" w:rsidR="008317DA" w:rsidP="008317DA" w:rsidRDefault="008317DA">
      <w:pPr>
        <w:spacing w:line="240" w:lineRule="exact"/>
        <w:rPr>
          <w:rFonts w:ascii="Verdana" w:hAnsi="Verdana"/>
          <w:i/>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Dekking pgb-tekort</w:t>
      </w:r>
    </w:p>
    <w:p w:rsidRPr="005E7EAC" w:rsidR="008317DA" w:rsidP="008317DA" w:rsidRDefault="008317DA">
      <w:pPr>
        <w:pStyle w:val="Default"/>
        <w:spacing w:line="240" w:lineRule="exact"/>
        <w:rPr>
          <w:sz w:val="18"/>
          <w:szCs w:val="18"/>
        </w:rPr>
      </w:pPr>
      <w:r w:rsidRPr="005E7EAC">
        <w:rPr>
          <w:sz w:val="18"/>
          <w:szCs w:val="18"/>
        </w:rPr>
        <w:t>Het knelpunt dat ontstaan is als gevolg van het pgb-tekort wordt geredresseerd via ramingsbijstellingen (zoals een andere toedeling van de groeiruimte tussen pgb en ZIN alsmede veronderstellingen over gebruik). Omdat het voor 2015 niet mogelijk is om budgettaire maatregelen rondom de pgb's te nemen, wordt het pgb-tekort voor dit jaar via een kasschuif intertemporeel in latere jaren gecompenseerd.</w:t>
      </w:r>
    </w:p>
    <w:p w:rsidRPr="005E7EAC" w:rsidR="008317DA" w:rsidP="008317DA" w:rsidRDefault="008317DA">
      <w:pPr>
        <w:pStyle w:val="Default"/>
        <w:spacing w:line="240" w:lineRule="exact"/>
        <w:rPr>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Extramuraliseringseffecten</w:t>
      </w:r>
    </w:p>
    <w:p w:rsidRPr="005E7EAC" w:rsidR="008317DA" w:rsidP="008317DA" w:rsidRDefault="008317DA">
      <w:pPr>
        <w:pStyle w:val="Default"/>
        <w:spacing w:line="240" w:lineRule="exact"/>
        <w:rPr>
          <w:sz w:val="18"/>
          <w:szCs w:val="18"/>
        </w:rPr>
      </w:pPr>
      <w:r w:rsidRPr="005E7EAC">
        <w:rPr>
          <w:sz w:val="18"/>
          <w:szCs w:val="18"/>
        </w:rPr>
        <w:t>Uit realisatiecijfers over de ontwikkeling van het aantal lage zzp’s in de V&amp;V-sector blijkt dat de daling in 2014 minder snel gaat dan verwacht. Dit leidt tot extra intramurale Wlz-uitgaven. Daarnaast worden extra middelen beschikbaar gesteld om afbakeningsknelpunten voor ouderen met zzp 4 in de Wlz op te lossen.</w:t>
      </w:r>
    </w:p>
    <w:p w:rsidRPr="005E7EAC" w:rsidR="008317DA" w:rsidP="008317DA" w:rsidRDefault="008317DA">
      <w:pPr>
        <w:spacing w:line="240" w:lineRule="exact"/>
        <w:rPr>
          <w:rFonts w:ascii="Verdana" w:hAnsi="Verdana"/>
          <w:i/>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Geneesmiddelen </w:t>
      </w:r>
    </w:p>
    <w:p w:rsidRPr="005E7EAC" w:rsidR="008317DA" w:rsidP="008317DA" w:rsidRDefault="008317DA">
      <w:pPr>
        <w:spacing w:line="240" w:lineRule="exact"/>
        <w:ind w:right="567"/>
        <w:rPr>
          <w:rFonts w:ascii="Verdana" w:hAnsi="Verdana"/>
          <w:sz w:val="18"/>
          <w:szCs w:val="18"/>
        </w:rPr>
      </w:pPr>
      <w:r w:rsidRPr="005E7EAC">
        <w:rPr>
          <w:rFonts w:ascii="Verdana" w:hAnsi="Verdana"/>
          <w:sz w:val="18"/>
          <w:szCs w:val="18"/>
        </w:rPr>
        <w:t>Voor 2015 en latere jaren is de raming neerwaarts bijgesteld. Dit is onder andere het gevolg van het preferentiebeleid en de gematigde volumeontwikkeling.</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Groeiruimte wmo 2015</w:t>
      </w:r>
    </w:p>
    <w:p w:rsidRPr="005E7EAC" w:rsidR="008317DA" w:rsidP="008317DA" w:rsidRDefault="008317DA">
      <w:pPr>
        <w:pStyle w:val="Default"/>
        <w:spacing w:line="240" w:lineRule="exact"/>
        <w:rPr>
          <w:sz w:val="18"/>
          <w:szCs w:val="18"/>
        </w:rPr>
      </w:pPr>
      <w:r w:rsidRPr="005E7EAC">
        <w:rPr>
          <w:sz w:val="18"/>
          <w:szCs w:val="18"/>
        </w:rPr>
        <w:t>Dit betreft hier de meerjarig nog beschikbare groeiruimte Wmo.</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Huishoudelijke hulptoelage </w:t>
      </w:r>
    </w:p>
    <w:p w:rsidRPr="005E7EAC" w:rsidR="008317DA" w:rsidP="008317DA" w:rsidRDefault="008317DA">
      <w:pPr>
        <w:spacing w:line="240" w:lineRule="exact"/>
        <w:rPr>
          <w:rFonts w:ascii="Verdana" w:hAnsi="Verdana"/>
          <w:i/>
          <w:sz w:val="18"/>
          <w:szCs w:val="18"/>
        </w:rPr>
      </w:pPr>
      <w:r w:rsidRPr="005E7EAC">
        <w:rPr>
          <w:rFonts w:ascii="Verdana" w:hAnsi="Verdana"/>
          <w:sz w:val="18"/>
          <w:szCs w:val="18"/>
        </w:rPr>
        <w:t>Er is een tekort ontstaan door het schrappen van het budgetplafond waarvoor nu middelen worden toegevoegd aan het GF.</w:t>
      </w:r>
    </w:p>
    <w:p w:rsidRPr="005E7EAC" w:rsidR="008317DA" w:rsidP="008317DA" w:rsidRDefault="008317DA">
      <w:pPr>
        <w:spacing w:line="240" w:lineRule="exact"/>
        <w:rPr>
          <w:rFonts w:ascii="Verdana" w:hAnsi="Verdana" w:cs="Courier New"/>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Kapitaallasten</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 xml:space="preserve">In het verleden werden kapitaallasten op basis van nacalculatie gecompenseerd. Vanaf 2018 zullen de kapitaallasten volledig op basis van de normatieve huisvestingscomponent (NHC) zijn. Gedurende de overgangsperiode 2012-2018 zal op basis van het advies van NZa de NHC met 2,5% worden geïndexeerd. </w:t>
      </w:r>
    </w:p>
    <w:p w:rsidRPr="005E7EAC" w:rsidR="008317DA" w:rsidP="008317DA" w:rsidRDefault="008317DA">
      <w:pPr>
        <w:spacing w:line="240" w:lineRule="exact"/>
        <w:rPr>
          <w:rFonts w:ascii="Verdana" w:hAnsi="Verdana"/>
          <w:sz w:val="18"/>
          <w:szCs w:val="18"/>
        </w:rPr>
      </w:pPr>
    </w:p>
    <w:p w:rsidRPr="005E7EAC" w:rsidR="008317DA" w:rsidP="008317DA" w:rsidRDefault="008317DA">
      <w:pPr>
        <w:pStyle w:val="Default"/>
        <w:spacing w:line="240" w:lineRule="exact"/>
        <w:rPr>
          <w:i/>
          <w:sz w:val="18"/>
          <w:szCs w:val="18"/>
        </w:rPr>
      </w:pPr>
      <w:r w:rsidRPr="005E7EAC">
        <w:rPr>
          <w:i/>
          <w:sz w:val="18"/>
          <w:szCs w:val="18"/>
        </w:rPr>
        <w:t>Kasschuif groeiruimte care</w:t>
      </w:r>
    </w:p>
    <w:p w:rsidRPr="005E7EAC" w:rsidR="008317DA" w:rsidP="008317DA" w:rsidRDefault="008317DA">
      <w:pPr>
        <w:pStyle w:val="Default"/>
        <w:spacing w:line="240" w:lineRule="exact"/>
        <w:rPr>
          <w:sz w:val="18"/>
          <w:szCs w:val="18"/>
        </w:rPr>
      </w:pPr>
      <w:r w:rsidRPr="005E7EAC">
        <w:rPr>
          <w:sz w:val="18"/>
          <w:szCs w:val="18"/>
        </w:rPr>
        <w:t>Om een meer evenwichtige verdeling van de middelen groeiruimte care over de jaren heen te bereiken, wordt de beschikbare ruimte in 2015 verlaagd en via een kasschuif overgeheveld naar 2016.</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Kosten svb pgb trekkingsrechten </w:t>
      </w:r>
    </w:p>
    <w:p w:rsidRPr="005E7EAC" w:rsidR="008317DA" w:rsidP="008317DA" w:rsidRDefault="008317DA">
      <w:pPr>
        <w:spacing w:line="240" w:lineRule="exact"/>
        <w:rPr>
          <w:rFonts w:ascii="Verdana" w:hAnsi="Verdana"/>
          <w:color w:val="000000"/>
          <w:sz w:val="18"/>
          <w:szCs w:val="18"/>
        </w:rPr>
      </w:pPr>
      <w:r w:rsidRPr="005E7EAC">
        <w:rPr>
          <w:rFonts w:ascii="Verdana" w:hAnsi="Verdana"/>
          <w:color w:val="000000"/>
          <w:sz w:val="18"/>
          <w:szCs w:val="18"/>
        </w:rPr>
        <w:t xml:space="preserve">Het SVB heeft aanvullende kosten voor de trekkingsrechten pgb’s en de overgang voor pgb-houders. </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iCs/>
          <w:sz w:val="18"/>
          <w:szCs w:val="18"/>
        </w:rPr>
      </w:pPr>
      <w:r w:rsidRPr="005E7EAC">
        <w:rPr>
          <w:rFonts w:ascii="Verdana" w:hAnsi="Verdana"/>
          <w:i/>
          <w:iCs/>
          <w:sz w:val="18"/>
          <w:szCs w:val="18"/>
        </w:rPr>
        <w:t xml:space="preserve">Kwaliteitsimpuls umc’s </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Dit betreft een overheveling van middelen die waren gereserveerd voor de UMC’s als gevolg van het inhouden van de ILO als onderdeel van de afspraken uit het Zorgakkoord. Via toevoeging aan de kwaliteitsimpuls personeel ziekenhuiszorg vloeien de middelen weer terug naar de UMC’s. Het gaat om een bedrag van 37 m</w:t>
      </w:r>
      <w:r w:rsidRPr="005E7EAC" w:rsidR="009A367F">
        <w:rPr>
          <w:rFonts w:ascii="Verdana" w:hAnsi="Verdana"/>
          <w:sz w:val="18"/>
          <w:szCs w:val="18"/>
        </w:rPr>
        <w:t>ln.</w:t>
      </w:r>
      <w:r w:rsidRPr="005E7EAC">
        <w:rPr>
          <w:rFonts w:ascii="Verdana" w:hAnsi="Verdana"/>
          <w:sz w:val="18"/>
          <w:szCs w:val="18"/>
        </w:rPr>
        <w:t xml:space="preserve"> per jaar. Er is bovendien 37 m</w:t>
      </w:r>
      <w:r w:rsidRPr="005E7EAC" w:rsidR="009A367F">
        <w:rPr>
          <w:rFonts w:ascii="Verdana" w:hAnsi="Verdana"/>
          <w:sz w:val="18"/>
          <w:szCs w:val="18"/>
        </w:rPr>
        <w:t>ln.</w:t>
      </w:r>
      <w:r w:rsidRPr="005E7EAC">
        <w:rPr>
          <w:rFonts w:ascii="Verdana" w:hAnsi="Verdana"/>
          <w:sz w:val="18"/>
          <w:szCs w:val="18"/>
        </w:rPr>
        <w:t xml:space="preserve"> vrijgemaakt die incidenteel </w:t>
      </w:r>
      <w:r w:rsidRPr="005E7EAC">
        <w:rPr>
          <w:rFonts w:ascii="Verdana" w:hAnsi="Verdana"/>
          <w:sz w:val="18"/>
          <w:szCs w:val="18"/>
        </w:rPr>
        <w:lastRenderedPageBreak/>
        <w:t>wordt toegevoegd aan de subsidieregeling in de jaren 2015-2017; de facto blijft daarmee de gehele opbrengst van het vervroegen van de ilo-korting beschikbaar voor de UMC’s.</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iCs/>
          <w:sz w:val="18"/>
          <w:szCs w:val="18"/>
        </w:rPr>
      </w:pPr>
      <w:r w:rsidRPr="005E7EAC">
        <w:rPr>
          <w:rFonts w:ascii="Verdana" w:hAnsi="Verdana"/>
          <w:i/>
          <w:iCs/>
          <w:sz w:val="18"/>
          <w:szCs w:val="18"/>
        </w:rPr>
        <w:t>Onderuitputting integrale tarieven</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 xml:space="preserve">In het hoofdlijnenakkoord medisch-specialistische zorg zijn afspraken gemaakt ter facilitering van de transitie naar integrale tarieven. Het beroep op de subsidieregeling is in 2015 80 </w:t>
      </w:r>
      <w:r w:rsidRPr="005E7EAC" w:rsidR="009A367F">
        <w:rPr>
          <w:rFonts w:ascii="Verdana" w:hAnsi="Verdana"/>
          <w:sz w:val="18"/>
          <w:szCs w:val="18"/>
        </w:rPr>
        <w:t>mln.</w:t>
      </w:r>
      <w:r w:rsidRPr="005E7EAC">
        <w:rPr>
          <w:rFonts w:ascii="Verdana" w:hAnsi="Verdana"/>
          <w:sz w:val="18"/>
          <w:szCs w:val="18"/>
        </w:rPr>
        <w:t xml:space="preserve"> lager dan geraamd. De vrijvallende middelen blijven in 2016 en 2017 beschikbaar voor een mogelijke verlenging van de subsidieregeling.</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Pgb-tekort wlz wegens hogere toestroom</w:t>
      </w:r>
    </w:p>
    <w:p w:rsidRPr="005E7EAC" w:rsidR="008317DA" w:rsidP="008317DA" w:rsidRDefault="008317DA">
      <w:pPr>
        <w:spacing w:line="240" w:lineRule="exact"/>
        <w:rPr>
          <w:rFonts w:ascii="Verdana" w:hAnsi="Verdana" w:cs="Courier New"/>
          <w:i/>
          <w:sz w:val="18"/>
          <w:szCs w:val="18"/>
        </w:rPr>
      </w:pPr>
      <w:r w:rsidRPr="005E7EAC">
        <w:rPr>
          <w:rFonts w:ascii="Verdana" w:hAnsi="Verdana" w:cs="Courier New"/>
          <w:sz w:val="18"/>
          <w:szCs w:val="18"/>
        </w:rPr>
        <w:t>De toestroom van budgethouders pgb was in de laatste maanden van 2014 hoger dan verwacht. De doorwerking is in meerjarig verwerkt.</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Premie reservering awbz uitvoeringskosten </w:t>
      </w:r>
    </w:p>
    <w:p w:rsidRPr="005E7EAC" w:rsidR="008317DA" w:rsidP="008317DA" w:rsidRDefault="008317DA">
      <w:pPr>
        <w:pStyle w:val="Default"/>
        <w:spacing w:line="240" w:lineRule="exact"/>
        <w:rPr>
          <w:sz w:val="18"/>
          <w:szCs w:val="18"/>
        </w:rPr>
      </w:pPr>
      <w:r w:rsidRPr="005E7EAC">
        <w:rPr>
          <w:sz w:val="18"/>
          <w:szCs w:val="18"/>
        </w:rPr>
        <w:t xml:space="preserve">Dit betreft een saldoreeks bestaande uit vrijvallende middelen voor saneringskosten van instellingen in de langdurige zorg en middelen voor de bijdrage in het vrijwillige gebruik door de budgethouder van de SVB. </w:t>
      </w:r>
    </w:p>
    <w:p w:rsidRPr="005E7EAC" w:rsidR="008317DA" w:rsidP="008317DA" w:rsidRDefault="008317DA">
      <w:pPr>
        <w:spacing w:line="240" w:lineRule="exact"/>
        <w:rPr>
          <w:rFonts w:ascii="Verdana" w:hAnsi="Verdana" w:cs="Verdana"/>
          <w:i/>
          <w:color w:val="000000"/>
          <w:sz w:val="18"/>
          <w:szCs w:val="18"/>
        </w:rPr>
      </w:pPr>
    </w:p>
    <w:p w:rsidRPr="005E7EAC" w:rsidR="008317DA" w:rsidP="008317DA" w:rsidRDefault="008317DA">
      <w:pPr>
        <w:pStyle w:val="Default"/>
        <w:spacing w:line="240" w:lineRule="exact"/>
        <w:rPr>
          <w:i/>
          <w:iCs/>
          <w:color w:val="auto"/>
          <w:sz w:val="18"/>
          <w:szCs w:val="18"/>
        </w:rPr>
      </w:pPr>
      <w:r w:rsidRPr="005E7EAC">
        <w:rPr>
          <w:i/>
          <w:iCs/>
          <w:color w:val="auto"/>
          <w:sz w:val="18"/>
          <w:szCs w:val="18"/>
        </w:rPr>
        <w:t>Ruimte kwaliteitsimpuls umc’s</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Dit betreft een overheveling van middelen die waren gereserveerd voor de UMC’s als gevolg van het inhouden van de ILO als onderdeel van de afspraken uit het Zorgakkoord. Via toevoeging aan de kwaliteitsimpuls personeel ziekenhuiszorg vloeien de middelen weer terug naar de UMC’s.</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Tarieven tandheelkunde </w:t>
      </w:r>
    </w:p>
    <w:p w:rsidRPr="005E7EAC" w:rsidR="008317DA" w:rsidP="008317DA" w:rsidRDefault="008317DA">
      <w:pPr>
        <w:spacing w:line="240" w:lineRule="exact"/>
        <w:rPr>
          <w:rFonts w:ascii="Verdana" w:hAnsi="Verdana" w:cs="Courier New"/>
          <w:sz w:val="18"/>
          <w:szCs w:val="18"/>
        </w:rPr>
      </w:pPr>
      <w:r w:rsidRPr="005E7EAC">
        <w:rPr>
          <w:rFonts w:ascii="Verdana" w:hAnsi="Verdana" w:cs="Courier New"/>
          <w:sz w:val="18"/>
          <w:szCs w:val="18"/>
        </w:rPr>
        <w:t>De NZa heeft de maximumtarieven in de tandheelkundige zorg verlaagd. Dit leidt tot lagere uitgaven tandheelkundige zorg binnen het verzekerd pakket.</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Tegemoetkomingen wtcg </w:t>
      </w:r>
    </w:p>
    <w:p w:rsidRPr="005E7EAC" w:rsidR="008317DA" w:rsidP="008317DA" w:rsidRDefault="008317DA">
      <w:pPr>
        <w:spacing w:line="240" w:lineRule="exact"/>
        <w:rPr>
          <w:rFonts w:ascii="Verdana" w:hAnsi="Verdana"/>
          <w:color w:val="000000"/>
          <w:sz w:val="18"/>
          <w:szCs w:val="18"/>
        </w:rPr>
      </w:pPr>
      <w:r w:rsidRPr="005E7EAC">
        <w:rPr>
          <w:rFonts w:ascii="Verdana" w:hAnsi="Verdana"/>
          <w:color w:val="000000"/>
          <w:sz w:val="18"/>
          <w:szCs w:val="18"/>
        </w:rPr>
        <w:t xml:space="preserve">Het tekort op het Wtcg-budget 2015 is ontstaan doordat een deel van de voor 2014 geraamde betalingen van tegemoetkomingen Wtcg is doorgeschoven naar latere jaren. </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Vrijval nominaal en onverdeeld</w:t>
      </w:r>
    </w:p>
    <w:p w:rsidRPr="005E7EAC" w:rsidR="008317DA" w:rsidP="008317DA" w:rsidRDefault="008317DA">
      <w:pPr>
        <w:spacing w:line="240" w:lineRule="exact"/>
        <w:rPr>
          <w:rFonts w:ascii="Verdana" w:hAnsi="Verdana"/>
          <w:b/>
          <w:sz w:val="18"/>
          <w:szCs w:val="18"/>
        </w:rPr>
      </w:pPr>
      <w:r w:rsidRPr="005E7EAC">
        <w:rPr>
          <w:rFonts w:ascii="Verdana" w:hAnsi="Verdana"/>
          <w:sz w:val="18"/>
          <w:szCs w:val="18"/>
        </w:rPr>
        <w:t>Er is sprake van vrijval op de post nominaal en onverdeeld. Deze ruimte is met name een gevolg van het verschil tussen de oorspronkelijk beschikbaar gestelde middelen voor groei en loon- en prijsbijstelling in de curatieve zorg en de in de verschillende zorgakkoorden gemaakte afspraken over de toegestane groei in die sectoren en de op grond daarvan niet benodigde middelen voor loon- en prijsbijstelling.</w:t>
      </w:r>
      <w:r w:rsidRPr="005E7EAC">
        <w:rPr>
          <w:rFonts w:ascii="Verdana" w:hAnsi="Verdana"/>
          <w:b/>
          <w:sz w:val="18"/>
          <w:szCs w:val="18"/>
        </w:rPr>
        <w:t xml:space="preserve"> </w:t>
      </w:r>
    </w:p>
    <w:p w:rsidRPr="005E7EAC" w:rsidR="008317DA" w:rsidP="008317DA" w:rsidRDefault="008317DA">
      <w:pPr>
        <w:spacing w:line="240" w:lineRule="exact"/>
        <w:rPr>
          <w:rFonts w:ascii="Verdana" w:hAnsi="Verdana"/>
          <w:b/>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Diversen (beleidsmatig)</w:t>
      </w:r>
    </w:p>
    <w:p w:rsidRPr="005E7EAC" w:rsidR="008317DA" w:rsidP="008317DA" w:rsidRDefault="008317DA">
      <w:pPr>
        <w:pStyle w:val="Default"/>
        <w:spacing w:line="240" w:lineRule="exact"/>
        <w:rPr>
          <w:sz w:val="18"/>
          <w:szCs w:val="18"/>
        </w:rPr>
      </w:pPr>
      <w:r w:rsidRPr="005E7EAC">
        <w:rPr>
          <w:sz w:val="18"/>
          <w:szCs w:val="18"/>
        </w:rPr>
        <w:t>Deze post is het saldo van diverse beleidsmatige mutaties waaronder extra middelen voor Caribisch Nederland (20 mln.), het bestrijden van antibioticaresistentie (9,2 mln.) en vrijvallende middelen bij het CIZ (23 mln.).</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Brutering pgb </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Met ingang van 2015 is het pgb in de Wlz omgezet van netto naar bruto. Het bruto pgb is hoger, omdat niet langer vooraf de eigen bijdrage wordt verrekend met de pgb-toekenning. De budgethouder dient in de Wlz zelf de eigen bijdrage te voldoen aan het CAK (en mag dit niet betalen met het pgb). Tegenover de hogere kosten van het bruto pgb staat een zelfde bedrag aan ontvangsten eigen bijdrage pgb. De omzetting naar bruto pgb is dus budgettair neutraal voor het BKZ.</w:t>
      </w:r>
    </w:p>
    <w:p w:rsidRPr="005E7EAC" w:rsidR="008317DA" w:rsidP="008317DA" w:rsidRDefault="008317DA">
      <w:pPr>
        <w:spacing w:line="240" w:lineRule="exact"/>
        <w:rPr>
          <w:rFonts w:ascii="Verdana" w:hAnsi="Verdana"/>
          <w:i/>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Diversen (technisch)</w:t>
      </w:r>
    </w:p>
    <w:p w:rsidRPr="005E7EAC" w:rsidR="008317DA" w:rsidP="008317DA" w:rsidRDefault="008317DA">
      <w:pPr>
        <w:spacing w:line="240" w:lineRule="exact"/>
        <w:rPr>
          <w:rFonts w:ascii="Verdana" w:hAnsi="Verdana"/>
          <w:sz w:val="18"/>
          <w:szCs w:val="18"/>
        </w:rPr>
      </w:pPr>
      <w:r w:rsidRPr="005E7EAC">
        <w:rPr>
          <w:rFonts w:ascii="Verdana" w:hAnsi="Verdana"/>
          <w:sz w:val="18"/>
          <w:szCs w:val="18"/>
        </w:rPr>
        <w:t>Dit betreft een optelsom van enkele ijklijnmutaties van kader Z naar kader R.</w:t>
      </w:r>
    </w:p>
    <w:p w:rsidRPr="005E7EAC" w:rsidR="008317DA" w:rsidP="008317DA" w:rsidRDefault="008317DA">
      <w:pPr>
        <w:spacing w:line="240" w:lineRule="exact"/>
        <w:rPr>
          <w:rFonts w:ascii="Verdana" w:hAnsi="Verdana"/>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Eigen bijdrage wlz</w:t>
      </w:r>
    </w:p>
    <w:p w:rsidRPr="005E7EAC" w:rsidR="008317DA" w:rsidP="008317DA" w:rsidRDefault="008317DA">
      <w:pPr>
        <w:pStyle w:val="Default"/>
        <w:spacing w:line="240" w:lineRule="exact"/>
        <w:rPr>
          <w:sz w:val="18"/>
          <w:szCs w:val="18"/>
        </w:rPr>
      </w:pPr>
      <w:r w:rsidRPr="005E7EAC">
        <w:rPr>
          <w:sz w:val="18"/>
          <w:szCs w:val="18"/>
        </w:rPr>
        <w:t xml:space="preserve">In de begroting 2015 is een derving van eigen bijdragen als gevolg van extramuralisering verwerkt van 169 mln. Op basis van actuele cijfers is vastgesteld dat de afbouw van het aantal plaatsen langzamer verloopt en lager zal zijn dan eerder geraamd. De uitgaven aan de wlz zijn daardoor </w:t>
      </w:r>
      <w:r w:rsidRPr="005E7EAC">
        <w:rPr>
          <w:sz w:val="18"/>
          <w:szCs w:val="18"/>
        </w:rPr>
        <w:lastRenderedPageBreak/>
        <w:t>hoger, maar dit leidt er ook toe dat de derving van de eigen bijdragen lager uitvalt dan eerder voorzien.</w:t>
      </w:r>
    </w:p>
    <w:p w:rsidRPr="005E7EAC" w:rsidR="008317DA" w:rsidP="008317DA" w:rsidRDefault="008317DA">
      <w:pPr>
        <w:spacing w:line="240" w:lineRule="exact"/>
        <w:rPr>
          <w:rFonts w:ascii="Verdana" w:hAnsi="Verdana"/>
          <w:i/>
          <w:sz w:val="18"/>
          <w:szCs w:val="18"/>
        </w:rPr>
      </w:pPr>
    </w:p>
    <w:p w:rsidRPr="005E7EAC" w:rsidR="008317DA" w:rsidP="008317DA" w:rsidRDefault="008317DA">
      <w:pPr>
        <w:spacing w:line="240" w:lineRule="exact"/>
        <w:rPr>
          <w:rFonts w:ascii="Verdana" w:hAnsi="Verdana"/>
          <w:i/>
          <w:sz w:val="18"/>
          <w:szCs w:val="18"/>
        </w:rPr>
      </w:pPr>
      <w:r w:rsidRPr="005E7EAC">
        <w:rPr>
          <w:rFonts w:ascii="Verdana" w:hAnsi="Verdana"/>
          <w:i/>
          <w:sz w:val="18"/>
          <w:szCs w:val="18"/>
        </w:rPr>
        <w:t xml:space="preserve">Brutering pgb </w:t>
      </w:r>
    </w:p>
    <w:p w:rsidRPr="005E7EAC" w:rsidR="008317DA" w:rsidP="008317DA" w:rsidRDefault="008317DA">
      <w:pPr>
        <w:spacing w:line="240" w:lineRule="exact"/>
        <w:rPr>
          <w:rFonts w:ascii="Verdana" w:hAnsi="Verdana"/>
          <w:color w:val="000000" w:themeColor="text1"/>
          <w:sz w:val="18"/>
          <w:szCs w:val="18"/>
        </w:rPr>
      </w:pPr>
      <w:r w:rsidRPr="005E7EAC">
        <w:rPr>
          <w:rFonts w:ascii="Verdana" w:hAnsi="Verdana"/>
          <w:color w:val="000000" w:themeColor="text1"/>
          <w:sz w:val="18"/>
          <w:szCs w:val="18"/>
        </w:rPr>
        <w:t>Tegenover de hogere kosten van het bruto pgb staat eenzelfde bedrag aan ontvangsten eigen bijdrage pgb.</w:t>
      </w:r>
    </w:p>
    <w:tbl>
      <w:tblPr>
        <w:tblpPr w:leftFromText="141" w:rightFromText="141" w:vertAnchor="text" w:horzAnchor="margin" w:tblpXSpec="center" w:tblpY="5251"/>
        <w:tblW w:w="11132" w:type="dxa"/>
        <w:tblBorders>
          <w:top w:val="nil"/>
          <w:left w:val="nil"/>
          <w:bottom w:val="nil"/>
          <w:right w:val="nil"/>
        </w:tblBorders>
        <w:tblLayout w:type="fixed"/>
        <w:tblLook w:val="0000"/>
      </w:tblPr>
      <w:tblGrid>
        <w:gridCol w:w="11132"/>
      </w:tblGrid>
      <w:tr w:rsidRPr="005E7EAC" w:rsidR="008317DA" w:rsidTr="008317DA">
        <w:trPr>
          <w:trHeight w:val="285"/>
        </w:trPr>
        <w:tc>
          <w:tcPr>
            <w:tcW w:w="11132" w:type="dxa"/>
          </w:tcPr>
          <w:p w:rsidRPr="005E7EAC" w:rsidR="008317DA" w:rsidP="008317DA" w:rsidRDefault="008317DA">
            <w:pPr>
              <w:pStyle w:val="Default"/>
              <w:spacing w:line="240" w:lineRule="exact"/>
              <w:rPr>
                <w:sz w:val="18"/>
                <w:szCs w:val="18"/>
              </w:rPr>
            </w:pPr>
          </w:p>
          <w:p w:rsidRPr="005E7EAC" w:rsidR="008317DA" w:rsidP="008317DA" w:rsidRDefault="008317DA">
            <w:pPr>
              <w:pStyle w:val="Default"/>
              <w:spacing w:line="240" w:lineRule="exact"/>
              <w:rPr>
                <w:sz w:val="18"/>
                <w:szCs w:val="18"/>
              </w:rPr>
            </w:pPr>
          </w:p>
        </w:tc>
      </w:tr>
    </w:tbl>
    <w:p w:rsidRPr="005E7EAC" w:rsidR="0071290E" w:rsidP="008317DA" w:rsidRDefault="0071290E">
      <w:pPr>
        <w:spacing w:line="240" w:lineRule="exact"/>
        <w:rPr>
          <w:rFonts w:ascii="Verdana" w:hAnsi="Verdana" w:cs="Arial"/>
          <w:b/>
          <w:sz w:val="18"/>
          <w:szCs w:val="18"/>
        </w:rPr>
      </w:pPr>
      <w:r w:rsidRPr="005E7EAC">
        <w:rPr>
          <w:rFonts w:ascii="Verdana" w:hAnsi="Verdana" w:cs="Arial"/>
          <w:b/>
          <w:sz w:val="18"/>
          <w:szCs w:val="18"/>
        </w:rPr>
        <w:br w:type="page"/>
      </w:r>
    </w:p>
    <w:p w:rsidRPr="005E7EAC" w:rsidR="001807B3" w:rsidP="00CD01B4" w:rsidRDefault="001807B3">
      <w:pPr>
        <w:rPr>
          <w:rFonts w:ascii="Verdana" w:hAnsi="Verdana" w:cs="Courier New"/>
          <w:b/>
          <w:sz w:val="18"/>
          <w:szCs w:val="18"/>
        </w:rPr>
      </w:pPr>
      <w:r w:rsidRPr="005E7EAC">
        <w:rPr>
          <w:rFonts w:ascii="Verdana" w:hAnsi="Verdana" w:cs="Courier New"/>
          <w:b/>
          <w:sz w:val="18"/>
          <w:szCs w:val="18"/>
        </w:rPr>
        <w:lastRenderedPageBreak/>
        <w:t>XVII Buitenlandse Handel en Ontwikkelingssamenwerking</w:t>
      </w:r>
    </w:p>
    <w:p w:rsidRPr="005E7EAC" w:rsidR="00706BFE" w:rsidP="001807B3" w:rsidRDefault="00706BFE">
      <w:pPr>
        <w:spacing w:line="240" w:lineRule="atLeast"/>
        <w:rPr>
          <w:rFonts w:ascii="Verdana" w:hAnsi="Verdana" w:cs="Arial"/>
          <w:b/>
          <w:sz w:val="18"/>
          <w:szCs w:val="18"/>
        </w:rPr>
      </w:pPr>
    </w:p>
    <w:tbl>
      <w:tblPr>
        <w:tblW w:w="5000" w:type="pct"/>
        <w:tblCellMar>
          <w:left w:w="70" w:type="dxa"/>
          <w:right w:w="70" w:type="dxa"/>
        </w:tblCellMar>
        <w:tblLook w:val="04A0"/>
      </w:tblPr>
      <w:tblGrid>
        <w:gridCol w:w="4329"/>
        <w:gridCol w:w="977"/>
        <w:gridCol w:w="977"/>
        <w:gridCol w:w="977"/>
        <w:gridCol w:w="976"/>
        <w:gridCol w:w="976"/>
      </w:tblGrid>
      <w:tr w:rsidRPr="005E7EAC" w:rsidR="00706BFE" w:rsidTr="00706BFE">
        <w:trPr>
          <w:trHeight w:val="240"/>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UITGAVEN</w:t>
            </w: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r>
      <w:tr w:rsidRPr="005E7EAC" w:rsidR="00706BFE" w:rsidTr="00706BFE">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2019</w:t>
            </w: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r>
      <w:tr w:rsidRPr="005E7EAC" w:rsidR="00706BFE" w:rsidTr="00706BFE">
        <w:trPr>
          <w:trHeight w:val="180"/>
        </w:trPr>
        <w:tc>
          <w:tcPr>
            <w:tcW w:w="2348"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r>
      <w:tr w:rsidRPr="005E7EAC" w:rsidR="00706BFE" w:rsidTr="00706BFE">
        <w:trPr>
          <w:trHeight w:val="240"/>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r>
      <w:tr w:rsidRPr="005E7EAC" w:rsidR="00706BFE" w:rsidTr="00706BFE">
        <w:trPr>
          <w:trHeight w:val="240"/>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2713,7</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2641,4</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2664,6</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2286,4</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2286,9</w:t>
            </w: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2713,7</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2641,4</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2664,6</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2286,4</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2286,9</w:t>
            </w: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r>
      <w:tr w:rsidRPr="005E7EAC" w:rsidR="00706BFE" w:rsidTr="00706BFE">
        <w:trPr>
          <w:trHeight w:val="240"/>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NIET-BELASTINGONTVANGSTEN</w:t>
            </w: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r>
      <w:tr w:rsidRPr="005E7EAC" w:rsidR="00706BFE" w:rsidTr="00706BFE">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2019</w:t>
            </w: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20,9</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16,4</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18,1</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15,7</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13,4</w:t>
            </w:r>
          </w:p>
        </w:tc>
      </w:tr>
      <w:tr w:rsidRPr="005E7EAC" w:rsidR="00706BFE" w:rsidTr="00706BFE">
        <w:trPr>
          <w:trHeight w:val="180"/>
        </w:trPr>
        <w:tc>
          <w:tcPr>
            <w:tcW w:w="2348"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0,0</w:t>
            </w:r>
          </w:p>
        </w:tc>
      </w:tr>
      <w:tr w:rsidRPr="005E7EAC" w:rsidR="00706BFE" w:rsidTr="00706BFE">
        <w:trPr>
          <w:trHeight w:val="240"/>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706BFE" w:rsidP="00706BFE" w:rsidRDefault="00706BFE">
            <w:pPr>
              <w:rPr>
                <w:rFonts w:ascii="Verdana" w:hAnsi="Verdana"/>
                <w:color w:val="000000"/>
                <w:sz w:val="14"/>
                <w:szCs w:val="14"/>
              </w:rPr>
            </w:pP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20,9</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16,4</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18,1</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15,7</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13,4</w:t>
            </w:r>
          </w:p>
        </w:tc>
      </w:tr>
      <w:tr w:rsidRPr="005E7EAC" w:rsidR="00706BFE" w:rsidTr="00706BFE">
        <w:trPr>
          <w:trHeight w:val="240"/>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66,2</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161,8</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63,8</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60,8</w:t>
            </w:r>
          </w:p>
        </w:tc>
        <w:tc>
          <w:tcPr>
            <w:tcW w:w="530" w:type="pct"/>
            <w:tcBorders>
              <w:top w:val="nil"/>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60,8</w:t>
            </w:r>
          </w:p>
        </w:tc>
      </w:tr>
      <w:tr w:rsidRPr="005E7EAC" w:rsidR="00706BFE" w:rsidTr="00706BFE">
        <w:trPr>
          <w:trHeight w:val="225"/>
        </w:trPr>
        <w:tc>
          <w:tcPr>
            <w:tcW w:w="2348" w:type="pct"/>
            <w:tcBorders>
              <w:top w:val="nil"/>
              <w:left w:val="nil"/>
              <w:bottom w:val="nil"/>
              <w:right w:val="nil"/>
            </w:tcBorders>
            <w:shd w:val="clear" w:color="auto" w:fill="auto"/>
            <w:hideMark/>
          </w:tcPr>
          <w:p w:rsidRPr="005E7EAC" w:rsidR="00706BFE" w:rsidP="00706BFE" w:rsidRDefault="00706BFE">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87,1</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178,2</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81,9</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76,5</w:t>
            </w:r>
          </w:p>
        </w:tc>
        <w:tc>
          <w:tcPr>
            <w:tcW w:w="530" w:type="pct"/>
            <w:tcBorders>
              <w:top w:val="single" w:color="000000" w:sz="8" w:space="0"/>
              <w:left w:val="nil"/>
              <w:bottom w:val="nil"/>
              <w:right w:val="nil"/>
            </w:tcBorders>
            <w:shd w:val="clear" w:color="auto" w:fill="auto"/>
            <w:hideMark/>
          </w:tcPr>
          <w:p w:rsidRPr="005E7EAC" w:rsidR="00706BFE" w:rsidP="00706BFE" w:rsidRDefault="00706BFE">
            <w:pPr>
              <w:jc w:val="right"/>
              <w:rPr>
                <w:rFonts w:ascii="Verdana" w:hAnsi="Verdana"/>
                <w:color w:val="000000"/>
                <w:sz w:val="18"/>
                <w:szCs w:val="18"/>
              </w:rPr>
            </w:pPr>
            <w:r w:rsidRPr="005E7EAC">
              <w:rPr>
                <w:rFonts w:ascii="Verdana" w:hAnsi="Verdana"/>
                <w:color w:val="000000"/>
                <w:sz w:val="18"/>
                <w:szCs w:val="18"/>
              </w:rPr>
              <w:t>74,2</w:t>
            </w:r>
          </w:p>
        </w:tc>
      </w:tr>
    </w:tbl>
    <w:p w:rsidRPr="005E7EAC" w:rsidR="001807B3" w:rsidP="001807B3" w:rsidRDefault="001807B3">
      <w:pPr>
        <w:spacing w:line="240" w:lineRule="atLeast"/>
        <w:rPr>
          <w:rFonts w:ascii="Verdana" w:hAnsi="Verdana" w:cs="Arial"/>
          <w:b/>
          <w:sz w:val="18"/>
          <w:szCs w:val="18"/>
        </w:rPr>
      </w:pPr>
      <w:r w:rsidRPr="005E7EAC">
        <w:rPr>
          <w:rFonts w:ascii="Verdana" w:hAnsi="Verdana" w:cs="Arial"/>
          <w:b/>
          <w:sz w:val="18"/>
          <w:szCs w:val="18"/>
        </w:rPr>
        <w:br w:type="page"/>
      </w:r>
    </w:p>
    <w:p w:rsidRPr="005E7EAC" w:rsidR="00532F6E" w:rsidP="00532F6E" w:rsidRDefault="00532F6E">
      <w:pPr>
        <w:spacing w:line="240" w:lineRule="atLeast"/>
        <w:rPr>
          <w:rFonts w:ascii="Verdana" w:hAnsi="Verdana" w:cs="Arial"/>
          <w:b/>
          <w:sz w:val="18"/>
          <w:szCs w:val="18"/>
        </w:rPr>
      </w:pPr>
      <w:r w:rsidRPr="005E7EAC">
        <w:rPr>
          <w:rFonts w:ascii="Verdana" w:hAnsi="Verdana" w:cs="Arial"/>
          <w:b/>
          <w:sz w:val="18"/>
          <w:szCs w:val="18"/>
        </w:rPr>
        <w:lastRenderedPageBreak/>
        <w:t>XVIII Wonen &amp; Rijksdienst</w:t>
      </w:r>
    </w:p>
    <w:p w:rsidRPr="005E7EAC" w:rsidR="00146986" w:rsidP="00146986" w:rsidRDefault="00146986">
      <w:pPr>
        <w:spacing w:line="276" w:lineRule="auto"/>
        <w:rPr>
          <w:rFonts w:ascii="Verdana" w:hAnsi="Verdana" w:cs="Arial"/>
          <w:b/>
          <w:sz w:val="18"/>
          <w:szCs w:val="18"/>
        </w:rPr>
      </w:pPr>
    </w:p>
    <w:tbl>
      <w:tblPr>
        <w:tblW w:w="5000" w:type="pct"/>
        <w:tblCellMar>
          <w:left w:w="70" w:type="dxa"/>
          <w:right w:w="70" w:type="dxa"/>
        </w:tblCellMar>
        <w:tblLook w:val="04A0"/>
      </w:tblPr>
      <w:tblGrid>
        <w:gridCol w:w="4329"/>
        <w:gridCol w:w="977"/>
        <w:gridCol w:w="977"/>
        <w:gridCol w:w="977"/>
        <w:gridCol w:w="976"/>
        <w:gridCol w:w="976"/>
      </w:tblGrid>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UITGAVEN</w:t>
            </w: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r>
      <w:tr w:rsidRPr="005E7EAC" w:rsidR="00146986" w:rsidTr="00146986">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2019</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3.603,1</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3.705,2</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3.872,6</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4.227,4</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4.393,4</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Mee- en tegenvallers</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Raming huurtoeslag</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141,0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83,7</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28,4</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58,9</w:t>
            </w: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141,0</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83,7</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3,3</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28,4</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58,9</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Beleidsmatige mutaties</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Feh eindejaarsmarge</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57,8</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Kasschuif nef</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Overdracht monumenten aan nmo</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35,8</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-4,3</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Realisatie huurtoeslag 2014</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258,3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-9,3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-1,5</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-7,0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-6,8</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-6,8</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367,6</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-5,8</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-11,3</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-11,1</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-11,1</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Technische mutaties</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Eindejaarsmarge huurtoeslag 2014</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-258,3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32,3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-3,8</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-0,2</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-0,1</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-226,0</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-3,8</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1,0</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-0,2</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-0,1</w:t>
            </w:r>
          </w:p>
        </w:tc>
      </w:tr>
      <w:tr w:rsidRPr="005E7EAC" w:rsidR="00146986" w:rsidTr="00146986">
        <w:trPr>
          <w:trHeight w:val="180"/>
        </w:trPr>
        <w:tc>
          <w:tcPr>
            <w:tcW w:w="2348"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282,5</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74,1</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-7,1</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17,1</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47,7</w:t>
            </w: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3.885,6</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3.779,3</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3.865,5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4.244,5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4.441,1</w:t>
            </w: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3.885,6</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3.779,3</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3.865,5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4.244,5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4.441,1</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NIET-BELASTINGONTVANGSTEN</w:t>
            </w: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r>
      <w:tr w:rsidRPr="005E7EAC" w:rsidR="00146986" w:rsidTr="00146986">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2019</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621,4</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626,6</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648,3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648,8</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649,0</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Mee- en tegenvallers</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Raming huurtoeslag</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-55,0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-67,9</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-83,0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-93,5</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-97,7</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-55,0</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-67,9</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-83,0</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-93,5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-97,7</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Beleidsmatige mutaties</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2,4</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2,4</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2,0</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2,5</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Technische mutaties</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33,6</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13,0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0,3</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33,6</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13,0</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0,3</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180"/>
        </w:trPr>
        <w:tc>
          <w:tcPr>
            <w:tcW w:w="2348"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-19,1</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-52,8</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-80,2</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-91,0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-95,2</w:t>
            </w: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146986" w:rsidP="00146986" w:rsidRDefault="00146986">
            <w:pPr>
              <w:rPr>
                <w:rFonts w:ascii="Verdana" w:hAnsi="Verdana"/>
                <w:color w:val="000000"/>
                <w:sz w:val="14"/>
                <w:szCs w:val="14"/>
              </w:rPr>
            </w:pP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602,4</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573,8</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568,1</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557,8</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553,8</w:t>
            </w:r>
          </w:p>
        </w:tc>
      </w:tr>
      <w:tr w:rsidRPr="005E7EAC" w:rsidR="00146986" w:rsidTr="00146986">
        <w:trPr>
          <w:trHeight w:val="240"/>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0,0</w:t>
            </w:r>
          </w:p>
        </w:tc>
      </w:tr>
      <w:tr w:rsidRPr="005E7EAC" w:rsidR="00146986" w:rsidTr="00146986">
        <w:trPr>
          <w:trHeight w:val="225"/>
        </w:trPr>
        <w:tc>
          <w:tcPr>
            <w:tcW w:w="2348" w:type="pct"/>
            <w:tcBorders>
              <w:top w:val="nil"/>
              <w:left w:val="nil"/>
              <w:bottom w:val="nil"/>
              <w:right w:val="nil"/>
            </w:tcBorders>
            <w:shd w:val="clear" w:color="auto" w:fill="auto"/>
            <w:hideMark/>
          </w:tcPr>
          <w:p w:rsidRPr="005E7EAC" w:rsidR="00146986" w:rsidP="00146986" w:rsidRDefault="00146986">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602,4</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573,8</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568,1</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557,8</w:t>
            </w:r>
          </w:p>
        </w:tc>
        <w:tc>
          <w:tcPr>
            <w:tcW w:w="530" w:type="pct"/>
            <w:tcBorders>
              <w:top w:val="single" w:color="000000" w:sz="8" w:space="0"/>
              <w:left w:val="nil"/>
              <w:bottom w:val="nil"/>
              <w:right w:val="nil"/>
            </w:tcBorders>
            <w:shd w:val="clear" w:color="auto" w:fill="auto"/>
            <w:hideMark/>
          </w:tcPr>
          <w:p w:rsidRPr="005E7EAC" w:rsidR="00146986" w:rsidP="00146986" w:rsidRDefault="00146986">
            <w:pPr>
              <w:jc w:val="right"/>
              <w:rPr>
                <w:rFonts w:ascii="Verdana" w:hAnsi="Verdana"/>
                <w:color w:val="000000"/>
                <w:sz w:val="18"/>
                <w:szCs w:val="18"/>
              </w:rPr>
            </w:pPr>
            <w:r w:rsidRPr="005E7EAC">
              <w:rPr>
                <w:rFonts w:ascii="Verdana" w:hAnsi="Verdana"/>
                <w:color w:val="000000"/>
                <w:sz w:val="18"/>
                <w:szCs w:val="18"/>
              </w:rPr>
              <w:t>553,8</w:t>
            </w:r>
          </w:p>
        </w:tc>
      </w:tr>
    </w:tbl>
    <w:p w:rsidRPr="005E7EAC" w:rsidR="00146986" w:rsidP="00146986" w:rsidRDefault="00146986">
      <w:pPr>
        <w:spacing w:line="240" w:lineRule="exact"/>
        <w:rPr>
          <w:rFonts w:ascii="Verdana" w:hAnsi="Verdana" w:cs="Arial"/>
          <w:b/>
          <w:sz w:val="18"/>
          <w:szCs w:val="18"/>
        </w:rPr>
      </w:pPr>
    </w:p>
    <w:p w:rsidRPr="005E7EAC" w:rsidR="00146986" w:rsidP="00146986" w:rsidRDefault="00146986">
      <w:pPr>
        <w:spacing w:line="240" w:lineRule="exact"/>
        <w:rPr>
          <w:rFonts w:ascii="Verdana" w:hAnsi="Verdana" w:cs="Arial"/>
          <w:b/>
          <w:sz w:val="18"/>
          <w:szCs w:val="18"/>
        </w:rPr>
      </w:pPr>
    </w:p>
    <w:p w:rsidRPr="005E7EAC" w:rsidR="00146986" w:rsidP="00146986" w:rsidRDefault="00146986">
      <w:pPr>
        <w:spacing w:line="240" w:lineRule="exact"/>
        <w:rPr>
          <w:rFonts w:ascii="Verdana" w:hAnsi="Verdana"/>
          <w:i/>
          <w:sz w:val="18"/>
          <w:szCs w:val="18"/>
        </w:rPr>
      </w:pPr>
      <w:r w:rsidRPr="005E7EAC">
        <w:rPr>
          <w:rFonts w:ascii="Verdana" w:hAnsi="Verdana"/>
          <w:i/>
          <w:sz w:val="18"/>
          <w:szCs w:val="18"/>
        </w:rPr>
        <w:t>Huurtoeslag (raming en realisatie 2014)</w:t>
      </w:r>
    </w:p>
    <w:p w:rsidRPr="005E7EAC" w:rsidR="00FF2A16" w:rsidP="00FF2A16" w:rsidRDefault="00146986">
      <w:pPr>
        <w:rPr>
          <w:rFonts w:ascii="Verdana" w:hAnsi="Verdana"/>
          <w:sz w:val="18"/>
          <w:szCs w:val="18"/>
        </w:rPr>
      </w:pPr>
      <w:r w:rsidRPr="005E7EAC">
        <w:rPr>
          <w:rFonts w:ascii="Verdana" w:hAnsi="Verdana"/>
          <w:sz w:val="18"/>
          <w:szCs w:val="18"/>
        </w:rPr>
        <w:t xml:space="preserve">Bij de huurtoeslag is sprake van een tegenvaller in 2014 van 258,3 mln. Het tekort in 2014 is met name veroorzaakt door een grotere dan verwachte toename van het aantal aanvragers, voornamelijk vanwege de slechte economische omstandigheden, en een afname van het niet-gebruik. De ramingen voor de periode 2015-2019 zijn bijgesteld. Het tekort 2014 en de bijstelling van de raming worden binnen het instrument huurtoeslag gedekt. </w:t>
      </w:r>
      <w:r w:rsidRPr="005E7EAC" w:rsidR="00FF2A16">
        <w:rPr>
          <w:rFonts w:ascii="Verdana" w:hAnsi="Verdana"/>
          <w:sz w:val="18"/>
          <w:szCs w:val="18"/>
        </w:rPr>
        <w:t>De definitieve vormgeving van de dekking wordt betrokken bij de koopkrachtbesluitvorming.</w:t>
      </w:r>
    </w:p>
    <w:p w:rsidRPr="005E7EAC" w:rsidR="00146986" w:rsidP="00146986" w:rsidRDefault="00146986">
      <w:pPr>
        <w:spacing w:line="240" w:lineRule="exact"/>
        <w:rPr>
          <w:rFonts w:ascii="Verdana" w:hAnsi="Verdana"/>
          <w:i/>
          <w:sz w:val="18"/>
          <w:szCs w:val="18"/>
        </w:rPr>
      </w:pPr>
      <w:r w:rsidRPr="005E7EAC">
        <w:rPr>
          <w:rFonts w:ascii="Verdana" w:hAnsi="Verdana"/>
          <w:i/>
          <w:sz w:val="18"/>
          <w:szCs w:val="18"/>
        </w:rPr>
        <w:lastRenderedPageBreak/>
        <w:t xml:space="preserve">Kasschuif NEF </w:t>
      </w:r>
    </w:p>
    <w:p w:rsidRPr="005E7EAC" w:rsidR="00146986" w:rsidP="00146986" w:rsidRDefault="00146986">
      <w:pPr>
        <w:spacing w:line="240" w:lineRule="exact"/>
        <w:rPr>
          <w:rFonts w:ascii="Verdana" w:hAnsi="Verdana"/>
          <w:sz w:val="18"/>
          <w:szCs w:val="18"/>
        </w:rPr>
      </w:pPr>
      <w:r w:rsidRPr="005E7EAC">
        <w:rPr>
          <w:rFonts w:ascii="Verdana" w:hAnsi="Verdana"/>
          <w:sz w:val="18"/>
          <w:szCs w:val="18"/>
        </w:rPr>
        <w:t xml:space="preserve">Van de totale rijksbijdrage aan het Nationaal Energiebespaarfonds (NEF) is 25 mln. doorgeschoven naar 2015. </w:t>
      </w:r>
    </w:p>
    <w:p w:rsidRPr="005E7EAC" w:rsidR="00146986" w:rsidP="00146986" w:rsidRDefault="00146986">
      <w:pPr>
        <w:spacing w:line="240" w:lineRule="exact"/>
        <w:rPr>
          <w:rFonts w:ascii="Verdana" w:hAnsi="Verdana"/>
          <w:sz w:val="18"/>
          <w:szCs w:val="18"/>
        </w:rPr>
      </w:pPr>
    </w:p>
    <w:p w:rsidRPr="005E7EAC" w:rsidR="00146986" w:rsidP="00146986" w:rsidRDefault="00146986">
      <w:pPr>
        <w:spacing w:line="240" w:lineRule="exact"/>
        <w:rPr>
          <w:rFonts w:ascii="Verdana" w:hAnsi="Verdana"/>
          <w:i/>
          <w:sz w:val="18"/>
          <w:szCs w:val="18"/>
        </w:rPr>
      </w:pPr>
      <w:r w:rsidRPr="005E7EAC">
        <w:rPr>
          <w:rFonts w:ascii="Verdana" w:hAnsi="Verdana"/>
          <w:i/>
          <w:sz w:val="18"/>
          <w:szCs w:val="18"/>
        </w:rPr>
        <w:t>Overdracht monumenten aan NMO en diversen - technische mutaties uitgaven en ontvangsten</w:t>
      </w:r>
    </w:p>
    <w:p w:rsidRPr="005E7EAC" w:rsidR="00146986" w:rsidP="00146986" w:rsidRDefault="00146986">
      <w:pPr>
        <w:spacing w:line="240" w:lineRule="exact"/>
        <w:rPr>
          <w:rFonts w:ascii="Verdana" w:hAnsi="Verdana"/>
          <w:sz w:val="18"/>
          <w:szCs w:val="18"/>
        </w:rPr>
      </w:pPr>
      <w:r w:rsidRPr="005E7EAC">
        <w:rPr>
          <w:rFonts w:ascii="Verdana" w:hAnsi="Verdana"/>
          <w:sz w:val="18"/>
          <w:szCs w:val="18"/>
        </w:rPr>
        <w:t xml:space="preserve">De overdracht van het beheer en onderhoud van 31 monumenten aan de NMO medio 2015 gaat gepaard met een eenmalige instandhoudingsbijdrage. Dit leidt tot een desaldering van ontvangsten en uitgaven van 12,7 mln. </w:t>
      </w:r>
    </w:p>
    <w:p w:rsidRPr="005E7EAC" w:rsidR="00146986" w:rsidP="00146986" w:rsidRDefault="00146986">
      <w:pPr>
        <w:spacing w:line="240" w:lineRule="exact"/>
        <w:rPr>
          <w:rFonts w:ascii="Verdana" w:hAnsi="Verdana"/>
          <w:sz w:val="18"/>
          <w:szCs w:val="18"/>
        </w:rPr>
      </w:pPr>
    </w:p>
    <w:p w:rsidRPr="005E7EAC" w:rsidR="00146986" w:rsidP="00146986" w:rsidRDefault="00146986">
      <w:pPr>
        <w:spacing w:line="240" w:lineRule="exact"/>
        <w:rPr>
          <w:rFonts w:ascii="Verdana" w:hAnsi="Verdana"/>
          <w:sz w:val="18"/>
          <w:szCs w:val="18"/>
        </w:rPr>
      </w:pPr>
      <w:r w:rsidRPr="005E7EAC">
        <w:rPr>
          <w:rFonts w:ascii="Verdana" w:hAnsi="Verdana"/>
          <w:i/>
          <w:sz w:val="18"/>
          <w:szCs w:val="18"/>
        </w:rPr>
        <w:t>Fonds Energiebesparing Huursector</w:t>
      </w:r>
    </w:p>
    <w:p w:rsidRPr="005E7EAC" w:rsidR="00146986" w:rsidP="00146986" w:rsidRDefault="00146986">
      <w:pPr>
        <w:spacing w:line="240" w:lineRule="exact"/>
        <w:rPr>
          <w:rFonts w:ascii="Verdana" w:hAnsi="Verdana"/>
          <w:sz w:val="18"/>
          <w:szCs w:val="18"/>
        </w:rPr>
      </w:pPr>
      <w:r w:rsidRPr="005E7EAC">
        <w:rPr>
          <w:rFonts w:ascii="Verdana" w:hAnsi="Verdana"/>
          <w:sz w:val="18"/>
          <w:szCs w:val="18"/>
        </w:rPr>
        <w:t xml:space="preserve">De niet bestede middelen uit 2014 zijn meegenomen naar 2015.  </w:t>
      </w:r>
    </w:p>
    <w:p w:rsidRPr="005E7EAC" w:rsidR="00146986" w:rsidP="00146986" w:rsidRDefault="00146986">
      <w:pPr>
        <w:spacing w:line="240" w:lineRule="exact"/>
        <w:rPr>
          <w:rFonts w:ascii="Verdana" w:hAnsi="Verdana"/>
          <w:sz w:val="18"/>
          <w:szCs w:val="18"/>
        </w:rPr>
      </w:pPr>
    </w:p>
    <w:p w:rsidRPr="005E7EAC" w:rsidR="00146986" w:rsidP="00146986" w:rsidRDefault="00146986">
      <w:pPr>
        <w:spacing w:line="240" w:lineRule="exact"/>
        <w:rPr>
          <w:rFonts w:ascii="Verdana" w:hAnsi="Verdana"/>
          <w:i/>
          <w:sz w:val="18"/>
          <w:szCs w:val="18"/>
        </w:rPr>
      </w:pPr>
      <w:r w:rsidRPr="005E7EAC">
        <w:rPr>
          <w:rFonts w:ascii="Verdana" w:hAnsi="Verdana"/>
          <w:i/>
          <w:sz w:val="18"/>
          <w:szCs w:val="18"/>
        </w:rPr>
        <w:t xml:space="preserve">Diversen (beleidsmatige en technische mutaties, uitgaven en ontvangsten) </w:t>
      </w:r>
    </w:p>
    <w:p w:rsidRPr="005E7EAC" w:rsidR="00146986" w:rsidP="00146986" w:rsidRDefault="00146986">
      <w:pPr>
        <w:spacing w:line="240" w:lineRule="exact"/>
        <w:rPr>
          <w:rFonts w:ascii="Verdana" w:hAnsi="Verdana"/>
          <w:sz w:val="18"/>
          <w:szCs w:val="18"/>
        </w:rPr>
      </w:pPr>
      <w:r w:rsidRPr="005E7EAC">
        <w:rPr>
          <w:rFonts w:ascii="Verdana" w:hAnsi="Verdana"/>
          <w:sz w:val="18"/>
          <w:szCs w:val="18"/>
        </w:rPr>
        <w:t>Er zijn verschillende ramingsbijstellingen ingeboekt. De ramingen voor de uitgaven aan de beleidsprogramma’s energiebesparing en woon- en leefomgeving worden structureel verlaagd. De subsidieramingen voor de Wet Bevordering Eigenwoningbezit wordt herijkt en de ontvangstenraming van de RVOB wordt verhoogd.</w:t>
      </w:r>
    </w:p>
    <w:p w:rsidRPr="005E7EAC" w:rsidR="004032A8" w:rsidP="00146986" w:rsidRDefault="004032A8">
      <w:pPr>
        <w:spacing w:line="240" w:lineRule="exact"/>
        <w:rPr>
          <w:rFonts w:ascii="Verdana" w:hAnsi="Verdana" w:cs="Arial"/>
          <w:b/>
          <w:sz w:val="18"/>
          <w:szCs w:val="18"/>
        </w:rPr>
      </w:pPr>
      <w:r w:rsidRPr="005E7EAC">
        <w:rPr>
          <w:rFonts w:ascii="Verdana" w:hAnsi="Verdana" w:cs="Arial"/>
          <w:b/>
          <w:sz w:val="18"/>
          <w:szCs w:val="18"/>
        </w:rPr>
        <w:br w:type="page"/>
      </w:r>
    </w:p>
    <w:p w:rsidRPr="005E7EAC" w:rsidR="004251F8" w:rsidP="00CD01B4" w:rsidRDefault="00FB210C">
      <w:pPr>
        <w:spacing w:line="240" w:lineRule="atLeast"/>
        <w:rPr>
          <w:rFonts w:ascii="Verdana" w:hAnsi="Verdana" w:cs="Arial"/>
          <w:b/>
          <w:sz w:val="18"/>
          <w:szCs w:val="18"/>
        </w:rPr>
      </w:pPr>
      <w:r w:rsidRPr="005E7EAC">
        <w:rPr>
          <w:rFonts w:ascii="Verdana" w:hAnsi="Verdana" w:cs="Arial"/>
          <w:b/>
          <w:sz w:val="18"/>
          <w:szCs w:val="18"/>
        </w:rPr>
        <w:lastRenderedPageBreak/>
        <w:t>Gemeentefonds</w:t>
      </w:r>
    </w:p>
    <w:p w:rsidRPr="005E7EAC" w:rsidR="00933E38" w:rsidP="00CD01B4" w:rsidRDefault="00933E38">
      <w:pPr>
        <w:spacing w:line="240" w:lineRule="atLeast"/>
        <w:rPr>
          <w:rFonts w:ascii="Verdana" w:hAnsi="Verdana" w:cs="Arial"/>
          <w:b/>
          <w:sz w:val="18"/>
          <w:szCs w:val="18"/>
        </w:rPr>
      </w:pPr>
    </w:p>
    <w:tbl>
      <w:tblPr>
        <w:tblW w:w="5000" w:type="pct"/>
        <w:tblCellMar>
          <w:left w:w="70" w:type="dxa"/>
          <w:right w:w="70" w:type="dxa"/>
        </w:tblCellMar>
        <w:tblLook w:val="04A0"/>
      </w:tblPr>
      <w:tblGrid>
        <w:gridCol w:w="4137"/>
        <w:gridCol w:w="1015"/>
        <w:gridCol w:w="1015"/>
        <w:gridCol w:w="1015"/>
        <w:gridCol w:w="1015"/>
        <w:gridCol w:w="1015"/>
      </w:tblGrid>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UITGAVEN</w:t>
            </w: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r>
      <w:tr w:rsidRPr="005E7EAC" w:rsidR="00775A98" w:rsidTr="00775A98">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2019</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27.272,7</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27.036,0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26.508,0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26.317,7</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26.174,8</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Mee- en tegenvallers</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Herverdelingseffect jeugdzorg</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-132,8</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-135,9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-136,8</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-136,8</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Herverdelingseffect wmo</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-256,5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-288,5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-317,1</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-306,1</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Wlz-indiceerbaren jeugdzorg</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-108,9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-108,9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-108,9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-108,9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-108,9</w:t>
            </w:r>
          </w:p>
        </w:tc>
      </w:tr>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Wlz-indiceerbaren wmo</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-133,9</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-523,2</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-558,3</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-587,8</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-576,8</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Beleidsmatige mutaties</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Wijziging betalingsverloop</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21,4</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0,8</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450"/>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Additionele kosten overgang pgb's gemeenten</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Capaciteitsreductie gesloten jeugdzorg</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-9,0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Correctie realisatie 2014</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-24,0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5,1</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8,1</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9,0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9,0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Extramuralisering tranche 2016</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170,0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170,0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170,0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170,0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Extramuralisering tranche 2017</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122,0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122,0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122,0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Huishoudelijke hulptoelage</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13,5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66,0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450"/>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Onvolkomenheid woonplaatsbeginsel jeugdzorg</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Volumegroei 2016</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28,4</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28,4</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28,4</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28,4</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Volumegroei 2017</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110,0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110,0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110,0</w:t>
            </w:r>
          </w:p>
        </w:tc>
      </w:tr>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19,9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18,7</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19,3</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62,6</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293,2</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457,8</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459,4</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459,4</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Technische mutaties</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Accres tranche 2014</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-249,0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-124,5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-124,5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-124,5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-124,5</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Accres tranche 2015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-116,0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-116,0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-116,0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-116,0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-116,0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Bodemsanering</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38,7</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13,5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-1,6</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-1,2</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5,7</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2,1</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-14,0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-14,1</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-16,2</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Huishoudelijke hulptoelage</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40,1</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0,4</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-266,6</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-240,0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-256,5</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-256,5</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-257,9</w:t>
            </w:r>
          </w:p>
        </w:tc>
      </w:tr>
      <w:tr w:rsidRPr="005E7EAC" w:rsidR="00775A98" w:rsidTr="00775A98">
        <w:trPr>
          <w:trHeight w:val="180"/>
        </w:trPr>
        <w:tc>
          <w:tcPr>
            <w:tcW w:w="2245"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-337,9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-469,9</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-356,8</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-384,8</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-375,2</w:t>
            </w:r>
          </w:p>
        </w:tc>
      </w:tr>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26.934,8</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26.566,1</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26.151,2</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25.932,9</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25.799,6</w:t>
            </w:r>
          </w:p>
        </w:tc>
      </w:tr>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26.934,8</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26.566,1</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26.151,2</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25.932,9</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25.799,6</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r>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NIET-BELASTINGONTVANGSTEN</w:t>
            </w: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r>
      <w:tr w:rsidRPr="005E7EAC" w:rsidR="00775A98" w:rsidTr="00775A98">
        <w:trPr>
          <w:trHeight w:val="240"/>
        </w:trPr>
        <w:tc>
          <w:tcPr>
            <w:tcW w:w="2245"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 </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2015</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2016</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2017</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2018</w:t>
            </w:r>
          </w:p>
        </w:tc>
        <w:tc>
          <w:tcPr>
            <w:tcW w:w="551" w:type="pct"/>
            <w:tcBorders>
              <w:top w:val="single" w:color="000000" w:sz="8" w:space="0"/>
              <w:left w:val="nil"/>
              <w:bottom w:val="single" w:color="000000" w:sz="8" w:space="0"/>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2019</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Stand Miljoenennota 2015 (excl. IS)</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180"/>
        </w:trPr>
        <w:tc>
          <w:tcPr>
            <w:tcW w:w="2245"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c>
          <w:tcPr>
            <w:tcW w:w="551" w:type="pct"/>
            <w:tcBorders>
              <w:top w:val="nil"/>
              <w:left w:val="nil"/>
              <w:bottom w:val="nil"/>
              <w:right w:val="nil"/>
            </w:tcBorders>
            <w:shd w:val="clear" w:color="auto" w:fill="auto"/>
            <w:noWrap/>
            <w:vAlign w:val="bottom"/>
            <w:hideMark/>
          </w:tcPr>
          <w:p w:rsidRPr="005E7EAC" w:rsidR="00775A98" w:rsidP="00775A98" w:rsidRDefault="00775A98">
            <w:pPr>
              <w:rPr>
                <w:rFonts w:ascii="Verdana" w:hAnsi="Verdana"/>
                <w:color w:val="000000"/>
                <w:sz w:val="14"/>
                <w:szCs w:val="14"/>
              </w:rPr>
            </w:pP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Stand Voorjaarsnota 2015 (subtotaal)</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40"/>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Totaal Internationale samenwerking</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nil"/>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r w:rsidRPr="005E7EAC" w:rsidR="00775A98" w:rsidTr="00775A98">
        <w:trPr>
          <w:trHeight w:val="225"/>
        </w:trPr>
        <w:tc>
          <w:tcPr>
            <w:tcW w:w="2245" w:type="pct"/>
            <w:tcBorders>
              <w:top w:val="nil"/>
              <w:left w:val="nil"/>
              <w:bottom w:val="nil"/>
              <w:right w:val="nil"/>
            </w:tcBorders>
            <w:shd w:val="clear" w:color="auto" w:fill="auto"/>
            <w:hideMark/>
          </w:tcPr>
          <w:p w:rsidRPr="005E7EAC" w:rsidR="00775A98" w:rsidP="00775A98" w:rsidRDefault="00775A98">
            <w:pPr>
              <w:rPr>
                <w:rFonts w:ascii="Verdana" w:hAnsi="Verdana"/>
                <w:color w:val="000000"/>
                <w:sz w:val="18"/>
                <w:szCs w:val="18"/>
              </w:rPr>
            </w:pPr>
            <w:r w:rsidRPr="005E7EAC">
              <w:rPr>
                <w:rFonts w:ascii="Verdana" w:hAnsi="Verdana"/>
                <w:color w:val="000000"/>
                <w:sz w:val="18"/>
                <w:szCs w:val="18"/>
              </w:rPr>
              <w:t>Stand Voorjaarsnota 2015</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c>
          <w:tcPr>
            <w:tcW w:w="551" w:type="pct"/>
            <w:tcBorders>
              <w:top w:val="single" w:color="000000" w:sz="8" w:space="0"/>
              <w:left w:val="nil"/>
              <w:bottom w:val="nil"/>
              <w:right w:val="nil"/>
            </w:tcBorders>
            <w:shd w:val="clear" w:color="auto" w:fill="auto"/>
            <w:hideMark/>
          </w:tcPr>
          <w:p w:rsidRPr="005E7EAC" w:rsidR="00775A98" w:rsidP="00775A98" w:rsidRDefault="00775A98">
            <w:pPr>
              <w:jc w:val="right"/>
              <w:rPr>
                <w:rFonts w:ascii="Verdana" w:hAnsi="Verdana"/>
                <w:color w:val="000000"/>
                <w:sz w:val="18"/>
                <w:szCs w:val="18"/>
              </w:rPr>
            </w:pPr>
            <w:r w:rsidRPr="005E7EAC">
              <w:rPr>
                <w:rFonts w:ascii="Verdana" w:hAnsi="Verdana"/>
                <w:color w:val="000000"/>
                <w:sz w:val="18"/>
                <w:szCs w:val="18"/>
              </w:rPr>
              <w:t>0,0</w:t>
            </w:r>
          </w:p>
        </w:tc>
      </w:tr>
    </w:tbl>
    <w:p w:rsidRPr="005E7EAC" w:rsidR="007D2B20" w:rsidP="00313196" w:rsidRDefault="007D2B20">
      <w:pPr>
        <w:spacing w:line="276" w:lineRule="auto"/>
        <w:rPr>
          <w:rFonts w:ascii="Verdana" w:hAnsi="Verdana" w:cs="Verdana"/>
          <w:i/>
          <w:iCs/>
          <w:sz w:val="18"/>
          <w:szCs w:val="18"/>
        </w:rPr>
      </w:pPr>
    </w:p>
    <w:p w:rsidRPr="005E7EAC" w:rsidR="007D2B20" w:rsidP="00C13D7D" w:rsidRDefault="007D2B20">
      <w:pPr>
        <w:spacing w:line="240" w:lineRule="exact"/>
        <w:rPr>
          <w:rFonts w:ascii="Verdana" w:hAnsi="Verdana" w:cs="Verdana"/>
          <w:i/>
          <w:iCs/>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lastRenderedPageBreak/>
        <w:t>Herverdelingseffect jeugdzorg/Wmo</w:t>
      </w:r>
    </w:p>
    <w:p w:rsidRPr="005E7EAC" w:rsidR="007D2B20" w:rsidP="00C13D7D" w:rsidRDefault="007D2B20">
      <w:pPr>
        <w:spacing w:line="240" w:lineRule="exact"/>
        <w:rPr>
          <w:rFonts w:ascii="Verdana" w:hAnsi="Verdana"/>
          <w:sz w:val="18"/>
          <w:szCs w:val="18"/>
        </w:rPr>
      </w:pPr>
      <w:r w:rsidRPr="005E7EAC">
        <w:rPr>
          <w:rFonts w:ascii="Verdana" w:hAnsi="Verdana"/>
          <w:sz w:val="18"/>
          <w:szCs w:val="18"/>
        </w:rPr>
        <w:t xml:space="preserve">In februari 2015 zijn de realisatiecijfers 2014 AWBZ binnengekomen voor zowel de zorg in natura als het pgb. Op basis van deze cijfers vindt er een herverdeling plaats over de verschillende domeinen binnen de hervorming langdurige zorg. </w:t>
      </w:r>
      <w:r w:rsidRPr="005E7EAC">
        <w:rPr>
          <w:rFonts w:ascii="Verdana" w:hAnsi="Verdana"/>
          <w:sz w:val="18"/>
          <w:szCs w:val="16"/>
        </w:rPr>
        <w:t xml:space="preserve">Per saldo komen de uitgaven voor de jeugdzorg en de Wmo lager uit. </w:t>
      </w:r>
      <w:r w:rsidRPr="005E7EAC" w:rsidR="00486628">
        <w:rPr>
          <w:rFonts w:ascii="Verdana" w:hAnsi="Verdana"/>
          <w:sz w:val="18"/>
          <w:szCs w:val="16"/>
        </w:rPr>
        <w:t>In 2015 vindt geen herverdeling plaats met gemeenten.</w:t>
      </w:r>
    </w:p>
    <w:p w:rsidRPr="005E7EAC" w:rsidR="007D2B20" w:rsidP="00C13D7D" w:rsidRDefault="007D2B20">
      <w:pPr>
        <w:spacing w:line="240" w:lineRule="exact"/>
        <w:rPr>
          <w:rFonts w:ascii="Verdana" w:hAnsi="Verdana"/>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t>Wlz-indiceerbaren jeugdzorg/Wmo</w:t>
      </w:r>
    </w:p>
    <w:p w:rsidRPr="005E7EAC" w:rsidR="007D2B20" w:rsidP="00C13D7D" w:rsidRDefault="007D2B20">
      <w:pPr>
        <w:pStyle w:val="Default"/>
        <w:spacing w:line="240" w:lineRule="exact"/>
        <w:rPr>
          <w:sz w:val="12"/>
          <w:szCs w:val="12"/>
        </w:rPr>
      </w:pPr>
      <w:r w:rsidRPr="005E7EAC">
        <w:rPr>
          <w:sz w:val="18"/>
          <w:szCs w:val="18"/>
        </w:rPr>
        <w:t>Met deze mutatie wordt (cf. decembercirculaire 2014) vanaf 2015 het gemeentefonds verlaagd. De middelen worden ingezet binnen de Wlz.</w:t>
      </w:r>
    </w:p>
    <w:p w:rsidRPr="005E7EAC" w:rsidR="007D2B20" w:rsidP="00C13D7D" w:rsidRDefault="007D2B20">
      <w:pPr>
        <w:spacing w:line="240" w:lineRule="exact"/>
        <w:rPr>
          <w:rFonts w:ascii="Verdana" w:hAnsi="Verdana"/>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t>Wijziging betalingsverloop</w:t>
      </w:r>
    </w:p>
    <w:p w:rsidRPr="005E7EAC" w:rsidR="007D2B20" w:rsidP="00C13D7D" w:rsidRDefault="007D2B20">
      <w:pPr>
        <w:spacing w:line="240" w:lineRule="exact"/>
        <w:rPr>
          <w:rFonts w:ascii="Verdana" w:hAnsi="Verdana"/>
          <w:sz w:val="18"/>
          <w:szCs w:val="18"/>
        </w:rPr>
      </w:pPr>
      <w:r w:rsidRPr="005E7EAC">
        <w:rPr>
          <w:rFonts w:ascii="Verdana" w:hAnsi="Verdana"/>
          <w:sz w:val="18"/>
          <w:szCs w:val="18"/>
        </w:rPr>
        <w:t>In 2014 is een gedeelte van het gemeentefonds niet uitbetaald aan gemeenten. Dit is veroorzaakt doordat de verdeelmaatstaven niet allemaal in 2014 definitief konden worden vastgesteld, waardoor niet kon worden overgegaan tot betaling aan gemeenten. Het resterende bedrag wordt in 2015 uitbetaald. Hiertoe wordt de begroting van het gemeentefonds verhoogd.</w:t>
      </w:r>
    </w:p>
    <w:p w:rsidRPr="005E7EAC" w:rsidR="007D2B20" w:rsidP="00C13D7D" w:rsidRDefault="007D2B20">
      <w:pPr>
        <w:spacing w:line="240" w:lineRule="exact"/>
        <w:rPr>
          <w:rFonts w:ascii="Verdana" w:hAnsi="Verdana"/>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t>Additionele kosten overgang pgb’s gemeenten</w:t>
      </w:r>
    </w:p>
    <w:p w:rsidRPr="005E7EAC" w:rsidR="007D2B20" w:rsidP="00C13D7D" w:rsidRDefault="007D2B20">
      <w:pPr>
        <w:spacing w:line="240" w:lineRule="exact"/>
        <w:rPr>
          <w:rFonts w:ascii="Verdana" w:hAnsi="Verdana"/>
          <w:sz w:val="18"/>
          <w:szCs w:val="18"/>
        </w:rPr>
      </w:pPr>
      <w:r w:rsidRPr="005E7EAC">
        <w:rPr>
          <w:rFonts w:ascii="Verdana" w:hAnsi="Verdana"/>
          <w:sz w:val="18"/>
          <w:szCs w:val="18"/>
        </w:rPr>
        <w:t>Er worden middelen aan het gemeentefonds toegevoegd om het knelpunt bij de pgb’s op te lossen.</w:t>
      </w:r>
    </w:p>
    <w:p w:rsidRPr="005E7EAC" w:rsidR="007D2B20" w:rsidP="00C13D7D" w:rsidRDefault="007D2B20">
      <w:pPr>
        <w:spacing w:line="240" w:lineRule="exact"/>
        <w:rPr>
          <w:rFonts w:ascii="Verdana" w:hAnsi="Verdana"/>
          <w:sz w:val="18"/>
          <w:szCs w:val="18"/>
        </w:rPr>
      </w:pPr>
    </w:p>
    <w:p w:rsidRPr="005E7EAC" w:rsidR="001C4710" w:rsidP="001C4710" w:rsidRDefault="001C4710">
      <w:pPr>
        <w:spacing w:line="240" w:lineRule="exact"/>
        <w:rPr>
          <w:rFonts w:ascii="Verdana" w:hAnsi="Verdana"/>
          <w:i/>
          <w:sz w:val="18"/>
          <w:szCs w:val="18"/>
        </w:rPr>
      </w:pPr>
      <w:r w:rsidRPr="005E7EAC">
        <w:rPr>
          <w:rFonts w:ascii="Verdana" w:hAnsi="Verdana"/>
          <w:i/>
          <w:sz w:val="18"/>
          <w:szCs w:val="18"/>
        </w:rPr>
        <w:t>Capaciteitsreductie gesloten jeugdzorg</w:t>
      </w:r>
    </w:p>
    <w:p w:rsidRPr="005E7EAC" w:rsidR="001C4710" w:rsidP="001C4710" w:rsidRDefault="001C4710">
      <w:pPr>
        <w:spacing w:line="240" w:lineRule="exact"/>
        <w:rPr>
          <w:rFonts w:ascii="Verdana" w:hAnsi="Verdana"/>
          <w:sz w:val="18"/>
          <w:szCs w:val="18"/>
        </w:rPr>
      </w:pPr>
      <w:r w:rsidRPr="005E7EAC">
        <w:rPr>
          <w:rFonts w:ascii="Verdana" w:hAnsi="Verdana"/>
          <w:sz w:val="18"/>
          <w:szCs w:val="18"/>
        </w:rPr>
        <w:t>Dit betreft het toevoegen van middelen in 2016 voor de regeling capaciteitsreductie gesloten jeugdzorg. In 2015 is de verwachting dat er minder wordt uitgegeven.</w:t>
      </w:r>
    </w:p>
    <w:p w:rsidRPr="005E7EAC" w:rsidR="001C4710" w:rsidP="001C4710" w:rsidRDefault="001C4710">
      <w:pPr>
        <w:spacing w:line="240" w:lineRule="exact"/>
        <w:rPr>
          <w:rFonts w:ascii="Verdana" w:hAnsi="Verdana"/>
          <w:i/>
          <w:sz w:val="18"/>
          <w:szCs w:val="18"/>
        </w:rPr>
      </w:pPr>
    </w:p>
    <w:p w:rsidRPr="005E7EAC" w:rsidR="001C4710" w:rsidP="001C4710" w:rsidRDefault="001C4710">
      <w:pPr>
        <w:spacing w:line="240" w:lineRule="exact"/>
        <w:rPr>
          <w:rFonts w:ascii="Verdana" w:hAnsi="Verdana"/>
          <w:i/>
          <w:sz w:val="18"/>
          <w:szCs w:val="18"/>
        </w:rPr>
      </w:pPr>
      <w:r w:rsidRPr="005E7EAC">
        <w:rPr>
          <w:rFonts w:ascii="Verdana" w:hAnsi="Verdana"/>
          <w:i/>
          <w:sz w:val="18"/>
          <w:szCs w:val="18"/>
        </w:rPr>
        <w:t>Correctie realisatie 2014</w:t>
      </w:r>
    </w:p>
    <w:p w:rsidRPr="005E7EAC" w:rsidR="001C4710" w:rsidP="001C4710" w:rsidRDefault="001C4710">
      <w:pPr>
        <w:spacing w:line="240" w:lineRule="exact"/>
        <w:rPr>
          <w:rFonts w:ascii="Verdana" w:hAnsi="Verdana"/>
          <w:sz w:val="18"/>
          <w:szCs w:val="18"/>
        </w:rPr>
      </w:pPr>
      <w:r w:rsidRPr="005E7EAC">
        <w:rPr>
          <w:rFonts w:ascii="Verdana" w:hAnsi="Verdana"/>
          <w:sz w:val="18"/>
          <w:szCs w:val="18"/>
        </w:rPr>
        <w:t xml:space="preserve">In 2015 wordt dat deel van het macrobudget bijgesteld dat toeslagen betreft. Hier staat geen te leveren zorg tegenover. Voor 2016 en verder betreft het de meerjarige doorwerking van de realisatiecijfers uit 2014. </w:t>
      </w:r>
    </w:p>
    <w:p w:rsidRPr="005E7EAC" w:rsidR="001C4710" w:rsidP="001C4710" w:rsidRDefault="001C4710">
      <w:pPr>
        <w:spacing w:line="240" w:lineRule="exact"/>
        <w:rPr>
          <w:rFonts w:ascii="Verdana" w:hAnsi="Verdana"/>
          <w:i/>
          <w:sz w:val="18"/>
          <w:szCs w:val="18"/>
        </w:rPr>
      </w:pPr>
    </w:p>
    <w:p w:rsidRPr="005E7EAC" w:rsidR="001C4710" w:rsidP="001C4710" w:rsidRDefault="001C4710">
      <w:pPr>
        <w:spacing w:line="240" w:lineRule="exact"/>
        <w:rPr>
          <w:rFonts w:ascii="Verdana" w:hAnsi="Verdana"/>
          <w:i/>
          <w:sz w:val="18"/>
          <w:szCs w:val="18"/>
        </w:rPr>
      </w:pPr>
      <w:r w:rsidRPr="005E7EAC">
        <w:rPr>
          <w:rFonts w:ascii="Verdana" w:hAnsi="Verdana"/>
          <w:i/>
          <w:sz w:val="18"/>
          <w:szCs w:val="18"/>
        </w:rPr>
        <w:t>Extramuralisering tranche 2016/2017</w:t>
      </w:r>
    </w:p>
    <w:p w:rsidRPr="005E7EAC" w:rsidR="001C4710" w:rsidP="001C4710" w:rsidRDefault="001C4710">
      <w:pPr>
        <w:spacing w:line="240" w:lineRule="exact"/>
        <w:rPr>
          <w:rFonts w:ascii="Verdana" w:hAnsi="Verdana"/>
          <w:sz w:val="18"/>
          <w:szCs w:val="18"/>
        </w:rPr>
      </w:pPr>
      <w:r w:rsidRPr="005E7EAC">
        <w:rPr>
          <w:rFonts w:ascii="Verdana" w:hAnsi="Verdana"/>
          <w:sz w:val="18"/>
          <w:szCs w:val="18"/>
        </w:rPr>
        <w:t>Dit betreft het uitdelen van de gereserveerde middelen voor extramuralisering aan de Wmo.</w:t>
      </w:r>
    </w:p>
    <w:p w:rsidRPr="005E7EAC" w:rsidR="001C4710" w:rsidP="00C13D7D" w:rsidRDefault="001C4710">
      <w:pPr>
        <w:spacing w:line="240" w:lineRule="exact"/>
        <w:rPr>
          <w:rFonts w:ascii="Verdana" w:hAnsi="Verdana"/>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t>Huishoudelijke hulptoelage</w:t>
      </w:r>
    </w:p>
    <w:p w:rsidRPr="005E7EAC" w:rsidR="007D2B20" w:rsidP="00C13D7D" w:rsidRDefault="007D2B20">
      <w:pPr>
        <w:spacing w:line="240" w:lineRule="exact"/>
        <w:rPr>
          <w:rFonts w:ascii="Verdana" w:hAnsi="Verdana"/>
          <w:sz w:val="18"/>
          <w:szCs w:val="18"/>
        </w:rPr>
      </w:pPr>
      <w:r w:rsidRPr="005E7EAC">
        <w:rPr>
          <w:rFonts w:ascii="Verdana" w:hAnsi="Verdana" w:cs="Courier New"/>
          <w:sz w:val="18"/>
          <w:szCs w:val="18"/>
        </w:rPr>
        <w:t xml:space="preserve">Er is een tekort ontstaan door het schrappen van het budgetplafond waarvoor nu middelen worden toegevoegd aan het gemeentefonds. </w:t>
      </w:r>
    </w:p>
    <w:p w:rsidRPr="005E7EAC" w:rsidR="007D2B20" w:rsidP="00C13D7D" w:rsidRDefault="007D2B20">
      <w:pPr>
        <w:spacing w:line="240" w:lineRule="exact"/>
        <w:rPr>
          <w:rFonts w:ascii="Verdana" w:hAnsi="Verdana"/>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t>Onvolkomenheid woonplaatsbeginsel jeugdzorg</w:t>
      </w:r>
    </w:p>
    <w:p w:rsidRPr="005E7EAC" w:rsidR="007D2B20" w:rsidP="00C13D7D" w:rsidRDefault="007D2B20">
      <w:pPr>
        <w:spacing w:line="240" w:lineRule="exact"/>
        <w:rPr>
          <w:rFonts w:ascii="Verdana" w:hAnsi="Verdana"/>
          <w:sz w:val="18"/>
          <w:szCs w:val="18"/>
        </w:rPr>
      </w:pPr>
      <w:r w:rsidRPr="005E7EAC">
        <w:rPr>
          <w:rFonts w:ascii="Verdana" w:hAnsi="Verdana"/>
          <w:sz w:val="18"/>
          <w:szCs w:val="18"/>
        </w:rPr>
        <w:t xml:space="preserve">In de bestuurlijke afspraken rond de bovenregionale jeugdhulp is onderkend dat een kleine groep gemeenten, met relatief zeer veel residentiële jeugdhulpcapaciteit, te weinig budget heeft gekregen </w:t>
      </w:r>
      <w:r w:rsidRPr="005E7EAC" w:rsidR="009A367F">
        <w:rPr>
          <w:rFonts w:ascii="Verdana" w:hAnsi="Verdana"/>
          <w:sz w:val="18"/>
          <w:szCs w:val="18"/>
        </w:rPr>
        <w:t xml:space="preserve">voor de jeugdhulp die door hen </w:t>
      </w:r>
      <w:r w:rsidRPr="005E7EAC">
        <w:rPr>
          <w:rFonts w:ascii="Verdana" w:hAnsi="Verdana"/>
          <w:sz w:val="18"/>
          <w:szCs w:val="18"/>
        </w:rPr>
        <w:t xml:space="preserve">geleverd moet worden. De oorzaak hiervan is het feit dat de toerekening van het woonplaatsbeginsel bij deze groep niet optimaal werkt. De VNG inventariseert op dit moment de omvang van de problematiek en selecteert de gemeenten die in aanmerking komen voor een ophoging van het budget. Omdat het hier om een verdelingsvraagstuk binnen het macrobudget gaat wordt 20 mln. geschoven van 2016 naar 2015. </w:t>
      </w:r>
    </w:p>
    <w:p w:rsidRPr="005E7EAC" w:rsidR="007D2B20" w:rsidP="00C13D7D" w:rsidRDefault="007D2B20">
      <w:pPr>
        <w:pStyle w:val="Geenafstand"/>
        <w:spacing w:line="240" w:lineRule="exact"/>
        <w:rPr>
          <w:i/>
          <w:szCs w:val="18"/>
        </w:rPr>
      </w:pPr>
    </w:p>
    <w:p w:rsidRPr="005E7EAC" w:rsidR="001C4710" w:rsidP="001C4710" w:rsidRDefault="001C4710">
      <w:pPr>
        <w:pStyle w:val="Geenafstand"/>
        <w:spacing w:line="240" w:lineRule="exact"/>
        <w:rPr>
          <w:i/>
          <w:szCs w:val="18"/>
        </w:rPr>
      </w:pPr>
      <w:r w:rsidRPr="005E7EAC">
        <w:rPr>
          <w:i/>
          <w:szCs w:val="18"/>
        </w:rPr>
        <w:t>Volumegroei 2016/2017</w:t>
      </w:r>
    </w:p>
    <w:p w:rsidRPr="005E7EAC" w:rsidR="001C4710" w:rsidP="001C4710" w:rsidRDefault="001C4710">
      <w:pPr>
        <w:pStyle w:val="Geenafstand"/>
        <w:spacing w:line="240" w:lineRule="exact"/>
        <w:rPr>
          <w:szCs w:val="18"/>
        </w:rPr>
      </w:pPr>
      <w:r w:rsidRPr="005E7EAC">
        <w:rPr>
          <w:rFonts w:eastAsia="Times New Roman" w:cs="Times New Roman"/>
          <w:szCs w:val="18"/>
          <w:lang w:eastAsia="nl-NL"/>
        </w:rPr>
        <w:t>Dit betreft het uitdelen van de groeimiddelen voor 2016 en 2017 aan de Wmo en de jeugdzorg.</w:t>
      </w:r>
    </w:p>
    <w:p w:rsidRPr="005E7EAC" w:rsidR="001C4710" w:rsidP="00C13D7D" w:rsidRDefault="001C4710">
      <w:pPr>
        <w:pStyle w:val="Geenafstand"/>
        <w:spacing w:line="240" w:lineRule="exact"/>
        <w:rPr>
          <w:i/>
          <w:szCs w:val="18"/>
        </w:rPr>
      </w:pPr>
    </w:p>
    <w:p w:rsidRPr="005E7EAC" w:rsidR="007D2B20" w:rsidP="00C13D7D" w:rsidRDefault="007D2B20">
      <w:pPr>
        <w:pStyle w:val="Geenafstand"/>
        <w:spacing w:line="240" w:lineRule="exact"/>
        <w:rPr>
          <w:i/>
          <w:szCs w:val="18"/>
        </w:rPr>
      </w:pPr>
      <w:r w:rsidRPr="005E7EAC">
        <w:rPr>
          <w:i/>
          <w:szCs w:val="18"/>
        </w:rPr>
        <w:t>Accres tranche 2014</w:t>
      </w:r>
    </w:p>
    <w:p w:rsidRPr="005E7EAC" w:rsidR="007D2B20" w:rsidP="00C13D7D" w:rsidRDefault="007D2B20">
      <w:pPr>
        <w:pStyle w:val="Geenafstand"/>
        <w:spacing w:line="240" w:lineRule="exact"/>
        <w:rPr>
          <w:szCs w:val="18"/>
        </w:rPr>
      </w:pPr>
      <w:r w:rsidRPr="005E7EAC">
        <w:rPr>
          <w:szCs w:val="18"/>
        </w:rPr>
        <w:t xml:space="preserve">Het accres kent jaarlijks twee bijstellingsmomenten namelijk 1) de Voorjaarsnota en 2) de Miljoenennota. Daarnaast is er één vaststellingsmoment namelijk bij het Financieel Jaarverslag Rijk (FJR). Het definitieve accrespercentage over 2014 is, na afloop van dat jaar, op basis van de FJR-realisatiestanden uitgekomen op 2,02 procent. Dat betekent een neerwaartse aanpassing van 124,5 mln. ten opzichte van de stand Miljoenennota 2015. Omdat het jaar 2014 al is afgesloten, vindt de afrekening plaats in 2015. </w:t>
      </w:r>
    </w:p>
    <w:p w:rsidRPr="005E7EAC" w:rsidR="007D2B20" w:rsidP="00C13D7D" w:rsidRDefault="007D2B20">
      <w:pPr>
        <w:spacing w:line="240" w:lineRule="exact"/>
        <w:rPr>
          <w:rFonts w:ascii="Verdana" w:hAnsi="Verdana"/>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t>Accres tranche 2015</w:t>
      </w:r>
    </w:p>
    <w:p w:rsidRPr="005E7EAC" w:rsidR="007D2B20" w:rsidP="00C13D7D" w:rsidRDefault="007D2B20">
      <w:pPr>
        <w:spacing w:line="240" w:lineRule="exact"/>
        <w:rPr>
          <w:rFonts w:ascii="Verdana" w:hAnsi="Verdana"/>
          <w:sz w:val="18"/>
          <w:szCs w:val="18"/>
        </w:rPr>
      </w:pPr>
      <w:r w:rsidRPr="005E7EAC">
        <w:rPr>
          <w:rFonts w:ascii="Verdana" w:hAnsi="Verdana"/>
          <w:sz w:val="18"/>
          <w:szCs w:val="18"/>
        </w:rPr>
        <w:t>Dit betreft het uitkeren van de tranche 2015 op basis van de uitkomsten van de normeringssystematiek.</w:t>
      </w:r>
    </w:p>
    <w:p w:rsidRPr="005E7EAC" w:rsidR="007D2B20" w:rsidP="00C13D7D" w:rsidRDefault="007D2B20">
      <w:pPr>
        <w:spacing w:line="240" w:lineRule="exact"/>
        <w:rPr>
          <w:rFonts w:ascii="Verdana" w:hAnsi="Verdana"/>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t>Bodemsanering</w:t>
      </w:r>
    </w:p>
    <w:p w:rsidRPr="005E7EAC" w:rsidR="007D2B20" w:rsidP="00C13D7D" w:rsidRDefault="007D2B20">
      <w:pPr>
        <w:spacing w:line="240" w:lineRule="exact"/>
        <w:rPr>
          <w:rFonts w:ascii="Verdana" w:hAnsi="Verdana"/>
          <w:sz w:val="18"/>
          <w:szCs w:val="18"/>
        </w:rPr>
      </w:pPr>
      <w:r w:rsidRPr="005E7EAC">
        <w:rPr>
          <w:rFonts w:ascii="Verdana" w:hAnsi="Verdana"/>
          <w:sz w:val="18"/>
          <w:szCs w:val="18"/>
        </w:rPr>
        <w:t>2015 is het laatste jaar van het Convenant bodemontwikkelingsbeleid en aanpak spoedlocaties. In de brief van 4 september 2014 heeft de Staatssecretaris van Infrastructuur en Milieu de indicatieve budgetten voor 2015 bekend gemaakt. Deze budgetten worden met één uitzondering overgenomen: Sittard-Geleen is geen budgethouder in het kader van Wbb, hun budget gaat over naar de provincie Limburg.</w:t>
      </w:r>
    </w:p>
    <w:p w:rsidRPr="005E7EAC" w:rsidR="007D2B20" w:rsidP="00C13D7D" w:rsidRDefault="007D2B20">
      <w:pPr>
        <w:spacing w:line="240" w:lineRule="exact"/>
        <w:rPr>
          <w:rFonts w:ascii="Verdana" w:hAnsi="Verdana"/>
          <w:sz w:val="18"/>
          <w:szCs w:val="18"/>
        </w:rPr>
      </w:pPr>
    </w:p>
    <w:p w:rsidRPr="005E7EAC" w:rsidR="007D2B20" w:rsidP="00C13D7D" w:rsidRDefault="007D2B20">
      <w:pPr>
        <w:spacing w:line="240" w:lineRule="exact"/>
        <w:rPr>
          <w:rFonts w:ascii="Verdana" w:hAnsi="Verdana"/>
          <w:i/>
          <w:sz w:val="18"/>
          <w:szCs w:val="18"/>
        </w:rPr>
      </w:pPr>
      <w:r w:rsidRPr="005E7EAC">
        <w:rPr>
          <w:rFonts w:ascii="Verdana" w:hAnsi="Verdana"/>
          <w:i/>
          <w:sz w:val="18"/>
          <w:szCs w:val="18"/>
        </w:rPr>
        <w:t>Huishoudelijke hulptoelage</w:t>
      </w:r>
    </w:p>
    <w:p w:rsidRPr="005E7EAC" w:rsidR="007D2B20" w:rsidP="00C13D7D" w:rsidRDefault="007D2B20">
      <w:pPr>
        <w:spacing w:line="240" w:lineRule="exact"/>
        <w:rPr>
          <w:rFonts w:ascii="Verdana" w:hAnsi="Verdana"/>
          <w:sz w:val="18"/>
          <w:szCs w:val="18"/>
        </w:rPr>
      </w:pPr>
      <w:r w:rsidRPr="005E7EAC">
        <w:rPr>
          <w:rFonts w:ascii="Verdana" w:hAnsi="Verdana"/>
          <w:sz w:val="18"/>
          <w:szCs w:val="18"/>
        </w:rPr>
        <w:t>Het kabinet heeft besloten om voor 2015 incidenteel 40 mln. extra toe te voegen aan de decentralisatie-uitkering huishoudelijke hulp toelage zodat gemeenten extra ruimte hebben om plannen in te dienen met als doel het behoud van arbeidsplaatsen in de huishoudelijke hulp sector. Dit besluit is nader toegelicht in een gezamenlijke brief van de Minister van SZW en de Staatssecretaris van VWS aan de Tweede Kamer.</w:t>
      </w:r>
    </w:p>
    <w:p w:rsidRPr="005E7EAC" w:rsidR="00365B48" w:rsidP="00C13D7D" w:rsidRDefault="00365B48">
      <w:pPr>
        <w:spacing w:line="240" w:lineRule="exact"/>
        <w:rPr>
          <w:rFonts w:ascii="Verdana" w:hAnsi="Verdana" w:cs="Verdana"/>
          <w:i/>
          <w:iCs/>
          <w:sz w:val="18"/>
          <w:szCs w:val="18"/>
        </w:rPr>
      </w:pPr>
      <w:r w:rsidRPr="005E7EAC">
        <w:rPr>
          <w:rFonts w:ascii="Verdana" w:hAnsi="Verdana" w:cs="Verdana"/>
          <w:i/>
          <w:iCs/>
          <w:sz w:val="18"/>
          <w:szCs w:val="18"/>
        </w:rPr>
        <w:br w:type="page"/>
      </w:r>
    </w:p>
    <w:p w:rsidRPr="005E7EAC" w:rsidR="00396626" w:rsidP="00E16284" w:rsidRDefault="00FB210C">
      <w:pPr>
        <w:spacing w:line="240" w:lineRule="exact"/>
        <w:rPr>
          <w:rFonts w:ascii="Verdana" w:hAnsi="Verdana" w:cs="Arial"/>
          <w:b/>
          <w:sz w:val="18"/>
          <w:szCs w:val="18"/>
        </w:rPr>
      </w:pPr>
      <w:r w:rsidRPr="005E7EAC">
        <w:rPr>
          <w:rFonts w:ascii="Verdana" w:hAnsi="Verdana" w:cs="Arial"/>
          <w:b/>
          <w:sz w:val="18"/>
          <w:szCs w:val="18"/>
        </w:rPr>
        <w:lastRenderedPageBreak/>
        <w:t>Provinciefonds</w:t>
      </w:r>
    </w:p>
    <w:p w:rsidRPr="005E7EAC" w:rsidR="00922528" w:rsidP="00922528" w:rsidRDefault="00922528">
      <w:pPr>
        <w:spacing w:line="240" w:lineRule="exact"/>
        <w:rPr>
          <w:rFonts w:ascii="Verdana" w:hAnsi="Verdana" w:cs="Arial"/>
          <w:b/>
          <w:sz w:val="18"/>
          <w:szCs w:val="18"/>
        </w:rPr>
      </w:pPr>
    </w:p>
    <w:tbl>
      <w:tblPr>
        <w:tblW w:w="5000" w:type="pct"/>
        <w:tblCellMar>
          <w:left w:w="70" w:type="dxa"/>
          <w:right w:w="70" w:type="dxa"/>
        </w:tblCellMar>
        <w:tblLook w:val="04A0"/>
      </w:tblPr>
      <w:tblGrid>
        <w:gridCol w:w="4329"/>
        <w:gridCol w:w="977"/>
        <w:gridCol w:w="977"/>
        <w:gridCol w:w="977"/>
        <w:gridCol w:w="976"/>
        <w:gridCol w:w="976"/>
      </w:tblGrid>
      <w:tr w:rsidRPr="005E7EAC" w:rsidR="00033E97" w:rsidTr="00713BB1">
        <w:trPr>
          <w:trHeight w:val="240"/>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UITGAVEN</w:t>
            </w: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r>
      <w:tr w:rsidRPr="005E7EAC" w:rsidR="00033E97" w:rsidTr="00713BB1">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2019</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952,2</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1.123,4</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1.126,9</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1.011,1</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1.006,1</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Beleidsmatige mutaties</w:t>
            </w: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r>
      <w:tr w:rsidRPr="005E7EAC" w:rsidR="00033E97" w:rsidTr="00713BB1">
        <w:trPr>
          <w:trHeight w:val="240"/>
        </w:trPr>
        <w:tc>
          <w:tcPr>
            <w:tcW w:w="2348" w:type="pct"/>
            <w:tcBorders>
              <w:top w:val="nil"/>
              <w:left w:val="nil"/>
              <w:bottom w:val="nil"/>
              <w:right w:val="nil"/>
            </w:tcBorders>
            <w:shd w:val="clear" w:color="auto" w:fill="auto"/>
            <w:hideMark/>
          </w:tcPr>
          <w:p w:rsidRPr="005E7EAC" w:rsidR="00033E97" w:rsidP="00033E97" w:rsidRDefault="00033E9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Technische mutaties</w:t>
            </w: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ind w:firstLine="360" w:firstLineChars="200"/>
              <w:rPr>
                <w:rFonts w:ascii="Verdana" w:hAnsi="Verdana"/>
                <w:color w:val="000000"/>
                <w:sz w:val="18"/>
                <w:szCs w:val="18"/>
              </w:rPr>
            </w:pPr>
            <w:r w:rsidRPr="005E7EAC">
              <w:rPr>
                <w:rFonts w:ascii="Verdana" w:hAnsi="Verdana"/>
                <w:color w:val="000000"/>
                <w:sz w:val="18"/>
                <w:szCs w:val="18"/>
              </w:rPr>
              <w:t>Accres tranche 2014</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-23,5</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-11,8</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-11,8</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-11,8</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-11,8</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ind w:firstLine="360" w:firstLineChars="200"/>
              <w:rPr>
                <w:rFonts w:ascii="Verdana" w:hAnsi="Verdana"/>
                <w:color w:val="000000"/>
                <w:sz w:val="18"/>
                <w:szCs w:val="18"/>
              </w:rPr>
            </w:pPr>
            <w:r w:rsidRPr="005E7EAC">
              <w:rPr>
                <w:rFonts w:ascii="Verdana" w:hAnsi="Verdana"/>
                <w:color w:val="000000"/>
                <w:sz w:val="18"/>
                <w:szCs w:val="18"/>
              </w:rPr>
              <w:t>Bodemsanering</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44,4</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ind w:firstLine="360" w:firstLineChars="200"/>
              <w:rPr>
                <w:rFonts w:ascii="Verdana" w:hAnsi="Verdana"/>
                <w:color w:val="000000"/>
                <w:sz w:val="18"/>
                <w:szCs w:val="18"/>
              </w:rPr>
            </w:pPr>
            <w:r w:rsidRPr="005E7EAC">
              <w:rPr>
                <w:rFonts w:ascii="Verdana" w:hAnsi="Verdana"/>
                <w:color w:val="000000"/>
                <w:sz w:val="18"/>
                <w:szCs w:val="18"/>
              </w:rPr>
              <w:t>Decentralisatie dlg</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34,2</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41,0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41,0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41,0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41,0</w:t>
            </w:r>
          </w:p>
        </w:tc>
      </w:tr>
      <w:tr w:rsidRPr="005E7EAC" w:rsidR="00033E97" w:rsidTr="00713BB1">
        <w:trPr>
          <w:trHeight w:val="240"/>
        </w:trPr>
        <w:tc>
          <w:tcPr>
            <w:tcW w:w="2348" w:type="pct"/>
            <w:tcBorders>
              <w:top w:val="nil"/>
              <w:left w:val="nil"/>
              <w:bottom w:val="nil"/>
              <w:right w:val="nil"/>
            </w:tcBorders>
            <w:shd w:val="clear" w:color="auto" w:fill="auto"/>
            <w:hideMark/>
          </w:tcPr>
          <w:p w:rsidRPr="005E7EAC" w:rsidR="00033E97" w:rsidP="00033E97" w:rsidRDefault="00033E9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-4,1</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-10,1</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-9,9</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-9,8</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51,0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19,1</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19,2</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19,3</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19,4</w:t>
            </w:r>
          </w:p>
        </w:tc>
      </w:tr>
      <w:tr w:rsidRPr="005E7EAC" w:rsidR="00033E97" w:rsidTr="00713BB1">
        <w:trPr>
          <w:trHeight w:val="180"/>
        </w:trPr>
        <w:tc>
          <w:tcPr>
            <w:tcW w:w="2348"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50,9</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19,2</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19,2</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19,3</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19,5</w:t>
            </w:r>
          </w:p>
        </w:tc>
      </w:tr>
      <w:tr w:rsidRPr="005E7EAC" w:rsidR="00033E97" w:rsidTr="00713BB1">
        <w:trPr>
          <w:trHeight w:val="240"/>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1.003,1</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1.142,6</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1.146,1</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1.030,4</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1.025,5</w:t>
            </w:r>
          </w:p>
        </w:tc>
      </w:tr>
      <w:tr w:rsidRPr="005E7EAC" w:rsidR="00033E97" w:rsidTr="00713BB1">
        <w:trPr>
          <w:trHeight w:val="240"/>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1.003,1</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1.142,6</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1.146,1</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1.030,4</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1.025,5</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r>
      <w:tr w:rsidRPr="005E7EAC" w:rsidR="00033E97" w:rsidTr="00713BB1">
        <w:trPr>
          <w:trHeight w:val="240"/>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NIET-BELASTINGONTVANGSTEN</w:t>
            </w: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r>
      <w:tr w:rsidRPr="005E7EAC" w:rsidR="00033E97" w:rsidTr="00713BB1">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2019</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r w:rsidRPr="005E7EAC" w:rsidR="00033E97" w:rsidTr="00713BB1">
        <w:trPr>
          <w:trHeight w:val="180"/>
        </w:trPr>
        <w:tc>
          <w:tcPr>
            <w:tcW w:w="2348"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r w:rsidRPr="005E7EAC" w:rsidR="00033E97" w:rsidTr="00713BB1">
        <w:trPr>
          <w:trHeight w:val="240"/>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033E97" w:rsidP="00033E97" w:rsidRDefault="00033E97">
            <w:pPr>
              <w:rPr>
                <w:rFonts w:ascii="Verdana" w:hAnsi="Verdana"/>
                <w:color w:val="000000"/>
                <w:sz w:val="14"/>
                <w:szCs w:val="14"/>
              </w:rPr>
            </w:pP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r w:rsidRPr="005E7EAC" w:rsidR="00033E97" w:rsidTr="00713BB1">
        <w:trPr>
          <w:trHeight w:val="240"/>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r w:rsidRPr="005E7EAC" w:rsidR="00033E97" w:rsidTr="00713BB1">
        <w:trPr>
          <w:trHeight w:val="225"/>
        </w:trPr>
        <w:tc>
          <w:tcPr>
            <w:tcW w:w="2348" w:type="pct"/>
            <w:tcBorders>
              <w:top w:val="nil"/>
              <w:left w:val="nil"/>
              <w:bottom w:val="nil"/>
              <w:right w:val="nil"/>
            </w:tcBorders>
            <w:shd w:val="clear" w:color="auto" w:fill="auto"/>
            <w:hideMark/>
          </w:tcPr>
          <w:p w:rsidRPr="005E7EAC" w:rsidR="00033E97" w:rsidP="00033E97" w:rsidRDefault="00033E97">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033E97" w:rsidP="00033E97" w:rsidRDefault="00033E97">
            <w:pPr>
              <w:jc w:val="right"/>
              <w:rPr>
                <w:rFonts w:ascii="Verdana" w:hAnsi="Verdana"/>
                <w:color w:val="000000"/>
                <w:sz w:val="18"/>
                <w:szCs w:val="18"/>
              </w:rPr>
            </w:pPr>
            <w:r w:rsidRPr="005E7EAC">
              <w:rPr>
                <w:rFonts w:ascii="Verdana" w:hAnsi="Verdana"/>
                <w:color w:val="000000"/>
                <w:sz w:val="18"/>
                <w:szCs w:val="18"/>
              </w:rPr>
              <w:t>0,0</w:t>
            </w:r>
          </w:p>
        </w:tc>
      </w:tr>
    </w:tbl>
    <w:p w:rsidRPr="005E7EAC" w:rsidR="00FD4466" w:rsidP="00033E97" w:rsidRDefault="00FD4466">
      <w:pPr>
        <w:spacing w:line="240" w:lineRule="exact"/>
        <w:rPr>
          <w:rFonts w:ascii="Verdana" w:hAnsi="Verdana" w:cs="Arial"/>
          <w:b/>
          <w:sz w:val="18"/>
          <w:szCs w:val="18"/>
        </w:rPr>
      </w:pPr>
    </w:p>
    <w:p w:rsidRPr="005E7EAC" w:rsidR="00033E97" w:rsidP="00033E97" w:rsidRDefault="00033E97">
      <w:pPr>
        <w:spacing w:line="240" w:lineRule="exact"/>
        <w:rPr>
          <w:rFonts w:ascii="Verdana" w:hAnsi="Verdana" w:cs="Arial"/>
          <w:b/>
          <w:sz w:val="18"/>
          <w:szCs w:val="18"/>
        </w:rPr>
      </w:pPr>
    </w:p>
    <w:p w:rsidRPr="005E7EAC" w:rsidR="00FD4466" w:rsidP="00FD4466" w:rsidRDefault="00FD4466">
      <w:pPr>
        <w:spacing w:line="240" w:lineRule="exact"/>
        <w:rPr>
          <w:rFonts w:ascii="Verdana" w:hAnsi="Verdana"/>
          <w:i/>
          <w:iCs/>
          <w:sz w:val="18"/>
          <w:szCs w:val="18"/>
        </w:rPr>
      </w:pPr>
      <w:r w:rsidRPr="005E7EAC">
        <w:rPr>
          <w:rFonts w:ascii="Verdana" w:hAnsi="Verdana"/>
          <w:i/>
          <w:iCs/>
          <w:sz w:val="18"/>
          <w:szCs w:val="18"/>
        </w:rPr>
        <w:t>Accres tranche 2014</w:t>
      </w:r>
    </w:p>
    <w:p w:rsidRPr="005E7EAC" w:rsidR="00FD4466" w:rsidP="00FD4466" w:rsidRDefault="00FD4466">
      <w:pPr>
        <w:spacing w:line="240" w:lineRule="exact"/>
        <w:rPr>
          <w:rFonts w:ascii="Verdana" w:hAnsi="Verdana"/>
          <w:sz w:val="18"/>
          <w:szCs w:val="18"/>
        </w:rPr>
      </w:pPr>
      <w:r w:rsidRPr="005E7EAC">
        <w:rPr>
          <w:rFonts w:ascii="Verdana" w:hAnsi="Verdana"/>
          <w:sz w:val="18"/>
          <w:szCs w:val="18"/>
        </w:rPr>
        <w:t>Het accres kent jaarlijks twee bijstellingsmomenten namelijk 1) de Voorjaarsnota en 2) de Miljoenennota. Het definitieve accrespercentage over 2014 is, na afloop van dat jaar, op basis van de FJR-realisatiestanden uitgekomen op 2,02 procent. Dat betekent een neerwaartse aanpassing van 11,7 mln. ten opzichte van de stand Miljoenennota 2015. Omdat het jaar 2014 al is afgesloten, vindt de afrekening plaats in 2015.</w:t>
      </w:r>
    </w:p>
    <w:p w:rsidRPr="005E7EAC" w:rsidR="00FD4466" w:rsidP="00FD4466" w:rsidRDefault="00FD4466">
      <w:pPr>
        <w:spacing w:line="240" w:lineRule="exact"/>
        <w:rPr>
          <w:rFonts w:ascii="Verdana" w:hAnsi="Verdana"/>
          <w:i/>
          <w:iCs/>
          <w:sz w:val="18"/>
          <w:szCs w:val="18"/>
        </w:rPr>
      </w:pPr>
    </w:p>
    <w:p w:rsidRPr="005E7EAC" w:rsidR="00FD4466" w:rsidP="00FD4466" w:rsidRDefault="00FD4466">
      <w:pPr>
        <w:spacing w:line="240" w:lineRule="exact"/>
        <w:rPr>
          <w:rFonts w:ascii="Verdana" w:hAnsi="Verdana"/>
          <w:i/>
          <w:iCs/>
          <w:sz w:val="18"/>
          <w:szCs w:val="18"/>
        </w:rPr>
      </w:pPr>
      <w:r w:rsidRPr="005E7EAC">
        <w:rPr>
          <w:rFonts w:ascii="Verdana" w:hAnsi="Verdana"/>
          <w:i/>
          <w:iCs/>
          <w:sz w:val="18"/>
          <w:szCs w:val="18"/>
        </w:rPr>
        <w:t>Bodemsanering</w:t>
      </w:r>
    </w:p>
    <w:p w:rsidRPr="005E7EAC" w:rsidR="00FD4466" w:rsidP="00FD4466" w:rsidRDefault="00FD4466">
      <w:pPr>
        <w:spacing w:line="240" w:lineRule="exact"/>
        <w:rPr>
          <w:rFonts w:ascii="Verdana" w:hAnsi="Verdana"/>
          <w:sz w:val="18"/>
          <w:szCs w:val="18"/>
        </w:rPr>
      </w:pPr>
      <w:r w:rsidRPr="005E7EAC">
        <w:rPr>
          <w:rFonts w:ascii="Verdana" w:hAnsi="Verdana"/>
          <w:sz w:val="18"/>
          <w:szCs w:val="18"/>
        </w:rPr>
        <w:t>2015 Is het laatste jaar van het Convenant bodemontwikkelingsbeleid en aanpak spoedlocaties. In de brief van 4 september 2014 heeft de Staatssecretaris van Infrastructuur en Milieu de indicatieve budgetten voor 2015 bekend gemaakt. Deze budgetten worden met één uitzondering overgenomen: Sittard-Geleen is geen budgethouder in het kader van Wbb, hun budget gaat over naar de provincie Limburg.</w:t>
      </w:r>
    </w:p>
    <w:p w:rsidRPr="005E7EAC" w:rsidR="00FD4466" w:rsidP="00FD4466" w:rsidRDefault="00FD4466">
      <w:pPr>
        <w:spacing w:line="240" w:lineRule="exact"/>
        <w:rPr>
          <w:rFonts w:ascii="Verdana" w:hAnsi="Verdana"/>
          <w:i/>
          <w:iCs/>
          <w:sz w:val="18"/>
          <w:szCs w:val="18"/>
        </w:rPr>
      </w:pPr>
      <w:r w:rsidRPr="005E7EAC">
        <w:rPr>
          <w:rFonts w:ascii="Verdana" w:hAnsi="Verdana"/>
          <w:sz w:val="18"/>
          <w:szCs w:val="18"/>
        </w:rPr>
        <w:br/>
      </w:r>
      <w:r w:rsidRPr="005E7EAC">
        <w:rPr>
          <w:rFonts w:ascii="Verdana" w:hAnsi="Verdana"/>
          <w:i/>
          <w:iCs/>
          <w:sz w:val="18"/>
          <w:szCs w:val="18"/>
        </w:rPr>
        <w:t>Decentralisatie DLG</w:t>
      </w:r>
    </w:p>
    <w:p w:rsidRPr="005E7EAC" w:rsidR="00FD4466" w:rsidP="00FD4466" w:rsidRDefault="00FD4466">
      <w:pPr>
        <w:spacing w:line="240" w:lineRule="exact"/>
        <w:rPr>
          <w:rFonts w:ascii="Verdana" w:hAnsi="Verdana"/>
          <w:sz w:val="18"/>
          <w:szCs w:val="18"/>
        </w:rPr>
      </w:pPr>
      <w:r w:rsidRPr="005E7EAC">
        <w:rPr>
          <w:rFonts w:ascii="Verdana" w:hAnsi="Verdana"/>
          <w:sz w:val="18"/>
          <w:szCs w:val="18"/>
        </w:rPr>
        <w:t xml:space="preserve">In het kader van het Decentralisatieakkoord Natuur van september 2011 gaan 400 fte’s van de Dienst Landelijk Gebied (DLG) over naar de provincies. Het provinciefonds wordt in dit verband verhoogd. </w:t>
      </w:r>
    </w:p>
    <w:p w:rsidRPr="005E7EAC" w:rsidR="00FD4466" w:rsidP="00FD4466" w:rsidRDefault="00FD4466">
      <w:pPr>
        <w:spacing w:line="240" w:lineRule="exact"/>
        <w:rPr>
          <w:rFonts w:ascii="Verdana" w:hAnsi="Verdana"/>
          <w:i/>
          <w:sz w:val="18"/>
          <w:szCs w:val="18"/>
        </w:rPr>
      </w:pPr>
      <w:r w:rsidRPr="005E7EAC">
        <w:rPr>
          <w:rFonts w:ascii="Verdana" w:hAnsi="Verdana"/>
          <w:sz w:val="18"/>
          <w:szCs w:val="18"/>
        </w:rPr>
        <w:br/>
      </w:r>
      <w:r w:rsidRPr="005E7EAC">
        <w:rPr>
          <w:rFonts w:ascii="Verdana" w:hAnsi="Verdana"/>
          <w:i/>
          <w:sz w:val="18"/>
          <w:szCs w:val="18"/>
        </w:rPr>
        <w:t>Diversen</w:t>
      </w:r>
      <w:r w:rsidRPr="005E7EAC" w:rsidR="00EF0D46">
        <w:rPr>
          <w:rFonts w:ascii="Verdana" w:hAnsi="Verdana"/>
          <w:i/>
          <w:sz w:val="18"/>
          <w:szCs w:val="18"/>
        </w:rPr>
        <w:t xml:space="preserve"> (technische mutaties)</w:t>
      </w:r>
    </w:p>
    <w:p w:rsidRPr="005E7EAC" w:rsidR="00FD4466" w:rsidP="00FD4466" w:rsidRDefault="00FD4466">
      <w:pPr>
        <w:spacing w:line="240" w:lineRule="exact"/>
        <w:rPr>
          <w:rFonts w:ascii="Verdana" w:hAnsi="Verdana"/>
          <w:sz w:val="18"/>
          <w:szCs w:val="18"/>
        </w:rPr>
      </w:pPr>
      <w:r w:rsidRPr="005E7EAC">
        <w:rPr>
          <w:rFonts w:ascii="Verdana" w:hAnsi="Verdana"/>
          <w:sz w:val="18"/>
          <w:szCs w:val="18"/>
        </w:rPr>
        <w:t>Dit betreft onder meer het uitkeren van de tranche 2015 op basis van de uitkomsten van de normeringssystematiek.</w:t>
      </w:r>
    </w:p>
    <w:p w:rsidRPr="005E7EAC" w:rsidR="003248F3" w:rsidP="00FD4466" w:rsidRDefault="003248F3">
      <w:pPr>
        <w:spacing w:line="240" w:lineRule="exact"/>
        <w:rPr>
          <w:rFonts w:ascii="Verdana" w:hAnsi="Verdana" w:cs="Arial"/>
          <w:b/>
          <w:sz w:val="18"/>
          <w:szCs w:val="18"/>
        </w:rPr>
      </w:pPr>
      <w:r w:rsidRPr="005E7EAC">
        <w:rPr>
          <w:rFonts w:ascii="Verdana" w:hAnsi="Verdana" w:cs="Arial"/>
          <w:b/>
          <w:sz w:val="18"/>
          <w:szCs w:val="18"/>
        </w:rPr>
        <w:br w:type="page"/>
      </w:r>
    </w:p>
    <w:p w:rsidRPr="005E7EAC" w:rsidR="004C5CAD" w:rsidP="004C5CAD" w:rsidRDefault="004C5CAD">
      <w:pPr>
        <w:spacing w:line="240" w:lineRule="exact"/>
        <w:rPr>
          <w:rFonts w:ascii="Verdana" w:hAnsi="Verdana"/>
          <w:sz w:val="18"/>
          <w:szCs w:val="18"/>
        </w:rPr>
      </w:pPr>
      <w:r w:rsidRPr="005E7EAC">
        <w:rPr>
          <w:rFonts w:ascii="Verdana" w:hAnsi="Verdana" w:cs="Arial"/>
          <w:b/>
          <w:sz w:val="18"/>
          <w:szCs w:val="18"/>
        </w:rPr>
        <w:lastRenderedPageBreak/>
        <w:t>Infrastructuurfonds</w:t>
      </w:r>
      <w:r w:rsidRPr="005E7EAC">
        <w:rPr>
          <w:rFonts w:ascii="Verdana" w:hAnsi="Verdana"/>
          <w:sz w:val="18"/>
          <w:szCs w:val="18"/>
        </w:rPr>
        <w:t xml:space="preserve"> </w:t>
      </w:r>
    </w:p>
    <w:p w:rsidRPr="005E7EAC" w:rsidR="002D581C" w:rsidP="004C5CAD" w:rsidRDefault="002D581C">
      <w:pPr>
        <w:spacing w:line="240" w:lineRule="exact"/>
        <w:rPr>
          <w:rFonts w:ascii="Verdana" w:hAnsi="Verdana"/>
          <w:sz w:val="18"/>
          <w:szCs w:val="18"/>
        </w:rPr>
      </w:pPr>
    </w:p>
    <w:tbl>
      <w:tblPr>
        <w:tblW w:w="5000" w:type="pct"/>
        <w:tblCellMar>
          <w:left w:w="70" w:type="dxa"/>
          <w:right w:w="70" w:type="dxa"/>
        </w:tblCellMar>
        <w:tblLook w:val="04A0"/>
      </w:tblPr>
      <w:tblGrid>
        <w:gridCol w:w="4412"/>
        <w:gridCol w:w="960"/>
        <w:gridCol w:w="960"/>
        <w:gridCol w:w="960"/>
        <w:gridCol w:w="960"/>
        <w:gridCol w:w="960"/>
      </w:tblGrid>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UITGAVEN</w:t>
            </w: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r>
      <w:tr w:rsidRPr="005E7EAC" w:rsidR="006139D7" w:rsidTr="006139D7">
        <w:trPr>
          <w:trHeight w:val="240"/>
        </w:trPr>
        <w:tc>
          <w:tcPr>
            <w:tcW w:w="2395"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 </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2015</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2016</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2017</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2018</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2019</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Stand Miljoenennota 2015 (excl. IS)</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6.163,1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5.911,0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6.350,1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5.847,8</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6.059,3</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Beleidsmatige mutaties</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Saldo 2014</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57,1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57,1</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Technische mutaties</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Bdu beter benutten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-54,1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Kasschuif if (versnelde ontvangsten)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-250,0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100,0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75,0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75,0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Phs: bijdrage provincie noord-brabant</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5,5</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44,1</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Versnelde ontvangst kgt: vlaanderen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120,0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450"/>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Versnelde ontvangst n35 nijverdal-wierden bijdrage regio</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71,5</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450"/>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Versnelde ontvangst zty: provincie noord-holland</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56,7</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Zuidas: bijdragen derden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6,6</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31,6</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-0,6</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39,1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-23,1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-3,8</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-11,0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9,2</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-4,7</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108,5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-4,4</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64,0</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128,3</w:t>
            </w:r>
          </w:p>
        </w:tc>
      </w:tr>
      <w:tr w:rsidRPr="005E7EAC" w:rsidR="006139D7" w:rsidTr="006139D7">
        <w:trPr>
          <w:trHeight w:val="180"/>
        </w:trPr>
        <w:tc>
          <w:tcPr>
            <w:tcW w:w="2395"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52,4</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108,5</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-4,4</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64,0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128,3</w:t>
            </w: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Stand Voorjaarsnota 2015 (subtotaal)</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6.215,5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6.019,5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6.345,7</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5.911,8</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6.187,6</w:t>
            </w: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Totaal Internationale samenwerking</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Stand Voorjaarsnota 2015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6.215,5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6.019,5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6.345,7</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5.911,8</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6.187,6</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NIET-BELASTINGONTVANGSTEN</w:t>
            </w: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r>
      <w:tr w:rsidRPr="005E7EAC" w:rsidR="006139D7" w:rsidTr="006139D7">
        <w:trPr>
          <w:trHeight w:val="240"/>
        </w:trPr>
        <w:tc>
          <w:tcPr>
            <w:tcW w:w="2395"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 </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2015</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2016</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2017</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2018</w:t>
            </w:r>
          </w:p>
        </w:tc>
        <w:tc>
          <w:tcPr>
            <w:tcW w:w="521" w:type="pct"/>
            <w:tcBorders>
              <w:top w:val="single" w:color="000000" w:sz="8" w:space="0"/>
              <w:left w:val="nil"/>
              <w:bottom w:val="single" w:color="000000" w:sz="8" w:space="0"/>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2019</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Stand Miljoenennota 2015 (excl. IS)</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6.163,1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5.911,0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6.350,1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5.847,8</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6.059,3</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Beleidsmatige mutaties</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Saldo 2014</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32,9</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32,9</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Technische mutaties</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Bdu beter benutten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-54,1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Kasschuif if (versnelde ontvangsten)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-250,0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100,0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75,0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75,0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Phs: bijdrage provincie noord-brabant</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5,5</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44,1</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Versnelde ontvangst kgtl: vlaanderen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120,0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450"/>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Versnelde ontvangst n35: nijverdal-wierden bijdrage regio</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71,5</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450"/>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Versnelde ontvangst zty: provincie noord-holland</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56,7</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Zuidas: bijdragen derden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6,6</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31,6</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-0,6</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39,1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-23,1</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-3,8</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-11,0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9,2</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24,2</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19,5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108,5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-4,4</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64,0</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128,3</w:t>
            </w:r>
          </w:p>
        </w:tc>
      </w:tr>
      <w:tr w:rsidRPr="005E7EAC" w:rsidR="006139D7" w:rsidTr="006139D7">
        <w:trPr>
          <w:trHeight w:val="180"/>
        </w:trPr>
        <w:tc>
          <w:tcPr>
            <w:tcW w:w="2395"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52,4</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108,5</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-4,4</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64,0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128,3</w:t>
            </w: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6139D7" w:rsidP="006139D7" w:rsidRDefault="006139D7">
            <w:pPr>
              <w:rPr>
                <w:rFonts w:ascii="Verdana" w:hAnsi="Verdana"/>
                <w:color w:val="000000"/>
                <w:sz w:val="14"/>
                <w:szCs w:val="14"/>
              </w:rPr>
            </w:pP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Stand Voorjaarsnota 2015 (subtotaal)</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6.215,5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6.019,5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6.345,7</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5.911,8</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6.187,6</w:t>
            </w:r>
          </w:p>
        </w:tc>
      </w:tr>
      <w:tr w:rsidRPr="005E7EAC" w:rsidR="006139D7" w:rsidTr="006139D7">
        <w:trPr>
          <w:trHeight w:val="240"/>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Totaal Internationale samenwerking</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0,0</w:t>
            </w:r>
          </w:p>
        </w:tc>
      </w:tr>
      <w:tr w:rsidRPr="005E7EAC" w:rsidR="006139D7" w:rsidTr="006139D7">
        <w:trPr>
          <w:trHeight w:val="225"/>
        </w:trPr>
        <w:tc>
          <w:tcPr>
            <w:tcW w:w="2395" w:type="pct"/>
            <w:tcBorders>
              <w:top w:val="nil"/>
              <w:left w:val="nil"/>
              <w:bottom w:val="nil"/>
              <w:right w:val="nil"/>
            </w:tcBorders>
            <w:shd w:val="clear" w:color="auto" w:fill="auto"/>
            <w:hideMark/>
          </w:tcPr>
          <w:p w:rsidRPr="005E7EAC" w:rsidR="006139D7" w:rsidP="006139D7" w:rsidRDefault="006139D7">
            <w:pPr>
              <w:rPr>
                <w:rFonts w:ascii="Verdana" w:hAnsi="Verdana"/>
                <w:color w:val="000000"/>
                <w:sz w:val="18"/>
                <w:szCs w:val="18"/>
              </w:rPr>
            </w:pPr>
            <w:r w:rsidRPr="005E7EAC">
              <w:rPr>
                <w:rFonts w:ascii="Verdana" w:hAnsi="Verdana"/>
                <w:color w:val="000000"/>
                <w:sz w:val="18"/>
                <w:szCs w:val="18"/>
              </w:rPr>
              <w:t>Stand Voorjaarsnota 2015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6.215,5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6.019,5</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6.345,7</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5.911,8</w:t>
            </w:r>
          </w:p>
        </w:tc>
        <w:tc>
          <w:tcPr>
            <w:tcW w:w="521" w:type="pct"/>
            <w:tcBorders>
              <w:top w:val="single" w:color="000000" w:sz="8" w:space="0"/>
              <w:left w:val="nil"/>
              <w:bottom w:val="nil"/>
              <w:right w:val="nil"/>
            </w:tcBorders>
            <w:shd w:val="clear" w:color="auto" w:fill="auto"/>
            <w:hideMark/>
          </w:tcPr>
          <w:p w:rsidRPr="005E7EAC" w:rsidR="006139D7" w:rsidP="006139D7" w:rsidRDefault="006139D7">
            <w:pPr>
              <w:jc w:val="right"/>
              <w:rPr>
                <w:rFonts w:ascii="Verdana" w:hAnsi="Verdana"/>
                <w:color w:val="000000"/>
                <w:sz w:val="18"/>
                <w:szCs w:val="18"/>
              </w:rPr>
            </w:pPr>
            <w:r w:rsidRPr="005E7EAC">
              <w:rPr>
                <w:rFonts w:ascii="Verdana" w:hAnsi="Verdana"/>
                <w:color w:val="000000"/>
                <w:sz w:val="18"/>
                <w:szCs w:val="18"/>
              </w:rPr>
              <w:t>6.187,6</w:t>
            </w:r>
          </w:p>
        </w:tc>
      </w:tr>
    </w:tbl>
    <w:p w:rsidRPr="005E7EAC" w:rsidR="004C5CAD" w:rsidP="00B42B30" w:rsidRDefault="004C5CAD">
      <w:pPr>
        <w:spacing w:line="240" w:lineRule="exact"/>
        <w:rPr>
          <w:rFonts w:ascii="Verdana" w:hAnsi="Verdana" w:cs="Arial"/>
          <w:b/>
          <w:sz w:val="18"/>
          <w:szCs w:val="18"/>
        </w:rPr>
      </w:pPr>
      <w:r w:rsidRPr="005E7EAC">
        <w:rPr>
          <w:rFonts w:ascii="Verdana" w:hAnsi="Verdana" w:cs="Arial"/>
          <w:b/>
          <w:sz w:val="18"/>
          <w:szCs w:val="18"/>
        </w:rPr>
        <w:br w:type="page"/>
      </w:r>
    </w:p>
    <w:p w:rsidRPr="005E7EAC" w:rsidR="00F8510D" w:rsidP="00A10A3E" w:rsidRDefault="00F8510D">
      <w:pPr>
        <w:spacing w:line="240" w:lineRule="exact"/>
        <w:rPr>
          <w:rFonts w:ascii="Verdana" w:hAnsi="Verdana"/>
          <w:i/>
          <w:sz w:val="18"/>
          <w:szCs w:val="18"/>
        </w:rPr>
      </w:pPr>
      <w:r w:rsidRPr="005E7EAC">
        <w:rPr>
          <w:rFonts w:ascii="Verdana" w:hAnsi="Verdana"/>
          <w:i/>
          <w:sz w:val="18"/>
          <w:szCs w:val="18"/>
        </w:rPr>
        <w:lastRenderedPageBreak/>
        <w:t>Saldo 2014</w:t>
      </w:r>
    </w:p>
    <w:p w:rsidRPr="005E7EAC" w:rsidR="00F8510D" w:rsidP="00A10A3E" w:rsidRDefault="00F8510D">
      <w:pPr>
        <w:autoSpaceDE w:val="0"/>
        <w:autoSpaceDN w:val="0"/>
        <w:adjustRightInd w:val="0"/>
        <w:spacing w:line="240" w:lineRule="exact"/>
        <w:rPr>
          <w:rFonts w:ascii="Verdana" w:hAnsi="Verdana" w:cs="Univers"/>
          <w:sz w:val="18"/>
          <w:szCs w:val="18"/>
        </w:rPr>
      </w:pPr>
      <w:r w:rsidRPr="005E7EAC">
        <w:rPr>
          <w:rFonts w:ascii="Verdana" w:hAnsi="Verdana" w:cs="Univers"/>
          <w:sz w:val="18"/>
          <w:szCs w:val="18"/>
        </w:rPr>
        <w:t>Het voordelig saldo (uitgaven – ontvangsten: 24,2 mln.) wordt toegevoegd aan de begroting van het Infrastructuurfonds (IF).</w:t>
      </w:r>
    </w:p>
    <w:p w:rsidRPr="005E7EAC" w:rsidR="00F8510D" w:rsidP="00A10A3E" w:rsidRDefault="00F8510D">
      <w:pPr>
        <w:autoSpaceDE w:val="0"/>
        <w:autoSpaceDN w:val="0"/>
        <w:adjustRightInd w:val="0"/>
        <w:spacing w:line="240" w:lineRule="exact"/>
        <w:rPr>
          <w:rFonts w:ascii="Verdana" w:hAnsi="Verdana" w:cs="Univers"/>
          <w:sz w:val="18"/>
          <w:szCs w:val="18"/>
        </w:rPr>
      </w:pPr>
    </w:p>
    <w:p w:rsidRPr="005E7EAC" w:rsidR="00F8510D" w:rsidP="00A10A3E" w:rsidRDefault="00F8510D">
      <w:pPr>
        <w:autoSpaceDE w:val="0"/>
        <w:autoSpaceDN w:val="0"/>
        <w:adjustRightInd w:val="0"/>
        <w:spacing w:line="240" w:lineRule="exact"/>
        <w:rPr>
          <w:rFonts w:ascii="Verdana" w:hAnsi="Verdana" w:cs="Univers"/>
          <w:i/>
          <w:sz w:val="18"/>
          <w:szCs w:val="18"/>
        </w:rPr>
      </w:pPr>
      <w:r w:rsidRPr="005E7EAC">
        <w:rPr>
          <w:rFonts w:ascii="Verdana" w:hAnsi="Verdana" w:cs="Univers"/>
          <w:i/>
          <w:sz w:val="18"/>
          <w:szCs w:val="18"/>
        </w:rPr>
        <w:t>BDU Beter Benutten</w:t>
      </w:r>
    </w:p>
    <w:p w:rsidRPr="005E7EAC" w:rsidR="00F8510D" w:rsidP="00A10A3E" w:rsidRDefault="00F8510D">
      <w:pPr>
        <w:autoSpaceDE w:val="0"/>
        <w:autoSpaceDN w:val="0"/>
        <w:adjustRightInd w:val="0"/>
        <w:spacing w:line="240" w:lineRule="exact"/>
        <w:rPr>
          <w:rFonts w:ascii="Verdana" w:hAnsi="Verdana"/>
          <w:sz w:val="18"/>
          <w:szCs w:val="18"/>
        </w:rPr>
      </w:pPr>
      <w:r w:rsidRPr="005E7EAC">
        <w:rPr>
          <w:rFonts w:ascii="Verdana" w:hAnsi="Verdana"/>
          <w:sz w:val="18"/>
          <w:szCs w:val="18"/>
        </w:rPr>
        <w:t>Dit betreft een overboeking naar de begroting Hoofdstuk HXII artikel 25 Brede Doeluitkering voor het project Beter Benutten.</w:t>
      </w:r>
    </w:p>
    <w:p w:rsidRPr="005E7EAC" w:rsidR="00F8510D" w:rsidP="00A10A3E" w:rsidRDefault="00F8510D">
      <w:pPr>
        <w:autoSpaceDE w:val="0"/>
        <w:autoSpaceDN w:val="0"/>
        <w:adjustRightInd w:val="0"/>
        <w:spacing w:line="240" w:lineRule="exact"/>
        <w:rPr>
          <w:rFonts w:ascii="Verdana" w:hAnsi="Verdana"/>
          <w:sz w:val="18"/>
          <w:szCs w:val="18"/>
        </w:rPr>
      </w:pPr>
    </w:p>
    <w:p w:rsidRPr="005E7EAC" w:rsidR="00F8510D" w:rsidP="00A10A3E" w:rsidRDefault="00F8510D">
      <w:pPr>
        <w:autoSpaceDE w:val="0"/>
        <w:autoSpaceDN w:val="0"/>
        <w:adjustRightInd w:val="0"/>
        <w:spacing w:line="240" w:lineRule="exact"/>
        <w:rPr>
          <w:rFonts w:ascii="Verdana" w:hAnsi="Verdana"/>
          <w:i/>
          <w:sz w:val="18"/>
          <w:szCs w:val="18"/>
        </w:rPr>
      </w:pPr>
      <w:r w:rsidRPr="005E7EAC">
        <w:rPr>
          <w:rFonts w:ascii="Verdana" w:hAnsi="Verdana"/>
          <w:i/>
          <w:sz w:val="18"/>
          <w:szCs w:val="18"/>
        </w:rPr>
        <w:t>Kasschuif IF (versnelde ontvangsten)</w:t>
      </w:r>
    </w:p>
    <w:p w:rsidRPr="005E7EAC" w:rsidR="00F8510D" w:rsidP="00A10A3E" w:rsidRDefault="00F8510D">
      <w:pPr>
        <w:spacing w:line="240" w:lineRule="exact"/>
        <w:rPr>
          <w:rFonts w:ascii="Verdana" w:hAnsi="Verdana"/>
          <w:sz w:val="18"/>
          <w:szCs w:val="18"/>
        </w:rPr>
      </w:pPr>
      <w:r w:rsidRPr="005E7EAC">
        <w:rPr>
          <w:rFonts w:ascii="Verdana" w:hAnsi="Verdana"/>
          <w:sz w:val="18"/>
          <w:szCs w:val="18"/>
        </w:rPr>
        <w:t xml:space="preserve">Voor een drietal projecten is er in 2015 versneld bijdragen van derden ontvangen (250 mln.). Het betreft de projecten Kanaal Gent-Terneuzen, Zeetoegang IJmond en N35 Nijverdal-Wierden. De projectuitgaven zijn pas in latere jaren voorzien. Om het budget meer in lijn te brengen met de programmering vindt er een kasschuif plaats op het Infrastructuurfonds. </w:t>
      </w:r>
    </w:p>
    <w:p w:rsidRPr="005E7EAC" w:rsidR="00F8510D" w:rsidP="00A10A3E" w:rsidRDefault="00F8510D">
      <w:pPr>
        <w:autoSpaceDE w:val="0"/>
        <w:autoSpaceDN w:val="0"/>
        <w:adjustRightInd w:val="0"/>
        <w:spacing w:line="240" w:lineRule="exact"/>
        <w:rPr>
          <w:rFonts w:ascii="Verdana" w:hAnsi="Verdana"/>
          <w:sz w:val="18"/>
          <w:szCs w:val="18"/>
        </w:rPr>
      </w:pPr>
    </w:p>
    <w:p w:rsidRPr="005E7EAC" w:rsidR="00F8510D" w:rsidP="00A10A3E" w:rsidRDefault="00F8510D">
      <w:pPr>
        <w:autoSpaceDE w:val="0"/>
        <w:autoSpaceDN w:val="0"/>
        <w:adjustRightInd w:val="0"/>
        <w:spacing w:line="240" w:lineRule="exact"/>
        <w:rPr>
          <w:rFonts w:ascii="Verdana" w:hAnsi="Verdana"/>
          <w:i/>
          <w:sz w:val="18"/>
          <w:szCs w:val="18"/>
        </w:rPr>
      </w:pPr>
      <w:r w:rsidRPr="005E7EAC">
        <w:rPr>
          <w:rFonts w:ascii="Verdana" w:hAnsi="Verdana"/>
          <w:i/>
          <w:sz w:val="18"/>
          <w:szCs w:val="18"/>
        </w:rPr>
        <w:t>PHS: bijdrage Provincie Noord-Brabant</w:t>
      </w:r>
    </w:p>
    <w:p w:rsidRPr="005E7EAC" w:rsidR="00F8510D" w:rsidP="00A10A3E" w:rsidRDefault="00F8510D">
      <w:pPr>
        <w:autoSpaceDE w:val="0"/>
        <w:autoSpaceDN w:val="0"/>
        <w:adjustRightInd w:val="0"/>
        <w:spacing w:line="240" w:lineRule="exact"/>
        <w:rPr>
          <w:rFonts w:ascii="Verdana" w:hAnsi="Verdana"/>
          <w:sz w:val="18"/>
          <w:szCs w:val="18"/>
        </w:rPr>
      </w:pPr>
      <w:r w:rsidRPr="005E7EAC">
        <w:rPr>
          <w:rFonts w:ascii="Verdana" w:hAnsi="Verdana"/>
          <w:sz w:val="18"/>
          <w:szCs w:val="18"/>
        </w:rPr>
        <w:t>Dit betreft de bijdrage van provincie Noord-Brabant aan het Programma Hoogfrequent Spoor (PHS) op basis van de bestuursovereenkomst.</w:t>
      </w:r>
    </w:p>
    <w:p w:rsidRPr="005E7EAC" w:rsidR="00F8510D" w:rsidP="00A10A3E" w:rsidRDefault="00F8510D">
      <w:pPr>
        <w:autoSpaceDE w:val="0"/>
        <w:autoSpaceDN w:val="0"/>
        <w:adjustRightInd w:val="0"/>
        <w:spacing w:line="240" w:lineRule="exact"/>
        <w:rPr>
          <w:rFonts w:ascii="Verdana" w:hAnsi="Verdana"/>
          <w:sz w:val="18"/>
          <w:szCs w:val="18"/>
        </w:rPr>
      </w:pPr>
    </w:p>
    <w:p w:rsidRPr="005E7EAC" w:rsidR="00F8510D" w:rsidP="00A10A3E" w:rsidRDefault="00F8510D">
      <w:pPr>
        <w:autoSpaceDE w:val="0"/>
        <w:autoSpaceDN w:val="0"/>
        <w:adjustRightInd w:val="0"/>
        <w:spacing w:line="240" w:lineRule="exact"/>
        <w:rPr>
          <w:rFonts w:ascii="Verdana" w:hAnsi="Verdana"/>
          <w:i/>
          <w:sz w:val="18"/>
          <w:szCs w:val="18"/>
        </w:rPr>
      </w:pPr>
      <w:r w:rsidRPr="005E7EAC">
        <w:rPr>
          <w:rFonts w:ascii="Verdana" w:hAnsi="Verdana"/>
          <w:i/>
          <w:sz w:val="18"/>
          <w:szCs w:val="18"/>
        </w:rPr>
        <w:t>Versnelde ontvangst KGT: Vlaanderen</w:t>
      </w:r>
    </w:p>
    <w:p w:rsidRPr="005E7EAC" w:rsidR="00F8510D" w:rsidP="00A10A3E" w:rsidRDefault="00F8510D">
      <w:pPr>
        <w:autoSpaceDE w:val="0"/>
        <w:autoSpaceDN w:val="0"/>
        <w:adjustRightInd w:val="0"/>
        <w:spacing w:line="240" w:lineRule="exact"/>
        <w:rPr>
          <w:rFonts w:ascii="Verdana" w:hAnsi="Verdana"/>
          <w:sz w:val="18"/>
          <w:szCs w:val="18"/>
        </w:rPr>
      </w:pPr>
      <w:r w:rsidRPr="005E7EAC">
        <w:rPr>
          <w:rFonts w:ascii="Verdana" w:hAnsi="Verdana"/>
          <w:sz w:val="18"/>
          <w:szCs w:val="18"/>
        </w:rPr>
        <w:t xml:space="preserve">De bijdrage van Vlaanderen aan het project Kanaal Gent-Terneuzen is versneld ontvangen. </w:t>
      </w:r>
    </w:p>
    <w:p w:rsidRPr="005E7EAC" w:rsidR="00F8510D" w:rsidP="00A10A3E" w:rsidRDefault="00F8510D">
      <w:pPr>
        <w:autoSpaceDE w:val="0"/>
        <w:autoSpaceDN w:val="0"/>
        <w:adjustRightInd w:val="0"/>
        <w:spacing w:line="240" w:lineRule="exact"/>
        <w:rPr>
          <w:rFonts w:ascii="Verdana" w:hAnsi="Verdana"/>
          <w:sz w:val="18"/>
          <w:szCs w:val="18"/>
        </w:rPr>
      </w:pPr>
    </w:p>
    <w:p w:rsidRPr="005E7EAC" w:rsidR="00F8510D" w:rsidP="00A10A3E" w:rsidRDefault="00F8510D">
      <w:pPr>
        <w:autoSpaceDE w:val="0"/>
        <w:autoSpaceDN w:val="0"/>
        <w:adjustRightInd w:val="0"/>
        <w:spacing w:line="240" w:lineRule="exact"/>
        <w:rPr>
          <w:rFonts w:ascii="Verdana" w:hAnsi="Verdana"/>
          <w:i/>
          <w:sz w:val="18"/>
          <w:szCs w:val="18"/>
        </w:rPr>
      </w:pPr>
      <w:r w:rsidRPr="005E7EAC">
        <w:rPr>
          <w:rFonts w:ascii="Verdana" w:hAnsi="Verdana"/>
          <w:i/>
          <w:sz w:val="18"/>
          <w:szCs w:val="18"/>
        </w:rPr>
        <w:t>Versnelde ontvangst ZTY: provincie Noord-Holland</w:t>
      </w:r>
    </w:p>
    <w:p w:rsidRPr="005E7EAC" w:rsidR="00F8510D" w:rsidP="00A10A3E" w:rsidRDefault="00F8510D">
      <w:pPr>
        <w:autoSpaceDE w:val="0"/>
        <w:autoSpaceDN w:val="0"/>
        <w:adjustRightInd w:val="0"/>
        <w:spacing w:line="240" w:lineRule="exact"/>
        <w:rPr>
          <w:rFonts w:ascii="Verdana" w:hAnsi="Verdana"/>
          <w:sz w:val="18"/>
          <w:szCs w:val="18"/>
        </w:rPr>
      </w:pPr>
      <w:r w:rsidRPr="005E7EAC">
        <w:rPr>
          <w:rFonts w:ascii="Verdana" w:hAnsi="Verdana"/>
          <w:sz w:val="18"/>
          <w:szCs w:val="18"/>
        </w:rPr>
        <w:t xml:space="preserve">De bijdrage van de provincie Noord-Holland aan het project Zeetoegang IJmond is versneld ontvangen. </w:t>
      </w:r>
    </w:p>
    <w:p w:rsidRPr="005E7EAC" w:rsidR="00F8510D" w:rsidP="00A10A3E" w:rsidRDefault="00F8510D">
      <w:pPr>
        <w:autoSpaceDE w:val="0"/>
        <w:autoSpaceDN w:val="0"/>
        <w:adjustRightInd w:val="0"/>
        <w:spacing w:line="240" w:lineRule="exact"/>
        <w:rPr>
          <w:rFonts w:ascii="Verdana" w:hAnsi="Verdana"/>
          <w:sz w:val="18"/>
          <w:szCs w:val="18"/>
        </w:rPr>
      </w:pPr>
    </w:p>
    <w:p w:rsidRPr="005E7EAC" w:rsidR="00F8510D" w:rsidP="00A10A3E" w:rsidRDefault="00F8510D">
      <w:pPr>
        <w:autoSpaceDE w:val="0"/>
        <w:autoSpaceDN w:val="0"/>
        <w:adjustRightInd w:val="0"/>
        <w:spacing w:line="240" w:lineRule="exact"/>
        <w:rPr>
          <w:rFonts w:ascii="Verdana" w:hAnsi="Verdana"/>
          <w:i/>
          <w:sz w:val="18"/>
          <w:szCs w:val="18"/>
        </w:rPr>
      </w:pPr>
      <w:r w:rsidRPr="005E7EAC">
        <w:rPr>
          <w:rFonts w:ascii="Verdana" w:hAnsi="Verdana"/>
          <w:i/>
          <w:sz w:val="18"/>
          <w:szCs w:val="18"/>
        </w:rPr>
        <w:t>Versnelde ontvangst N35 Nijverdal-Wierden: bijdrage regio</w:t>
      </w:r>
    </w:p>
    <w:p w:rsidRPr="005E7EAC" w:rsidR="00F8510D" w:rsidP="00A10A3E" w:rsidRDefault="00F8510D">
      <w:pPr>
        <w:autoSpaceDE w:val="0"/>
        <w:autoSpaceDN w:val="0"/>
        <w:adjustRightInd w:val="0"/>
        <w:spacing w:line="240" w:lineRule="exact"/>
        <w:rPr>
          <w:rFonts w:ascii="Verdana" w:hAnsi="Verdana"/>
          <w:i/>
          <w:sz w:val="18"/>
          <w:szCs w:val="18"/>
        </w:rPr>
      </w:pPr>
      <w:r w:rsidRPr="005E7EAC">
        <w:rPr>
          <w:rFonts w:ascii="Verdana" w:hAnsi="Verdana"/>
          <w:sz w:val="18"/>
          <w:szCs w:val="18"/>
        </w:rPr>
        <w:t>De bijdrage van de regio aan het project N35 Nijverdal-Wierden is versneld ontvangen.</w:t>
      </w:r>
    </w:p>
    <w:p w:rsidRPr="005E7EAC" w:rsidR="00F8510D" w:rsidP="00A10A3E" w:rsidRDefault="00F8510D">
      <w:pPr>
        <w:autoSpaceDE w:val="0"/>
        <w:autoSpaceDN w:val="0"/>
        <w:adjustRightInd w:val="0"/>
        <w:spacing w:line="240" w:lineRule="exact"/>
        <w:rPr>
          <w:rFonts w:ascii="Verdana" w:hAnsi="Verdana"/>
          <w:sz w:val="18"/>
          <w:szCs w:val="18"/>
        </w:rPr>
      </w:pPr>
    </w:p>
    <w:p w:rsidRPr="005E7EAC" w:rsidR="00F8510D" w:rsidP="00A10A3E" w:rsidRDefault="00F8510D">
      <w:pPr>
        <w:autoSpaceDE w:val="0"/>
        <w:autoSpaceDN w:val="0"/>
        <w:adjustRightInd w:val="0"/>
        <w:spacing w:line="240" w:lineRule="exact"/>
        <w:rPr>
          <w:rFonts w:ascii="Verdana" w:hAnsi="Verdana"/>
          <w:i/>
          <w:sz w:val="18"/>
          <w:szCs w:val="18"/>
        </w:rPr>
      </w:pPr>
      <w:r w:rsidRPr="005E7EAC">
        <w:rPr>
          <w:rFonts w:ascii="Verdana" w:hAnsi="Verdana"/>
          <w:i/>
          <w:sz w:val="18"/>
          <w:szCs w:val="18"/>
        </w:rPr>
        <w:t>Zuidas: bijdragen derden</w:t>
      </w:r>
    </w:p>
    <w:p w:rsidRPr="005E7EAC" w:rsidR="00F8510D" w:rsidP="00A10A3E" w:rsidRDefault="00F8510D">
      <w:pPr>
        <w:autoSpaceDE w:val="0"/>
        <w:autoSpaceDN w:val="0"/>
        <w:adjustRightInd w:val="0"/>
        <w:spacing w:line="240" w:lineRule="exact"/>
        <w:rPr>
          <w:rFonts w:ascii="Verdana" w:hAnsi="Verdana"/>
          <w:sz w:val="18"/>
          <w:szCs w:val="18"/>
        </w:rPr>
      </w:pPr>
      <w:r w:rsidRPr="005E7EAC">
        <w:rPr>
          <w:rFonts w:ascii="Verdana" w:hAnsi="Verdana"/>
          <w:sz w:val="18"/>
          <w:szCs w:val="18"/>
        </w:rPr>
        <w:t>Naar aanleiding van de bestuurlijke overeenkomst van het najaar 2014 worden de ontvangsten en uitgaven van het project verhoogd. Het betreft de bijdragen van de gemeente Amsterdam, de stadsregio Amsterdam en de NS. Daarnaast worden de ontvangsten van alle partijen in de begroting opgenomen. Dit betekent ook dat de Rijksmiddelen die in 2013 en 2014 via de BDU aan de gemeente Amsterdam zijn verstrekt weer als ontvangst en uitgaven van het Rijk worden opgenomen.</w:t>
      </w:r>
    </w:p>
    <w:p w:rsidRPr="005E7EAC" w:rsidR="00F8510D" w:rsidP="00A10A3E" w:rsidRDefault="00F8510D">
      <w:pPr>
        <w:autoSpaceDE w:val="0"/>
        <w:autoSpaceDN w:val="0"/>
        <w:adjustRightInd w:val="0"/>
        <w:spacing w:line="240" w:lineRule="exact"/>
        <w:rPr>
          <w:rFonts w:ascii="Verdana" w:hAnsi="Verdana" w:cs="Univers"/>
          <w:sz w:val="18"/>
          <w:szCs w:val="18"/>
        </w:rPr>
      </w:pPr>
    </w:p>
    <w:p w:rsidRPr="005E7EAC" w:rsidR="00F8510D" w:rsidP="00A10A3E" w:rsidRDefault="00F8510D">
      <w:pPr>
        <w:autoSpaceDE w:val="0"/>
        <w:autoSpaceDN w:val="0"/>
        <w:adjustRightInd w:val="0"/>
        <w:spacing w:line="240" w:lineRule="exact"/>
        <w:rPr>
          <w:rFonts w:ascii="Verdana" w:hAnsi="Verdana" w:cs="Univers"/>
          <w:i/>
          <w:sz w:val="18"/>
          <w:szCs w:val="18"/>
        </w:rPr>
      </w:pPr>
      <w:r w:rsidRPr="005E7EAC">
        <w:rPr>
          <w:rFonts w:ascii="Verdana" w:hAnsi="Verdana" w:cs="Univers"/>
          <w:i/>
          <w:sz w:val="18"/>
          <w:szCs w:val="18"/>
        </w:rPr>
        <w:t>Diversen (technische mutaties, uitgaven en ontvangsten)</w:t>
      </w:r>
    </w:p>
    <w:p w:rsidRPr="005E7EAC" w:rsidR="00F8510D" w:rsidP="00A10A3E" w:rsidRDefault="00F8510D">
      <w:pPr>
        <w:autoSpaceDE w:val="0"/>
        <w:autoSpaceDN w:val="0"/>
        <w:adjustRightInd w:val="0"/>
        <w:spacing w:line="240" w:lineRule="exact"/>
        <w:rPr>
          <w:rFonts w:ascii="Verdana" w:hAnsi="Verdana"/>
          <w:sz w:val="18"/>
          <w:szCs w:val="18"/>
        </w:rPr>
      </w:pPr>
      <w:r w:rsidRPr="005E7EAC">
        <w:rPr>
          <w:rFonts w:ascii="Verdana" w:hAnsi="Verdana" w:cs="Univers"/>
          <w:sz w:val="18"/>
          <w:szCs w:val="18"/>
        </w:rPr>
        <w:t>Dit betreft onder andere de Regiospecifiek Pakketbijdrage Zuiderzeelijn aan de A7 Zuid</w:t>
      </w:r>
      <w:r w:rsidRPr="005E7EAC" w:rsidR="009A367F">
        <w:rPr>
          <w:rFonts w:ascii="Verdana" w:hAnsi="Verdana" w:cs="Univers"/>
          <w:sz w:val="18"/>
          <w:szCs w:val="18"/>
        </w:rPr>
        <w:t xml:space="preserve">elijke Ringweg Groningen en de </w:t>
      </w:r>
      <w:r w:rsidRPr="005E7EAC">
        <w:rPr>
          <w:rFonts w:ascii="Verdana" w:hAnsi="Verdana" w:cs="Univers"/>
          <w:sz w:val="18"/>
          <w:szCs w:val="18"/>
        </w:rPr>
        <w:t xml:space="preserve">verwerking van de bestaande afspraak met betrekking tot Infraspeed. </w:t>
      </w:r>
      <w:r w:rsidRPr="005E7EAC">
        <w:rPr>
          <w:rFonts w:ascii="Verdana" w:hAnsi="Verdana"/>
          <w:sz w:val="18"/>
          <w:szCs w:val="18"/>
        </w:rPr>
        <w:t>Infraspeed is de railinfrastructuurbeheerder van de Hogesnelheidslijn Zuid. In het contract uit 2001 tussen de Staat en Infraspeed is een clausule opgenomen met betrekking tot de aftrekbaarheid van de rente</w:t>
      </w:r>
      <w:r w:rsidRPr="005E7EAC" w:rsidR="009A367F">
        <w:rPr>
          <w:rFonts w:ascii="Verdana" w:hAnsi="Verdana"/>
          <w:sz w:val="18"/>
          <w:szCs w:val="18"/>
        </w:rPr>
        <w:t xml:space="preserve"> op de aandeelhoudersleningen. </w:t>
      </w:r>
      <w:r w:rsidRPr="005E7EAC">
        <w:rPr>
          <w:rFonts w:ascii="Verdana" w:hAnsi="Verdana"/>
          <w:sz w:val="18"/>
          <w:szCs w:val="18"/>
        </w:rPr>
        <w:t xml:space="preserve">Daarnaast is de vergoeding voor het project Breda-Antwerpen verwerkt evenals de bijdrage van de gemeente Vught aan PHS op basis van de bestuursovereenkomst. </w:t>
      </w:r>
      <w:r w:rsidRPr="005E7EAC">
        <w:rPr>
          <w:rFonts w:ascii="Verdana" w:hAnsi="Verdana" w:cs="Univers"/>
          <w:sz w:val="18"/>
          <w:szCs w:val="18"/>
        </w:rPr>
        <w:t xml:space="preserve">Tevens is de bijdrage van Defensie in het Search and Rescue (SAR)-contract verwerkt. </w:t>
      </w:r>
      <w:r w:rsidRPr="005E7EAC">
        <w:rPr>
          <w:rFonts w:ascii="Verdana" w:hAnsi="Verdana"/>
          <w:sz w:val="18"/>
          <w:szCs w:val="18"/>
        </w:rPr>
        <w:t xml:space="preserve"> </w:t>
      </w:r>
    </w:p>
    <w:p w:rsidRPr="005E7EAC" w:rsidR="00F8510D" w:rsidP="00A10A3E" w:rsidRDefault="00F8510D">
      <w:pPr>
        <w:autoSpaceDE w:val="0"/>
        <w:autoSpaceDN w:val="0"/>
        <w:adjustRightInd w:val="0"/>
        <w:spacing w:line="240" w:lineRule="exact"/>
        <w:rPr>
          <w:rFonts w:ascii="Verdana" w:hAnsi="Verdana" w:cs="Univers"/>
          <w:sz w:val="18"/>
          <w:szCs w:val="18"/>
        </w:rPr>
      </w:pPr>
    </w:p>
    <w:p w:rsidRPr="005E7EAC" w:rsidR="00F8510D" w:rsidP="00A10A3E" w:rsidRDefault="00F8510D">
      <w:pPr>
        <w:autoSpaceDE w:val="0"/>
        <w:autoSpaceDN w:val="0"/>
        <w:adjustRightInd w:val="0"/>
        <w:spacing w:line="240" w:lineRule="exact"/>
        <w:rPr>
          <w:rFonts w:ascii="Verdana" w:hAnsi="Verdana"/>
          <w:i/>
          <w:sz w:val="18"/>
          <w:szCs w:val="18"/>
        </w:rPr>
      </w:pPr>
      <w:r w:rsidRPr="005E7EAC">
        <w:rPr>
          <w:rFonts w:ascii="Verdana" w:hAnsi="Verdana"/>
          <w:i/>
          <w:sz w:val="18"/>
          <w:szCs w:val="18"/>
        </w:rPr>
        <w:t>Diversen (niet tot een ijklijn behorend)</w:t>
      </w:r>
    </w:p>
    <w:p w:rsidRPr="005E7EAC" w:rsidR="00F8510D" w:rsidP="00A10A3E" w:rsidRDefault="00F8510D">
      <w:pPr>
        <w:autoSpaceDE w:val="0"/>
        <w:autoSpaceDN w:val="0"/>
        <w:adjustRightInd w:val="0"/>
        <w:spacing w:line="240" w:lineRule="exact"/>
        <w:rPr>
          <w:rFonts w:ascii="Verdana" w:hAnsi="Verdana"/>
          <w:sz w:val="18"/>
          <w:szCs w:val="18"/>
        </w:rPr>
      </w:pPr>
      <w:r w:rsidRPr="005E7EAC">
        <w:rPr>
          <w:rFonts w:ascii="Verdana" w:hAnsi="Verdana"/>
          <w:sz w:val="18"/>
          <w:szCs w:val="18"/>
        </w:rPr>
        <w:t>Het voordelig saldo van het Infrastructuurfonds over 2014 bedraagt 24,2 mln. en wordt toegevoegd aan de begroting van het IF.</w:t>
      </w:r>
    </w:p>
    <w:p w:rsidRPr="005E7EAC" w:rsidR="00F8510D" w:rsidP="00A10A3E" w:rsidRDefault="00F8510D">
      <w:pPr>
        <w:spacing w:line="240" w:lineRule="exact"/>
        <w:rPr>
          <w:rFonts w:ascii="Verdana" w:hAnsi="Verdana"/>
          <w:sz w:val="14"/>
          <w:szCs w:val="14"/>
        </w:rPr>
      </w:pPr>
      <w:r w:rsidRPr="005E7EAC">
        <w:rPr>
          <w:rFonts w:ascii="Verdana" w:hAnsi="Verdana"/>
          <w:sz w:val="14"/>
          <w:szCs w:val="14"/>
        </w:rPr>
        <w:t> </w:t>
      </w:r>
    </w:p>
    <w:p w:rsidRPr="005E7EAC" w:rsidR="00F8510D" w:rsidP="00A10A3E" w:rsidRDefault="00F8510D">
      <w:pPr>
        <w:spacing w:line="240" w:lineRule="exact"/>
        <w:rPr>
          <w:rFonts w:ascii="Verdana" w:hAnsi="Verdana"/>
          <w:b/>
          <w:sz w:val="18"/>
          <w:szCs w:val="18"/>
        </w:rPr>
      </w:pPr>
      <w:r w:rsidRPr="005E7EAC">
        <w:rPr>
          <w:rFonts w:ascii="Verdana" w:hAnsi="Verdana"/>
          <w:b/>
          <w:sz w:val="18"/>
          <w:szCs w:val="18"/>
        </w:rPr>
        <w:br w:type="page"/>
      </w:r>
    </w:p>
    <w:p w:rsidRPr="005E7EAC" w:rsidR="0017433D" w:rsidP="00E16284" w:rsidRDefault="0017433D">
      <w:pPr>
        <w:spacing w:line="276" w:lineRule="auto"/>
        <w:rPr>
          <w:rFonts w:ascii="Verdana" w:hAnsi="Verdana"/>
          <w:b/>
          <w:sz w:val="18"/>
          <w:szCs w:val="18"/>
        </w:rPr>
      </w:pPr>
      <w:r w:rsidRPr="005E7EAC">
        <w:rPr>
          <w:rFonts w:ascii="Verdana" w:hAnsi="Verdana"/>
          <w:b/>
          <w:sz w:val="18"/>
          <w:szCs w:val="18"/>
        </w:rPr>
        <w:lastRenderedPageBreak/>
        <w:t>Diergezondheidsfonds</w:t>
      </w:r>
    </w:p>
    <w:p w:rsidRPr="005E7EAC" w:rsidR="002D581C" w:rsidP="00E16284" w:rsidRDefault="002D581C">
      <w:pPr>
        <w:spacing w:line="276" w:lineRule="auto"/>
        <w:rPr>
          <w:rFonts w:ascii="Verdana" w:hAnsi="Verdana"/>
          <w:sz w:val="18"/>
          <w:szCs w:val="18"/>
        </w:rPr>
      </w:pPr>
    </w:p>
    <w:tbl>
      <w:tblPr>
        <w:tblW w:w="5000" w:type="pct"/>
        <w:tblCellMar>
          <w:left w:w="70" w:type="dxa"/>
          <w:right w:w="70" w:type="dxa"/>
        </w:tblCellMar>
        <w:tblLook w:val="04A0"/>
      </w:tblPr>
      <w:tblGrid>
        <w:gridCol w:w="5362"/>
        <w:gridCol w:w="770"/>
        <w:gridCol w:w="770"/>
        <w:gridCol w:w="770"/>
        <w:gridCol w:w="770"/>
        <w:gridCol w:w="770"/>
      </w:tblGrid>
      <w:tr w:rsidRPr="005E7EAC" w:rsidR="003177E2" w:rsidTr="003177E2">
        <w:trPr>
          <w:trHeight w:val="240"/>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UITGAVEN</w:t>
            </w: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r>
      <w:tr w:rsidRPr="005E7EAC" w:rsidR="003177E2" w:rsidTr="003177E2">
        <w:trPr>
          <w:trHeight w:val="240"/>
        </w:trPr>
        <w:tc>
          <w:tcPr>
            <w:tcW w:w="2909"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 </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2015</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2016</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2017</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2018</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2019</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Stand Miljoenennota 2015 (excl. IS)</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Technische mutaties</w:t>
            </w: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ind w:firstLine="360" w:firstLineChars="200"/>
              <w:rPr>
                <w:rFonts w:ascii="Verdana" w:hAnsi="Verdana"/>
                <w:color w:val="000000"/>
                <w:sz w:val="18"/>
                <w:szCs w:val="18"/>
              </w:rPr>
            </w:pPr>
            <w:r w:rsidRPr="005E7EAC">
              <w:rPr>
                <w:rFonts w:ascii="Verdana" w:hAnsi="Verdana"/>
                <w:color w:val="000000"/>
                <w:sz w:val="18"/>
                <w:szCs w:val="18"/>
              </w:rPr>
              <w:t>Toevoeging eindsaldo 2014</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19,1</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240"/>
        </w:trPr>
        <w:tc>
          <w:tcPr>
            <w:tcW w:w="2909" w:type="pct"/>
            <w:tcBorders>
              <w:top w:val="nil"/>
              <w:left w:val="nil"/>
              <w:bottom w:val="nil"/>
              <w:right w:val="nil"/>
            </w:tcBorders>
            <w:shd w:val="clear" w:color="auto" w:fill="auto"/>
            <w:hideMark/>
          </w:tcPr>
          <w:p w:rsidRPr="005E7EAC" w:rsidR="003177E2" w:rsidP="003177E2" w:rsidRDefault="003177E2">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21,0</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180"/>
        </w:trPr>
        <w:tc>
          <w:tcPr>
            <w:tcW w:w="2909"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240"/>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Stand Voorjaarsnota 2015 (subtotaal)</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42,8</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r>
      <w:tr w:rsidRPr="005E7EAC" w:rsidR="003177E2" w:rsidTr="003177E2">
        <w:trPr>
          <w:trHeight w:val="240"/>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Totaal Internationale samenwerking</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Stand Voorjaarsnota 2015</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42,8</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r>
      <w:tr w:rsidRPr="005E7EAC" w:rsidR="003177E2" w:rsidTr="003177E2">
        <w:trPr>
          <w:trHeight w:val="240"/>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NIET-BELASTINGONTVANGSTEN</w:t>
            </w: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r>
      <w:tr w:rsidRPr="005E7EAC" w:rsidR="003177E2" w:rsidTr="003177E2">
        <w:trPr>
          <w:trHeight w:val="240"/>
        </w:trPr>
        <w:tc>
          <w:tcPr>
            <w:tcW w:w="2909"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 </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2015</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2016</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2017</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2018</w:t>
            </w:r>
          </w:p>
        </w:tc>
        <w:tc>
          <w:tcPr>
            <w:tcW w:w="418" w:type="pct"/>
            <w:tcBorders>
              <w:top w:val="single" w:color="000000" w:sz="8" w:space="0"/>
              <w:left w:val="nil"/>
              <w:bottom w:val="single" w:color="000000" w:sz="8" w:space="0"/>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2019</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Stand Miljoenennota 2015 (excl. IS)</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Technische mutaties</w:t>
            </w: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ind w:firstLine="360" w:firstLineChars="200"/>
              <w:rPr>
                <w:rFonts w:ascii="Verdana" w:hAnsi="Verdana"/>
                <w:color w:val="000000"/>
                <w:sz w:val="18"/>
                <w:szCs w:val="18"/>
              </w:rPr>
            </w:pPr>
            <w:r w:rsidRPr="005E7EAC">
              <w:rPr>
                <w:rFonts w:ascii="Verdana" w:hAnsi="Verdana"/>
                <w:color w:val="000000"/>
                <w:sz w:val="18"/>
                <w:szCs w:val="18"/>
              </w:rPr>
              <w:t>Toevoeging eindsaldo 2014</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19,1</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240"/>
        </w:trPr>
        <w:tc>
          <w:tcPr>
            <w:tcW w:w="2909" w:type="pct"/>
            <w:tcBorders>
              <w:top w:val="nil"/>
              <w:left w:val="nil"/>
              <w:bottom w:val="nil"/>
              <w:right w:val="nil"/>
            </w:tcBorders>
            <w:shd w:val="clear" w:color="auto" w:fill="auto"/>
            <w:hideMark/>
          </w:tcPr>
          <w:p w:rsidRPr="005E7EAC" w:rsidR="003177E2" w:rsidP="003177E2" w:rsidRDefault="003177E2">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1,9</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21,0</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180"/>
        </w:trPr>
        <w:tc>
          <w:tcPr>
            <w:tcW w:w="2909"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240"/>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3177E2" w:rsidP="003177E2" w:rsidRDefault="003177E2">
            <w:pPr>
              <w:rPr>
                <w:rFonts w:ascii="Verdana" w:hAnsi="Verdana"/>
                <w:color w:val="000000"/>
                <w:sz w:val="14"/>
                <w:szCs w:val="14"/>
              </w:rPr>
            </w:pP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Stand Voorjaarsnota 2015 (subtotaal)</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42,8</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r>
      <w:tr w:rsidRPr="005E7EAC" w:rsidR="003177E2" w:rsidTr="003177E2">
        <w:trPr>
          <w:trHeight w:val="240"/>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Totaal Internationale samenwerking</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0,0</w:t>
            </w:r>
          </w:p>
        </w:tc>
      </w:tr>
      <w:tr w:rsidRPr="005E7EAC" w:rsidR="003177E2" w:rsidTr="003177E2">
        <w:trPr>
          <w:trHeight w:val="225"/>
        </w:trPr>
        <w:tc>
          <w:tcPr>
            <w:tcW w:w="2909" w:type="pct"/>
            <w:tcBorders>
              <w:top w:val="nil"/>
              <w:left w:val="nil"/>
              <w:bottom w:val="nil"/>
              <w:right w:val="nil"/>
            </w:tcBorders>
            <w:shd w:val="clear" w:color="auto" w:fill="auto"/>
            <w:hideMark/>
          </w:tcPr>
          <w:p w:rsidRPr="005E7EAC" w:rsidR="003177E2" w:rsidP="003177E2" w:rsidRDefault="003177E2">
            <w:pPr>
              <w:rPr>
                <w:rFonts w:ascii="Verdana" w:hAnsi="Verdana"/>
                <w:color w:val="000000"/>
                <w:sz w:val="18"/>
                <w:szCs w:val="18"/>
              </w:rPr>
            </w:pPr>
            <w:r w:rsidRPr="005E7EAC">
              <w:rPr>
                <w:rFonts w:ascii="Verdana" w:hAnsi="Verdana"/>
                <w:color w:val="000000"/>
                <w:sz w:val="18"/>
                <w:szCs w:val="18"/>
              </w:rPr>
              <w:t>Stand Voorjaarsnota 2015</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42,8</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c>
          <w:tcPr>
            <w:tcW w:w="418" w:type="pct"/>
            <w:tcBorders>
              <w:top w:val="single" w:color="000000" w:sz="8" w:space="0"/>
              <w:left w:val="nil"/>
              <w:bottom w:val="nil"/>
              <w:right w:val="nil"/>
            </w:tcBorders>
            <w:shd w:val="clear" w:color="auto" w:fill="auto"/>
            <w:hideMark/>
          </w:tcPr>
          <w:p w:rsidRPr="005E7EAC" w:rsidR="003177E2" w:rsidP="003177E2" w:rsidRDefault="003177E2">
            <w:pPr>
              <w:jc w:val="right"/>
              <w:rPr>
                <w:rFonts w:ascii="Verdana" w:hAnsi="Verdana"/>
                <w:color w:val="000000"/>
                <w:sz w:val="18"/>
                <w:szCs w:val="18"/>
              </w:rPr>
            </w:pPr>
            <w:r w:rsidRPr="005E7EAC">
              <w:rPr>
                <w:rFonts w:ascii="Verdana" w:hAnsi="Verdana"/>
                <w:color w:val="000000"/>
                <w:sz w:val="18"/>
                <w:szCs w:val="18"/>
              </w:rPr>
              <w:t>21,9</w:t>
            </w:r>
          </w:p>
        </w:tc>
      </w:tr>
    </w:tbl>
    <w:p w:rsidRPr="005E7EAC" w:rsidR="003177E2" w:rsidP="00B8046B" w:rsidRDefault="003177E2">
      <w:pPr>
        <w:spacing w:line="240" w:lineRule="exact"/>
        <w:rPr>
          <w:rFonts w:ascii="Verdana" w:hAnsi="Verdana" w:cs="Arial"/>
          <w:b/>
          <w:sz w:val="18"/>
          <w:szCs w:val="18"/>
        </w:rPr>
      </w:pPr>
    </w:p>
    <w:p w:rsidRPr="005E7EAC" w:rsidR="00B8046B" w:rsidP="00B8046B" w:rsidRDefault="00B8046B">
      <w:pPr>
        <w:spacing w:line="240" w:lineRule="exact"/>
        <w:rPr>
          <w:rFonts w:ascii="Verdana" w:hAnsi="Verdana" w:cs="Arial"/>
          <w:b/>
          <w:sz w:val="18"/>
          <w:szCs w:val="18"/>
        </w:rPr>
      </w:pPr>
    </w:p>
    <w:p w:rsidRPr="005E7EAC" w:rsidR="00B8046B" w:rsidP="00B8046B" w:rsidRDefault="00B8046B">
      <w:pPr>
        <w:autoSpaceDE w:val="0"/>
        <w:autoSpaceDN w:val="0"/>
        <w:adjustRightInd w:val="0"/>
        <w:spacing w:line="240" w:lineRule="exact"/>
        <w:rPr>
          <w:rFonts w:ascii="Verdana" w:hAnsi="Verdana"/>
          <w:i/>
          <w:sz w:val="18"/>
          <w:szCs w:val="18"/>
        </w:rPr>
      </w:pPr>
      <w:r w:rsidRPr="005E7EAC">
        <w:rPr>
          <w:rFonts w:ascii="Verdana" w:hAnsi="Verdana"/>
          <w:i/>
          <w:sz w:val="18"/>
          <w:szCs w:val="18"/>
        </w:rPr>
        <w:t>Toevoeging eindsaldo 2014</w:t>
      </w:r>
    </w:p>
    <w:p w:rsidRPr="005E7EAC" w:rsidR="00B8046B" w:rsidP="00B8046B" w:rsidRDefault="00B8046B">
      <w:pPr>
        <w:autoSpaceDE w:val="0"/>
        <w:autoSpaceDN w:val="0"/>
        <w:adjustRightInd w:val="0"/>
        <w:spacing w:line="240" w:lineRule="exact"/>
        <w:rPr>
          <w:rFonts w:ascii="Verdana" w:hAnsi="Verdana"/>
          <w:sz w:val="18"/>
          <w:szCs w:val="18"/>
        </w:rPr>
      </w:pPr>
      <w:r w:rsidRPr="005E7EAC">
        <w:rPr>
          <w:rFonts w:ascii="Verdana" w:hAnsi="Verdana"/>
          <w:sz w:val="18"/>
          <w:szCs w:val="18"/>
        </w:rPr>
        <w:t xml:space="preserve">De niet bestede middelen van 2014 worden toegevoegd aan </w:t>
      </w:r>
      <w:r w:rsidRPr="005E7EAC" w:rsidR="00CA55FE">
        <w:rPr>
          <w:rFonts w:ascii="Verdana" w:hAnsi="Verdana"/>
          <w:sz w:val="18"/>
          <w:szCs w:val="18"/>
        </w:rPr>
        <w:t xml:space="preserve">de begroting voor </w:t>
      </w:r>
      <w:r w:rsidRPr="005E7EAC">
        <w:rPr>
          <w:rFonts w:ascii="Verdana" w:hAnsi="Verdana"/>
          <w:sz w:val="18"/>
          <w:szCs w:val="18"/>
        </w:rPr>
        <w:t>2015.</w:t>
      </w:r>
    </w:p>
    <w:p w:rsidRPr="005E7EAC" w:rsidR="004032A8" w:rsidRDefault="004032A8">
      <w:pPr>
        <w:spacing w:after="200" w:line="276" w:lineRule="auto"/>
        <w:rPr>
          <w:rFonts w:ascii="Verdana" w:hAnsi="Verdana" w:cs="Arial"/>
          <w:b/>
          <w:sz w:val="18"/>
          <w:szCs w:val="18"/>
        </w:rPr>
      </w:pPr>
      <w:r w:rsidRPr="005E7EAC">
        <w:rPr>
          <w:rFonts w:ascii="Verdana" w:hAnsi="Verdana" w:cs="Arial"/>
          <w:b/>
          <w:sz w:val="18"/>
          <w:szCs w:val="18"/>
        </w:rPr>
        <w:br w:type="page"/>
      </w:r>
    </w:p>
    <w:p w:rsidRPr="005E7EAC" w:rsidR="00305C19" w:rsidP="00305C19" w:rsidRDefault="00305C19">
      <w:pPr>
        <w:spacing w:line="240" w:lineRule="atLeast"/>
        <w:rPr>
          <w:rFonts w:ascii="Verdana" w:hAnsi="Verdana" w:cs="Arial"/>
          <w:b/>
          <w:sz w:val="18"/>
          <w:szCs w:val="18"/>
        </w:rPr>
      </w:pPr>
      <w:r w:rsidRPr="005E7EAC">
        <w:rPr>
          <w:rFonts w:ascii="Verdana" w:hAnsi="Verdana" w:cs="Arial"/>
          <w:b/>
          <w:sz w:val="18"/>
          <w:szCs w:val="18"/>
        </w:rPr>
        <w:lastRenderedPageBreak/>
        <w:t>Accres Gemeentefonds</w:t>
      </w:r>
    </w:p>
    <w:p w:rsidRPr="005E7EAC" w:rsidR="00B447F1" w:rsidP="00B447F1" w:rsidRDefault="00B447F1">
      <w:pPr>
        <w:spacing w:line="240" w:lineRule="exact"/>
        <w:rPr>
          <w:rFonts w:ascii="Verdana" w:hAnsi="Verdana" w:cs="Arial"/>
          <w:b/>
          <w:sz w:val="18"/>
          <w:szCs w:val="18"/>
        </w:rPr>
      </w:pPr>
    </w:p>
    <w:tbl>
      <w:tblPr>
        <w:tblW w:w="5000" w:type="pct"/>
        <w:tblCellMar>
          <w:left w:w="70" w:type="dxa"/>
          <w:right w:w="70" w:type="dxa"/>
        </w:tblCellMar>
        <w:tblLook w:val="04A0"/>
      </w:tblPr>
      <w:tblGrid>
        <w:gridCol w:w="4751"/>
        <w:gridCol w:w="856"/>
        <w:gridCol w:w="857"/>
        <w:gridCol w:w="857"/>
        <w:gridCol w:w="857"/>
        <w:gridCol w:w="1034"/>
      </w:tblGrid>
      <w:tr w:rsidRPr="005E7EAC" w:rsidR="00157ABA" w:rsidTr="00157ABA">
        <w:trPr>
          <w:trHeight w:val="240"/>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UITGAVEN</w:t>
            </w: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561"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r>
      <w:tr w:rsidRPr="005E7EAC" w:rsidR="00157ABA" w:rsidTr="00157ABA">
        <w:trPr>
          <w:trHeight w:val="240"/>
        </w:trPr>
        <w:tc>
          <w:tcPr>
            <w:tcW w:w="2578"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 </w:t>
            </w:r>
          </w:p>
        </w:tc>
        <w:tc>
          <w:tcPr>
            <w:tcW w:w="465"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2015</w:t>
            </w:r>
          </w:p>
        </w:tc>
        <w:tc>
          <w:tcPr>
            <w:tcW w:w="465"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2016</w:t>
            </w:r>
          </w:p>
        </w:tc>
        <w:tc>
          <w:tcPr>
            <w:tcW w:w="465"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2017</w:t>
            </w:r>
          </w:p>
        </w:tc>
        <w:tc>
          <w:tcPr>
            <w:tcW w:w="465"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2018</w:t>
            </w:r>
          </w:p>
        </w:tc>
        <w:tc>
          <w:tcPr>
            <w:tcW w:w="561"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2019</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Stand Miljoenennota 2015 (excl. IS)</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223,0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562,8</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742,5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828,8</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1133,8</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Beleidsmatige mutaties</w:t>
            </w: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561"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561"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Accres tranche 2014</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-249,0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-124,5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-124,5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-124,5</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-124,5</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Accres tranche 2015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-220,9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-220,9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-220,9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-220,9</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-220,9</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Accres tranche 2016</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347,3</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347,3</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347,3</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347,3</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Accres tranche 2017</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-203,6</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-203,6</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-203,6</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Accres tranche 2018</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24,8</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24,8</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Accres tranche 2019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33,7</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Bcf plafond accres tranche 2016</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60,7</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60,7</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60,7</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60,7</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Bcf plafond accres tranche 2017</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-34,9</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-34,9</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Bcf plafond accres tranche 2018</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4,4</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4,4</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Bcf plafond accres tranche 2019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6,2</w:t>
            </w:r>
          </w:p>
        </w:tc>
      </w:tr>
      <w:tr w:rsidRPr="005E7EAC" w:rsidR="00157ABA" w:rsidTr="004F6B06">
        <w:trPr>
          <w:trHeight w:val="192"/>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Bcf plafondbijstelling accres tranche 2015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-34,8</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-34,9</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-34,9</w:t>
            </w:r>
          </w:p>
        </w:tc>
      </w:tr>
      <w:tr w:rsidRPr="005E7EAC" w:rsidR="00157ABA" w:rsidTr="00157ABA">
        <w:trPr>
          <w:trHeight w:val="46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Mutatie plafond bcf agv accresontwikkeling</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-1,7</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-2,3</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-2,6</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-2,6</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-506,4</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25,4</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-213,4</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-184,2</w:t>
            </w:r>
          </w:p>
        </w:tc>
        <w:tc>
          <w:tcPr>
            <w:tcW w:w="561"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-141,7</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Technische mutaties</w:t>
            </w: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561"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561"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Accres tranche 2014</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249,0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124,5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124,5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124,5</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124,5</w:t>
            </w:r>
          </w:p>
        </w:tc>
      </w:tr>
      <w:tr w:rsidRPr="005E7EAC" w:rsidR="00157ABA" w:rsidTr="00157ABA">
        <w:trPr>
          <w:trHeight w:val="240"/>
        </w:trPr>
        <w:tc>
          <w:tcPr>
            <w:tcW w:w="2578" w:type="pct"/>
            <w:tcBorders>
              <w:top w:val="nil"/>
              <w:left w:val="nil"/>
              <w:bottom w:val="nil"/>
              <w:right w:val="nil"/>
            </w:tcBorders>
            <w:shd w:val="clear" w:color="auto" w:fill="auto"/>
            <w:hideMark/>
          </w:tcPr>
          <w:p w:rsidRPr="005E7EAC" w:rsidR="00157ABA" w:rsidP="00157ABA" w:rsidRDefault="00157ABA">
            <w:pPr>
              <w:ind w:firstLine="360" w:firstLineChars="200"/>
              <w:rPr>
                <w:rFonts w:ascii="Verdana" w:hAnsi="Verdana"/>
                <w:color w:val="000000"/>
                <w:sz w:val="18"/>
                <w:szCs w:val="18"/>
              </w:rPr>
            </w:pPr>
            <w:r w:rsidRPr="005E7EAC">
              <w:rPr>
                <w:rFonts w:ascii="Verdana" w:hAnsi="Verdana"/>
                <w:color w:val="000000"/>
                <w:sz w:val="18"/>
                <w:szCs w:val="18"/>
              </w:rPr>
              <w:t>Accres tranche 2015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116,0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116,0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116,0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116,0</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116,0</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365,0</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240,5</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240,5</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240,5</w:t>
            </w:r>
          </w:p>
        </w:tc>
        <w:tc>
          <w:tcPr>
            <w:tcW w:w="561"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240,5</w:t>
            </w:r>
          </w:p>
        </w:tc>
      </w:tr>
      <w:tr w:rsidRPr="005E7EAC" w:rsidR="00157ABA" w:rsidTr="00157ABA">
        <w:trPr>
          <w:trHeight w:val="180"/>
        </w:trPr>
        <w:tc>
          <w:tcPr>
            <w:tcW w:w="2578"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561"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-141,5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265,9</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27,0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56,2</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98,7</w:t>
            </w:r>
          </w:p>
        </w:tc>
      </w:tr>
      <w:tr w:rsidRPr="005E7EAC" w:rsidR="00157ABA" w:rsidTr="00157ABA">
        <w:trPr>
          <w:trHeight w:val="240"/>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561"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Stand Voorjaarsnota 2015 (subtotaal)</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81,5</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828,8</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769,5</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885,1</w:t>
            </w:r>
          </w:p>
        </w:tc>
        <w:tc>
          <w:tcPr>
            <w:tcW w:w="561"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1232,5</w:t>
            </w:r>
          </w:p>
        </w:tc>
      </w:tr>
      <w:tr w:rsidRPr="005E7EAC" w:rsidR="00157ABA" w:rsidTr="00157ABA">
        <w:trPr>
          <w:trHeight w:val="240"/>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Totaal Internationale samenwerking</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Stand Voorjaarsnota 2015</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81,5</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828,8</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769,5</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885,1</w:t>
            </w:r>
          </w:p>
        </w:tc>
        <w:tc>
          <w:tcPr>
            <w:tcW w:w="561"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1232,5</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561"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r>
      <w:tr w:rsidRPr="005E7EAC" w:rsidR="00157ABA" w:rsidTr="00157ABA">
        <w:trPr>
          <w:trHeight w:val="240"/>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NIET-BELASTINGONTVANGSTEN</w:t>
            </w: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561"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r>
      <w:tr w:rsidRPr="005E7EAC" w:rsidR="00157ABA" w:rsidTr="00157ABA">
        <w:trPr>
          <w:trHeight w:val="240"/>
        </w:trPr>
        <w:tc>
          <w:tcPr>
            <w:tcW w:w="2578"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 </w:t>
            </w:r>
          </w:p>
        </w:tc>
        <w:tc>
          <w:tcPr>
            <w:tcW w:w="465"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2015</w:t>
            </w:r>
          </w:p>
        </w:tc>
        <w:tc>
          <w:tcPr>
            <w:tcW w:w="465"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2016</w:t>
            </w:r>
          </w:p>
        </w:tc>
        <w:tc>
          <w:tcPr>
            <w:tcW w:w="465"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2017</w:t>
            </w:r>
          </w:p>
        </w:tc>
        <w:tc>
          <w:tcPr>
            <w:tcW w:w="465"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2018</w:t>
            </w:r>
          </w:p>
        </w:tc>
        <w:tc>
          <w:tcPr>
            <w:tcW w:w="561" w:type="pct"/>
            <w:tcBorders>
              <w:top w:val="single" w:color="000000" w:sz="8" w:space="0"/>
              <w:left w:val="nil"/>
              <w:bottom w:val="single" w:color="000000" w:sz="8" w:space="0"/>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2019</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Stand Miljoenennota 2015 (excl. IS)</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r>
      <w:tr w:rsidRPr="005E7EAC" w:rsidR="00157ABA" w:rsidTr="00157ABA">
        <w:trPr>
          <w:trHeight w:val="180"/>
        </w:trPr>
        <w:tc>
          <w:tcPr>
            <w:tcW w:w="2578"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561"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r>
      <w:tr w:rsidRPr="005E7EAC" w:rsidR="00157ABA" w:rsidTr="00157ABA">
        <w:trPr>
          <w:trHeight w:val="240"/>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465"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c>
          <w:tcPr>
            <w:tcW w:w="561" w:type="pct"/>
            <w:tcBorders>
              <w:top w:val="nil"/>
              <w:left w:val="nil"/>
              <w:bottom w:val="nil"/>
              <w:right w:val="nil"/>
            </w:tcBorders>
            <w:shd w:val="clear" w:color="auto" w:fill="auto"/>
            <w:noWrap/>
            <w:vAlign w:val="bottom"/>
            <w:hideMark/>
          </w:tcPr>
          <w:p w:rsidRPr="005E7EAC" w:rsidR="00157ABA" w:rsidP="00157ABA" w:rsidRDefault="00157ABA">
            <w:pPr>
              <w:rPr>
                <w:rFonts w:ascii="Verdana" w:hAnsi="Verdana"/>
                <w:color w:val="000000"/>
                <w:sz w:val="14"/>
                <w:szCs w:val="14"/>
              </w:rPr>
            </w:pP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Stand Voorjaarsnota 2015 (subtotaal)</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561"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r>
      <w:tr w:rsidRPr="005E7EAC" w:rsidR="00157ABA" w:rsidTr="00157ABA">
        <w:trPr>
          <w:trHeight w:val="240"/>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Totaal Internationale samenwerking</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561" w:type="pct"/>
            <w:tcBorders>
              <w:top w:val="nil"/>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r>
      <w:tr w:rsidRPr="005E7EAC" w:rsidR="00157ABA" w:rsidTr="00157ABA">
        <w:trPr>
          <w:trHeight w:val="225"/>
        </w:trPr>
        <w:tc>
          <w:tcPr>
            <w:tcW w:w="2578" w:type="pct"/>
            <w:tcBorders>
              <w:top w:val="nil"/>
              <w:left w:val="nil"/>
              <w:bottom w:val="nil"/>
              <w:right w:val="nil"/>
            </w:tcBorders>
            <w:shd w:val="clear" w:color="auto" w:fill="auto"/>
            <w:hideMark/>
          </w:tcPr>
          <w:p w:rsidRPr="005E7EAC" w:rsidR="00157ABA" w:rsidP="00157ABA" w:rsidRDefault="00157ABA">
            <w:pPr>
              <w:rPr>
                <w:rFonts w:ascii="Verdana" w:hAnsi="Verdana"/>
                <w:color w:val="000000"/>
                <w:sz w:val="18"/>
                <w:szCs w:val="18"/>
              </w:rPr>
            </w:pPr>
            <w:r w:rsidRPr="005E7EAC">
              <w:rPr>
                <w:rFonts w:ascii="Verdana" w:hAnsi="Verdana"/>
                <w:color w:val="000000"/>
                <w:sz w:val="18"/>
                <w:szCs w:val="18"/>
              </w:rPr>
              <w:t>Stand Voorjaarsnota 2015</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465"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c>
          <w:tcPr>
            <w:tcW w:w="561" w:type="pct"/>
            <w:tcBorders>
              <w:top w:val="single" w:color="000000" w:sz="8" w:space="0"/>
              <w:left w:val="nil"/>
              <w:bottom w:val="nil"/>
              <w:right w:val="nil"/>
            </w:tcBorders>
            <w:shd w:val="clear" w:color="auto" w:fill="auto"/>
            <w:hideMark/>
          </w:tcPr>
          <w:p w:rsidRPr="005E7EAC" w:rsidR="00157ABA" w:rsidP="00157ABA" w:rsidRDefault="00157ABA">
            <w:pPr>
              <w:jc w:val="right"/>
              <w:rPr>
                <w:rFonts w:ascii="Verdana" w:hAnsi="Verdana"/>
                <w:color w:val="000000"/>
                <w:sz w:val="18"/>
                <w:szCs w:val="18"/>
              </w:rPr>
            </w:pPr>
            <w:r w:rsidRPr="005E7EAC">
              <w:rPr>
                <w:rFonts w:ascii="Verdana" w:hAnsi="Verdana"/>
                <w:color w:val="000000"/>
                <w:sz w:val="18"/>
                <w:szCs w:val="18"/>
              </w:rPr>
              <w:t>0,0</w:t>
            </w:r>
          </w:p>
        </w:tc>
      </w:tr>
    </w:tbl>
    <w:p w:rsidRPr="005E7EAC" w:rsidR="00B447F1" w:rsidP="00B447F1" w:rsidRDefault="00B447F1">
      <w:pPr>
        <w:spacing w:line="240" w:lineRule="exact"/>
        <w:rPr>
          <w:rFonts w:ascii="Verdana" w:hAnsi="Verdana" w:cs="Arial"/>
          <w:b/>
          <w:sz w:val="18"/>
          <w:szCs w:val="18"/>
        </w:rPr>
      </w:pPr>
    </w:p>
    <w:p w:rsidRPr="005E7EAC" w:rsidR="002E37E9" w:rsidP="00B447F1" w:rsidRDefault="002E37E9">
      <w:pPr>
        <w:spacing w:line="240" w:lineRule="exact"/>
        <w:rPr>
          <w:rFonts w:ascii="Verdana" w:hAnsi="Verdana" w:cs="Arial"/>
          <w:b/>
          <w:sz w:val="18"/>
          <w:szCs w:val="18"/>
        </w:rPr>
      </w:pPr>
    </w:p>
    <w:p w:rsidRPr="005E7EAC" w:rsidR="00BE1F1D" w:rsidP="00BE1F1D" w:rsidRDefault="00BE1F1D">
      <w:pPr>
        <w:pStyle w:val="Geenafstand"/>
        <w:spacing w:line="240" w:lineRule="atLeast"/>
        <w:rPr>
          <w:i/>
          <w:szCs w:val="18"/>
        </w:rPr>
      </w:pPr>
      <w:r w:rsidRPr="005E7EAC">
        <w:rPr>
          <w:i/>
          <w:szCs w:val="18"/>
        </w:rPr>
        <w:t>Afrekening 2014 en accresontwikkeling tranche 2015-2019</w:t>
      </w:r>
    </w:p>
    <w:p w:rsidRPr="005E7EAC" w:rsidR="00BE1F1D" w:rsidP="00BE1F1D" w:rsidRDefault="00BE1F1D">
      <w:pPr>
        <w:pStyle w:val="Geenafstand"/>
        <w:spacing w:line="240" w:lineRule="atLeast"/>
        <w:rPr>
          <w:szCs w:val="18"/>
        </w:rPr>
      </w:pPr>
      <w:r w:rsidRPr="005E7EAC">
        <w:rPr>
          <w:szCs w:val="18"/>
        </w:rPr>
        <w:t xml:space="preserve">Het accres kent jaarlijks twee bijstellingsmomenten namelijk 1) de Voorjaarsnota en 2) de Miljoenennota. Daarnaast is er één vaststellingsmoment namelijk bij het Financieel Jaarverslag Rijk (FJR). Het definitieve accrespercentage over 2014 is, na afloop van dat jaar, op basis van de FJR-realisatiestanden uitgekomen op 2,02 procent. Dat betekent een neerwaartse aanpassing van 124,5 mln. ten opzichte van de stand Miljoenennota 2015. Omdat het jaar 2014 al is afgesloten, vindt de afrekening plaats in 2015. </w:t>
      </w:r>
    </w:p>
    <w:p w:rsidRPr="005E7EAC" w:rsidR="00BE1F1D" w:rsidP="00BE1F1D" w:rsidRDefault="00BE1F1D">
      <w:pPr>
        <w:autoSpaceDE w:val="0"/>
        <w:autoSpaceDN w:val="0"/>
        <w:adjustRightInd w:val="0"/>
        <w:spacing w:line="240" w:lineRule="atLeast"/>
        <w:rPr>
          <w:rFonts w:ascii="Verdana" w:hAnsi="Verdana"/>
          <w:sz w:val="18"/>
          <w:szCs w:val="18"/>
        </w:rPr>
      </w:pPr>
      <w:r w:rsidRPr="005E7EAC">
        <w:rPr>
          <w:rFonts w:ascii="Verdana" w:hAnsi="Verdana"/>
          <w:sz w:val="18"/>
          <w:szCs w:val="18"/>
        </w:rPr>
        <w:t>Daarnaast zijn op basis van de integrale voorjaarsbesluitvorming de accrestranches voor 2015 en verder aangepast op basis van de ontwikkeling van de gecorrigeerde netto rijksuitgaven. De tranches voor 2014 en 2015 zijn overgeboekt naar het Gemeentefonds (technische mutaties).</w:t>
      </w:r>
    </w:p>
    <w:p w:rsidRPr="005E7EAC" w:rsidR="00BE1F1D" w:rsidP="00BE1F1D" w:rsidRDefault="00BE1F1D">
      <w:pPr>
        <w:autoSpaceDE w:val="0"/>
        <w:autoSpaceDN w:val="0"/>
        <w:adjustRightInd w:val="0"/>
        <w:spacing w:line="240" w:lineRule="atLeast"/>
        <w:rPr>
          <w:rFonts w:ascii="Verdana" w:hAnsi="Verdana"/>
          <w:sz w:val="18"/>
          <w:szCs w:val="18"/>
        </w:rPr>
      </w:pPr>
    </w:p>
    <w:p w:rsidRPr="005E7EAC" w:rsidR="00BE1F1D" w:rsidP="00BE1F1D" w:rsidRDefault="00BE1F1D">
      <w:pPr>
        <w:autoSpaceDE w:val="0"/>
        <w:autoSpaceDN w:val="0"/>
        <w:adjustRightInd w:val="0"/>
        <w:spacing w:line="240" w:lineRule="atLeast"/>
        <w:rPr>
          <w:rFonts w:ascii="Verdana" w:hAnsi="Verdana"/>
          <w:i/>
          <w:sz w:val="18"/>
          <w:szCs w:val="18"/>
        </w:rPr>
      </w:pPr>
      <w:r w:rsidRPr="005E7EAC">
        <w:rPr>
          <w:rFonts w:ascii="Verdana" w:hAnsi="Verdana"/>
          <w:i/>
          <w:sz w:val="18"/>
          <w:szCs w:val="18"/>
        </w:rPr>
        <w:t>Mutatie plafond BCF agv accresontwikkeling</w:t>
      </w:r>
    </w:p>
    <w:p w:rsidRPr="005E7EAC" w:rsidR="00BE1F1D" w:rsidP="00BE1F1D" w:rsidRDefault="00BE1F1D">
      <w:pPr>
        <w:autoSpaceDE w:val="0"/>
        <w:autoSpaceDN w:val="0"/>
        <w:adjustRightInd w:val="0"/>
        <w:spacing w:line="240" w:lineRule="atLeast"/>
        <w:rPr>
          <w:rFonts w:ascii="Verdana" w:hAnsi="Verdana" w:cs="TTBC08CB50t00"/>
          <w:sz w:val="18"/>
          <w:szCs w:val="18"/>
        </w:rPr>
      </w:pPr>
      <w:r w:rsidRPr="005E7EAC">
        <w:rPr>
          <w:rFonts w:ascii="Verdana" w:hAnsi="Verdana"/>
          <w:sz w:val="18"/>
          <w:szCs w:val="18"/>
        </w:rPr>
        <w:t xml:space="preserve">Met ingang van 2015 wordt de ontwikkeling van het btw-compensatiefonds (BCF) gekoppeld aan de accrespercentages zoals deze voortvloeien uit de normeringssystematiek. </w:t>
      </w:r>
      <w:r w:rsidRPr="005E7EAC">
        <w:rPr>
          <w:rFonts w:ascii="Verdana" w:hAnsi="Verdana" w:cs="TTBC08CB50t00"/>
          <w:sz w:val="18"/>
          <w:szCs w:val="18"/>
        </w:rPr>
        <w:t xml:space="preserve">Alle declaraties van gemeenten en provincies bij het BCF worden vergoed mits voldaan aan de declaratievoorwaarden. </w:t>
      </w:r>
      <w:r w:rsidRPr="005E7EAC">
        <w:rPr>
          <w:rFonts w:ascii="Verdana" w:hAnsi="Verdana" w:cs="TTBC08CB50t00"/>
          <w:sz w:val="18"/>
          <w:szCs w:val="18"/>
        </w:rPr>
        <w:lastRenderedPageBreak/>
        <w:t xml:space="preserve">De budgettering wordt vormgegeven via het Gemeentefonds / Provinciefonds (GF/PF). Overschrijdingen op het vastgestelde BCF-plafond worden verhaald op het GF/PF. Onderschrijdingen van het BCF-plafond worden gestort in het GF/PF. Op basis van de accresraming op stand Voorjaarsnota is het plafond met 34,8 mln. neerwaarts aangepast ten opzichte van de stand van de miljoenennota 2015. </w:t>
      </w:r>
    </w:p>
    <w:p w:rsidRPr="005E7EAC" w:rsidR="00305C19" w:rsidP="00B447F1" w:rsidRDefault="00305C19">
      <w:pPr>
        <w:spacing w:line="240" w:lineRule="exact"/>
        <w:rPr>
          <w:rFonts w:ascii="Verdana" w:hAnsi="Verdana" w:cs="Arial"/>
          <w:b/>
          <w:sz w:val="18"/>
          <w:szCs w:val="18"/>
        </w:rPr>
      </w:pPr>
      <w:r w:rsidRPr="005E7EAC">
        <w:rPr>
          <w:rFonts w:ascii="Verdana" w:hAnsi="Verdana" w:cs="Arial"/>
          <w:b/>
          <w:sz w:val="18"/>
          <w:szCs w:val="18"/>
        </w:rPr>
        <w:br w:type="page"/>
      </w:r>
    </w:p>
    <w:p w:rsidRPr="005E7EAC" w:rsidR="00305C19" w:rsidP="00305C19" w:rsidRDefault="00305C19">
      <w:pPr>
        <w:spacing w:line="240" w:lineRule="atLeast"/>
        <w:rPr>
          <w:rFonts w:ascii="Verdana" w:hAnsi="Verdana" w:cs="Arial"/>
          <w:b/>
          <w:sz w:val="18"/>
          <w:szCs w:val="18"/>
        </w:rPr>
      </w:pPr>
      <w:r w:rsidRPr="005E7EAC">
        <w:rPr>
          <w:rFonts w:ascii="Verdana" w:hAnsi="Verdana" w:cs="Arial"/>
          <w:b/>
          <w:sz w:val="18"/>
          <w:szCs w:val="18"/>
        </w:rPr>
        <w:lastRenderedPageBreak/>
        <w:t>Accres Provinciefonds</w:t>
      </w:r>
    </w:p>
    <w:p w:rsidRPr="005E7EAC" w:rsidR="00E53E56" w:rsidP="00E53E56" w:rsidRDefault="00E53E56">
      <w:pPr>
        <w:spacing w:line="276" w:lineRule="auto"/>
        <w:rPr>
          <w:rFonts w:ascii="Verdana" w:hAnsi="Verdana" w:cs="Courier New"/>
          <w:b/>
          <w:sz w:val="18"/>
          <w:szCs w:val="18"/>
        </w:rPr>
      </w:pPr>
    </w:p>
    <w:tbl>
      <w:tblPr>
        <w:tblW w:w="5000" w:type="pct"/>
        <w:tblCellMar>
          <w:left w:w="70" w:type="dxa"/>
          <w:right w:w="70" w:type="dxa"/>
        </w:tblCellMar>
        <w:tblLook w:val="04A0"/>
      </w:tblPr>
      <w:tblGrid>
        <w:gridCol w:w="5222"/>
        <w:gridCol w:w="798"/>
        <w:gridCol w:w="798"/>
        <w:gridCol w:w="798"/>
        <w:gridCol w:w="798"/>
        <w:gridCol w:w="798"/>
      </w:tblGrid>
      <w:tr w:rsidRPr="005E7EAC" w:rsidR="00D860DB" w:rsidTr="00D860DB">
        <w:trPr>
          <w:trHeight w:val="240"/>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UITGAVEN</w:t>
            </w: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r>
      <w:tr w:rsidRPr="005E7EAC" w:rsidR="00D860DB" w:rsidTr="00D860DB">
        <w:trPr>
          <w:trHeight w:val="240"/>
        </w:trPr>
        <w:tc>
          <w:tcPr>
            <w:tcW w:w="2835"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 </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2015</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2016</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2017</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2018</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2019</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Stand Miljoenennota 2015 (excl. IS)</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21,5</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45,1</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59,2</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66,2</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91,9</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Beleidsmatige mutaties</w:t>
            </w: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Accres tranche 2014</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-23,5</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-11,8</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-11,8</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-11,8</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-11,8</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Accres tranche 2015</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-16,9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-16,9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-16,9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-16,9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-16,9</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Accres tranche 2016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24,1</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24,1</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24,1</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24,1</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Accres tranche 2017</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-14,9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-14,9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-14,9</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Accres tranche 2018</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2,2</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2,2</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Accres tranche 2019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3,3</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Bcf plafond accres tranche 2015</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-4,6</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Bcf plafond accres tranche 2016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8,0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8,0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8,0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8,0</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Bcf plafond accres tranche 2017</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-4,6</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Bcf plafond accres tranche 2018</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0,6</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Bcf plafond accres tranche 2019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0,8</w:t>
            </w:r>
          </w:p>
        </w:tc>
      </w:tr>
      <w:tr w:rsidRPr="005E7EAC" w:rsidR="00D860DB" w:rsidTr="00D860DB">
        <w:trPr>
          <w:trHeight w:val="46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Mutatie plafond bcf agv accresontwikkeling</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1,7</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2,3</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-43,3</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-18,1</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-15,3</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-13,8</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Technische mutaties</w:t>
            </w: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Accres tranche 2014</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23,5</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11,8</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11,8</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11,8</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11,8</w:t>
            </w:r>
          </w:p>
        </w:tc>
      </w:tr>
      <w:tr w:rsidRPr="005E7EAC" w:rsidR="00D860DB" w:rsidTr="00D860DB">
        <w:trPr>
          <w:trHeight w:val="240"/>
        </w:trPr>
        <w:tc>
          <w:tcPr>
            <w:tcW w:w="2835" w:type="pct"/>
            <w:tcBorders>
              <w:top w:val="nil"/>
              <w:left w:val="nil"/>
              <w:bottom w:val="nil"/>
              <w:right w:val="nil"/>
            </w:tcBorders>
            <w:shd w:val="clear" w:color="auto" w:fill="auto"/>
            <w:hideMark/>
          </w:tcPr>
          <w:p w:rsidRPr="005E7EAC" w:rsidR="00D860DB" w:rsidP="00D860DB" w:rsidRDefault="00D860DB">
            <w:pPr>
              <w:ind w:firstLine="360" w:firstLineChars="200"/>
              <w:rPr>
                <w:rFonts w:ascii="Verdana" w:hAnsi="Verdana"/>
                <w:color w:val="000000"/>
                <w:sz w:val="18"/>
                <w:szCs w:val="18"/>
              </w:rPr>
            </w:pPr>
            <w:r w:rsidRPr="005E7EAC">
              <w:rPr>
                <w:rFonts w:ascii="Verdana" w:hAnsi="Verdana"/>
                <w:color w:val="000000"/>
                <w:sz w:val="18"/>
                <w:szCs w:val="18"/>
              </w:rPr>
              <w:t>Accres tranche 2015</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9,1</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9,1</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9,1</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9,1</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9,1</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32,6</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20,9</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20,9</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20,9</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20,9</w:t>
            </w:r>
          </w:p>
        </w:tc>
      </w:tr>
      <w:tr w:rsidRPr="005E7EAC" w:rsidR="00D860DB" w:rsidTr="00D860DB">
        <w:trPr>
          <w:trHeight w:val="180"/>
        </w:trPr>
        <w:tc>
          <w:tcPr>
            <w:tcW w:w="2835"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-10,6</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22,0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2,9</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5,7</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7,2</w:t>
            </w:r>
          </w:p>
        </w:tc>
      </w:tr>
      <w:tr w:rsidRPr="005E7EAC" w:rsidR="00D860DB" w:rsidTr="00D860DB">
        <w:trPr>
          <w:trHeight w:val="240"/>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Stand Voorjaarsnota 2015 (subtotaal)</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10,9</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67,1</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62,1</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71,9</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99,1</w:t>
            </w:r>
          </w:p>
        </w:tc>
      </w:tr>
      <w:tr w:rsidRPr="005E7EAC" w:rsidR="00D860DB" w:rsidTr="00D860DB">
        <w:trPr>
          <w:trHeight w:val="240"/>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Totaal Internationale samenwerking</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Stand Voorjaarsnota 2015</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10,9</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67,1</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62,1</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71,9</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99,1</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r>
      <w:tr w:rsidRPr="005E7EAC" w:rsidR="00D860DB" w:rsidTr="00D860DB">
        <w:trPr>
          <w:trHeight w:val="240"/>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NIET-BELASTINGONTVANGSTEN</w:t>
            </w: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r>
      <w:tr w:rsidRPr="005E7EAC" w:rsidR="00D860DB" w:rsidTr="00D860DB">
        <w:trPr>
          <w:trHeight w:val="240"/>
        </w:trPr>
        <w:tc>
          <w:tcPr>
            <w:tcW w:w="2835"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 </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2015</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2016</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2017</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2018</w:t>
            </w:r>
          </w:p>
        </w:tc>
        <w:tc>
          <w:tcPr>
            <w:tcW w:w="433" w:type="pct"/>
            <w:tcBorders>
              <w:top w:val="single" w:color="000000" w:sz="8" w:space="0"/>
              <w:left w:val="nil"/>
              <w:bottom w:val="single" w:color="000000" w:sz="8" w:space="0"/>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2019</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Stand Miljoenennota 2015 (excl. IS)</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r>
      <w:tr w:rsidRPr="005E7EAC" w:rsidR="00D860DB" w:rsidTr="00D860DB">
        <w:trPr>
          <w:trHeight w:val="180"/>
        </w:trPr>
        <w:tc>
          <w:tcPr>
            <w:tcW w:w="2835"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r>
      <w:tr w:rsidRPr="005E7EAC" w:rsidR="00D860DB" w:rsidTr="00D860DB">
        <w:trPr>
          <w:trHeight w:val="240"/>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c>
          <w:tcPr>
            <w:tcW w:w="433" w:type="pct"/>
            <w:tcBorders>
              <w:top w:val="nil"/>
              <w:left w:val="nil"/>
              <w:bottom w:val="nil"/>
              <w:right w:val="nil"/>
            </w:tcBorders>
            <w:shd w:val="clear" w:color="auto" w:fill="auto"/>
            <w:noWrap/>
            <w:vAlign w:val="bottom"/>
            <w:hideMark/>
          </w:tcPr>
          <w:p w:rsidRPr="005E7EAC" w:rsidR="00D860DB" w:rsidP="00D860DB" w:rsidRDefault="00D860DB">
            <w:pPr>
              <w:rPr>
                <w:rFonts w:ascii="Verdana" w:hAnsi="Verdana"/>
                <w:color w:val="000000"/>
                <w:sz w:val="14"/>
                <w:szCs w:val="14"/>
              </w:rPr>
            </w:pP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Stand Voorjaarsnota 2015 (subtotaal)</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r>
      <w:tr w:rsidRPr="005E7EAC" w:rsidR="00D860DB" w:rsidTr="00D860DB">
        <w:trPr>
          <w:trHeight w:val="240"/>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Totaal Internationale samenwerking</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nil"/>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r>
      <w:tr w:rsidRPr="005E7EAC" w:rsidR="00D860DB" w:rsidTr="00D860DB">
        <w:trPr>
          <w:trHeight w:val="225"/>
        </w:trPr>
        <w:tc>
          <w:tcPr>
            <w:tcW w:w="2835" w:type="pct"/>
            <w:tcBorders>
              <w:top w:val="nil"/>
              <w:left w:val="nil"/>
              <w:bottom w:val="nil"/>
              <w:right w:val="nil"/>
            </w:tcBorders>
            <w:shd w:val="clear" w:color="auto" w:fill="auto"/>
            <w:hideMark/>
          </w:tcPr>
          <w:p w:rsidRPr="005E7EAC" w:rsidR="00D860DB" w:rsidP="00D860DB" w:rsidRDefault="00D860DB">
            <w:pPr>
              <w:rPr>
                <w:rFonts w:ascii="Verdana" w:hAnsi="Verdana"/>
                <w:color w:val="000000"/>
                <w:sz w:val="18"/>
                <w:szCs w:val="18"/>
              </w:rPr>
            </w:pPr>
            <w:r w:rsidRPr="005E7EAC">
              <w:rPr>
                <w:rFonts w:ascii="Verdana" w:hAnsi="Verdana"/>
                <w:color w:val="000000"/>
                <w:sz w:val="18"/>
                <w:szCs w:val="18"/>
              </w:rPr>
              <w:t>Stand Voorjaarsnota 2015</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c>
          <w:tcPr>
            <w:tcW w:w="433" w:type="pct"/>
            <w:tcBorders>
              <w:top w:val="single" w:color="000000" w:sz="8" w:space="0"/>
              <w:left w:val="nil"/>
              <w:bottom w:val="nil"/>
              <w:right w:val="nil"/>
            </w:tcBorders>
            <w:shd w:val="clear" w:color="auto" w:fill="auto"/>
            <w:hideMark/>
          </w:tcPr>
          <w:p w:rsidRPr="005E7EAC" w:rsidR="00D860DB" w:rsidP="00D860DB" w:rsidRDefault="00D860DB">
            <w:pPr>
              <w:jc w:val="right"/>
              <w:rPr>
                <w:rFonts w:ascii="Verdana" w:hAnsi="Verdana"/>
                <w:color w:val="000000"/>
                <w:sz w:val="18"/>
                <w:szCs w:val="18"/>
              </w:rPr>
            </w:pPr>
            <w:r w:rsidRPr="005E7EAC">
              <w:rPr>
                <w:rFonts w:ascii="Verdana" w:hAnsi="Verdana"/>
                <w:color w:val="000000"/>
                <w:sz w:val="18"/>
                <w:szCs w:val="18"/>
              </w:rPr>
              <w:t>0,0</w:t>
            </w:r>
          </w:p>
        </w:tc>
      </w:tr>
    </w:tbl>
    <w:p w:rsidRPr="005E7EAC" w:rsidR="00A210EE" w:rsidP="00A210EE" w:rsidRDefault="00A210EE">
      <w:pPr>
        <w:pStyle w:val="Geenafstand"/>
        <w:spacing w:line="240" w:lineRule="atLeast"/>
        <w:rPr>
          <w:i/>
          <w:szCs w:val="18"/>
        </w:rPr>
      </w:pPr>
    </w:p>
    <w:p w:rsidRPr="005E7EAC" w:rsidR="00D860DB" w:rsidP="00A210EE" w:rsidRDefault="00D860DB">
      <w:pPr>
        <w:pStyle w:val="Geenafstand"/>
        <w:spacing w:line="240" w:lineRule="atLeast"/>
        <w:rPr>
          <w:i/>
          <w:szCs w:val="18"/>
        </w:rPr>
      </w:pPr>
    </w:p>
    <w:p w:rsidRPr="005E7EAC" w:rsidR="00B32C87" w:rsidP="00B32C87" w:rsidRDefault="00B32C87">
      <w:pPr>
        <w:pStyle w:val="Geenafstand"/>
        <w:spacing w:line="240" w:lineRule="atLeast"/>
        <w:rPr>
          <w:i/>
          <w:szCs w:val="18"/>
        </w:rPr>
      </w:pPr>
      <w:r w:rsidRPr="005E7EAC">
        <w:rPr>
          <w:i/>
          <w:szCs w:val="18"/>
        </w:rPr>
        <w:t>Afrekening 2014 en accresontwikkeling tranche 2015-2019</w:t>
      </w:r>
    </w:p>
    <w:p w:rsidRPr="005E7EAC" w:rsidR="00B32C87" w:rsidP="00B32C87" w:rsidRDefault="00B32C87">
      <w:pPr>
        <w:pStyle w:val="Geenafstand"/>
        <w:spacing w:line="240" w:lineRule="atLeast"/>
        <w:rPr>
          <w:szCs w:val="18"/>
        </w:rPr>
      </w:pPr>
      <w:r w:rsidRPr="005E7EAC">
        <w:rPr>
          <w:szCs w:val="18"/>
        </w:rPr>
        <w:t xml:space="preserve">Het accres kent jaarlijks twee bijstellingsmomenten namelijk 1) de Voorjaarsnota en 2) de Miljoenennota. Daarnaast is er één vaststellingsmoment namelijk bij het Financieel Jaarverslag Rijk (FJR). Het definitieve accrespercentage over 2014 is, na afloop van dat jaar, op basis van de FJR-realisatiestanden uitgekomen op 2,02 procent. Dat betekent een neerwaartse aanpassing van 11,7 mln. ten opzichte van de stand Miljoenennota 2015. Omdat het jaar 2014 al is afgesloten, vindt de afrekening plaats in 2015. </w:t>
      </w:r>
    </w:p>
    <w:p w:rsidRPr="005E7EAC" w:rsidR="00B32C87" w:rsidP="00B32C87" w:rsidRDefault="00B32C87">
      <w:pPr>
        <w:autoSpaceDE w:val="0"/>
        <w:autoSpaceDN w:val="0"/>
        <w:adjustRightInd w:val="0"/>
        <w:spacing w:line="240" w:lineRule="atLeast"/>
        <w:rPr>
          <w:rFonts w:ascii="Verdana" w:hAnsi="Verdana"/>
          <w:sz w:val="18"/>
          <w:szCs w:val="18"/>
        </w:rPr>
      </w:pPr>
      <w:r w:rsidRPr="005E7EAC">
        <w:rPr>
          <w:rFonts w:ascii="Verdana" w:hAnsi="Verdana"/>
          <w:sz w:val="18"/>
          <w:szCs w:val="18"/>
        </w:rPr>
        <w:t>Daarnaast zijn op basis van de integrale voorjaarsbesluitvorming de accrestranches voor 2015 en verder aangepast op basis van de ontwikkeling van de gecorrigeerde netto rijksuitgaven. De tranches voor 2014 en 2015 zijn uitgekeerd aan het Provinciefonds (technische mutaties).</w:t>
      </w:r>
    </w:p>
    <w:p w:rsidRPr="005E7EAC" w:rsidR="00B32C87" w:rsidP="00B32C87" w:rsidRDefault="00B32C87">
      <w:pPr>
        <w:autoSpaceDE w:val="0"/>
        <w:autoSpaceDN w:val="0"/>
        <w:adjustRightInd w:val="0"/>
        <w:spacing w:line="240" w:lineRule="atLeast"/>
        <w:rPr>
          <w:rFonts w:ascii="Verdana" w:hAnsi="Verdana"/>
          <w:sz w:val="18"/>
          <w:szCs w:val="18"/>
        </w:rPr>
      </w:pPr>
    </w:p>
    <w:p w:rsidRPr="005E7EAC" w:rsidR="00B32C87" w:rsidP="00B32C87" w:rsidRDefault="00B32C87">
      <w:pPr>
        <w:autoSpaceDE w:val="0"/>
        <w:autoSpaceDN w:val="0"/>
        <w:adjustRightInd w:val="0"/>
        <w:spacing w:line="240" w:lineRule="atLeast"/>
        <w:rPr>
          <w:rFonts w:ascii="Verdana" w:hAnsi="Verdana"/>
          <w:i/>
          <w:sz w:val="18"/>
          <w:szCs w:val="18"/>
        </w:rPr>
      </w:pPr>
      <w:r w:rsidRPr="005E7EAC">
        <w:rPr>
          <w:rFonts w:ascii="Verdana" w:hAnsi="Verdana"/>
          <w:i/>
          <w:sz w:val="18"/>
          <w:szCs w:val="18"/>
        </w:rPr>
        <w:t>Mutatie plafond BCF agv accresontwikkeling</w:t>
      </w:r>
    </w:p>
    <w:p w:rsidRPr="005E7EAC" w:rsidR="00B32C87" w:rsidP="00B32C87" w:rsidRDefault="00B32C87">
      <w:pPr>
        <w:autoSpaceDE w:val="0"/>
        <w:autoSpaceDN w:val="0"/>
        <w:adjustRightInd w:val="0"/>
        <w:spacing w:line="240" w:lineRule="atLeast"/>
        <w:rPr>
          <w:rFonts w:ascii="Verdana" w:hAnsi="Verdana" w:cs="TTBC08CB50t00"/>
          <w:sz w:val="18"/>
          <w:szCs w:val="18"/>
        </w:rPr>
      </w:pPr>
      <w:r w:rsidRPr="005E7EAC">
        <w:rPr>
          <w:rFonts w:ascii="Verdana" w:hAnsi="Verdana"/>
          <w:sz w:val="18"/>
          <w:szCs w:val="18"/>
        </w:rPr>
        <w:t xml:space="preserve">Met ingang van 2015 wordt de ontwikkeling van het btw-compensatiefonds (BCF)gekoppeld aan de accrespercentages zoals deze voortvloeien uit de normeringssystematiek. </w:t>
      </w:r>
      <w:r w:rsidRPr="005E7EAC">
        <w:rPr>
          <w:rFonts w:ascii="Verdana" w:hAnsi="Verdana" w:cs="TTBC08CB50t00"/>
          <w:sz w:val="18"/>
          <w:szCs w:val="18"/>
        </w:rPr>
        <w:t xml:space="preserve">Alle declaraties van gemeenten en provincies bij het BCF worden vergoed mits voldaan aan de declaratievoorwaarden. </w:t>
      </w:r>
      <w:r w:rsidRPr="005E7EAC">
        <w:rPr>
          <w:rFonts w:ascii="Verdana" w:hAnsi="Verdana" w:cs="TTBC08CB50t00"/>
          <w:sz w:val="18"/>
          <w:szCs w:val="18"/>
        </w:rPr>
        <w:lastRenderedPageBreak/>
        <w:t xml:space="preserve">De budgettering wordt vormgegeven via het Gemeentefonds / Provinciefonds (GF/PF). Overschrijdingen op het vastgestelde BCF-plafond worden verhaald op het GF/PF. Onderschrijdingen van het BCF-plafond worden gestort in het GF/PF. Op basis van de accresraming op stand Voorjaarsnota is het plafond met 4,6 mln. neerwaarts aangepast ten opzichte van de stand van de miljoenennota 2015. </w:t>
      </w:r>
    </w:p>
    <w:p w:rsidRPr="005E7EAC" w:rsidR="004032A8" w:rsidP="00A210EE" w:rsidRDefault="004032A8">
      <w:pPr>
        <w:spacing w:line="240" w:lineRule="exact"/>
        <w:rPr>
          <w:rFonts w:ascii="Verdana" w:hAnsi="Verdana" w:cs="Arial"/>
          <w:b/>
          <w:sz w:val="18"/>
          <w:szCs w:val="18"/>
        </w:rPr>
      </w:pPr>
      <w:r w:rsidRPr="005E7EAC">
        <w:rPr>
          <w:rFonts w:ascii="Verdana" w:hAnsi="Verdana" w:cs="Arial"/>
          <w:b/>
          <w:sz w:val="18"/>
          <w:szCs w:val="18"/>
        </w:rPr>
        <w:br w:type="page"/>
      </w:r>
    </w:p>
    <w:p w:rsidRPr="005E7EAC" w:rsidR="004251F8" w:rsidP="002803B4" w:rsidRDefault="004251F8">
      <w:pPr>
        <w:spacing w:line="240" w:lineRule="atLeast"/>
        <w:rPr>
          <w:rFonts w:ascii="Verdana" w:hAnsi="Verdana" w:cs="Arial"/>
          <w:b/>
          <w:sz w:val="18"/>
          <w:szCs w:val="18"/>
        </w:rPr>
      </w:pPr>
      <w:r w:rsidRPr="005E7EAC">
        <w:rPr>
          <w:rFonts w:ascii="Verdana" w:hAnsi="Verdana" w:cs="Arial"/>
          <w:b/>
          <w:sz w:val="18"/>
          <w:szCs w:val="18"/>
        </w:rPr>
        <w:lastRenderedPageBreak/>
        <w:t>BES fonds</w:t>
      </w:r>
    </w:p>
    <w:p w:rsidRPr="005E7EAC" w:rsidR="00976ADF" w:rsidP="002803B4" w:rsidRDefault="00976ADF">
      <w:pPr>
        <w:spacing w:line="240" w:lineRule="atLeast"/>
        <w:rPr>
          <w:rFonts w:ascii="Verdana" w:hAnsi="Verdana" w:cs="Arial"/>
          <w:b/>
          <w:sz w:val="18"/>
          <w:szCs w:val="18"/>
        </w:rPr>
      </w:pPr>
    </w:p>
    <w:tbl>
      <w:tblPr>
        <w:tblW w:w="5000" w:type="pct"/>
        <w:tblCellMar>
          <w:left w:w="70" w:type="dxa"/>
          <w:right w:w="70" w:type="dxa"/>
        </w:tblCellMar>
        <w:tblLook w:val="04A0"/>
      </w:tblPr>
      <w:tblGrid>
        <w:gridCol w:w="5362"/>
        <w:gridCol w:w="770"/>
        <w:gridCol w:w="770"/>
        <w:gridCol w:w="770"/>
        <w:gridCol w:w="770"/>
        <w:gridCol w:w="770"/>
      </w:tblGrid>
      <w:tr w:rsidRPr="005E7EAC" w:rsidR="00BE3A01" w:rsidTr="00BE3A01">
        <w:trPr>
          <w:trHeight w:val="240"/>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UITGAVEN</w:t>
            </w: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r>
      <w:tr w:rsidRPr="005E7EAC" w:rsidR="00BE3A01" w:rsidTr="00BE3A01">
        <w:trPr>
          <w:trHeight w:val="240"/>
        </w:trPr>
        <w:tc>
          <w:tcPr>
            <w:tcW w:w="2909"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 </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2015</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2016</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2017</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2018</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2019</w:t>
            </w: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Stand Miljoenennota 2015 (excl. IS)</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31,9</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31,9</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31,9</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32,0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32,3</w:t>
            </w: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Technische mutaties</w:t>
            </w: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r>
      <w:tr w:rsidRPr="005E7EAC" w:rsidR="00BE3A01" w:rsidTr="00BE3A01">
        <w:trPr>
          <w:trHeight w:val="240"/>
        </w:trPr>
        <w:tc>
          <w:tcPr>
            <w:tcW w:w="2909" w:type="pct"/>
            <w:tcBorders>
              <w:top w:val="nil"/>
              <w:left w:val="nil"/>
              <w:bottom w:val="nil"/>
              <w:right w:val="nil"/>
            </w:tcBorders>
            <w:shd w:val="clear" w:color="auto" w:fill="auto"/>
            <w:hideMark/>
          </w:tcPr>
          <w:p w:rsidRPr="005E7EAC" w:rsidR="00BE3A01" w:rsidP="00BE3A01" w:rsidRDefault="00BE3A01">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1,7</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1,5</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0,8</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0,8</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0,4</w:t>
            </w: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1,7</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1,5</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0,8</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0,8</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0,4</w:t>
            </w:r>
          </w:p>
        </w:tc>
      </w:tr>
      <w:tr w:rsidRPr="005E7EAC" w:rsidR="00BE3A01" w:rsidTr="00BE3A01">
        <w:trPr>
          <w:trHeight w:val="180"/>
        </w:trPr>
        <w:tc>
          <w:tcPr>
            <w:tcW w:w="2909"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1,7</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1,5</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0,8</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0,8</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0,4</w:t>
            </w:r>
          </w:p>
        </w:tc>
      </w:tr>
      <w:tr w:rsidRPr="005E7EAC" w:rsidR="00BE3A01" w:rsidTr="00BE3A01">
        <w:trPr>
          <w:trHeight w:val="240"/>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Stand Voorjaarsnota 2015 (subtotaal)</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33,6</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33,4</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32,7</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32,7</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32,8</w:t>
            </w:r>
          </w:p>
        </w:tc>
      </w:tr>
      <w:tr w:rsidRPr="005E7EAC" w:rsidR="00BE3A01" w:rsidTr="00BE3A01">
        <w:trPr>
          <w:trHeight w:val="240"/>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Totaal Internationale samenwerking</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Stand Voorjaarsnota 2015</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33,6</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33,4</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32,7</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32,7</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32,8</w:t>
            </w: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r>
      <w:tr w:rsidRPr="005E7EAC" w:rsidR="00BE3A01" w:rsidTr="00BE3A01">
        <w:trPr>
          <w:trHeight w:val="240"/>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NIET-BELASTINGONTVANGSTEN</w:t>
            </w: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r>
      <w:tr w:rsidRPr="005E7EAC" w:rsidR="00BE3A01" w:rsidTr="00BE3A01">
        <w:trPr>
          <w:trHeight w:val="240"/>
        </w:trPr>
        <w:tc>
          <w:tcPr>
            <w:tcW w:w="2909"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 </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2015</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2016</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2017</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2018</w:t>
            </w:r>
          </w:p>
        </w:tc>
        <w:tc>
          <w:tcPr>
            <w:tcW w:w="418" w:type="pct"/>
            <w:tcBorders>
              <w:top w:val="single" w:color="000000" w:sz="8" w:space="0"/>
              <w:left w:val="nil"/>
              <w:bottom w:val="single" w:color="000000" w:sz="8" w:space="0"/>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2019</w:t>
            </w: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Stand Miljoenennota 2015 (excl. IS)</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r>
      <w:tr w:rsidRPr="005E7EAC" w:rsidR="00BE3A01" w:rsidTr="00BE3A01">
        <w:trPr>
          <w:trHeight w:val="180"/>
        </w:trPr>
        <w:tc>
          <w:tcPr>
            <w:tcW w:w="2909"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r>
      <w:tr w:rsidRPr="005E7EAC" w:rsidR="00BE3A01" w:rsidTr="00BE3A01">
        <w:trPr>
          <w:trHeight w:val="240"/>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c>
          <w:tcPr>
            <w:tcW w:w="418" w:type="pct"/>
            <w:tcBorders>
              <w:top w:val="nil"/>
              <w:left w:val="nil"/>
              <w:bottom w:val="nil"/>
              <w:right w:val="nil"/>
            </w:tcBorders>
            <w:shd w:val="clear" w:color="auto" w:fill="auto"/>
            <w:noWrap/>
            <w:vAlign w:val="bottom"/>
            <w:hideMark/>
          </w:tcPr>
          <w:p w:rsidRPr="005E7EAC" w:rsidR="00BE3A01" w:rsidP="00BE3A01" w:rsidRDefault="00BE3A01">
            <w:pPr>
              <w:rPr>
                <w:rFonts w:ascii="Verdana" w:hAnsi="Verdana"/>
                <w:color w:val="000000"/>
                <w:sz w:val="14"/>
                <w:szCs w:val="14"/>
              </w:rPr>
            </w:pP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Stand Voorjaarsnota 2015 (subtotaal)</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r>
      <w:tr w:rsidRPr="005E7EAC" w:rsidR="00BE3A01" w:rsidTr="00BE3A01">
        <w:trPr>
          <w:trHeight w:val="240"/>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Totaal Internationale samenwerking</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nil"/>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r>
      <w:tr w:rsidRPr="005E7EAC" w:rsidR="00BE3A01" w:rsidTr="00BE3A01">
        <w:trPr>
          <w:trHeight w:val="225"/>
        </w:trPr>
        <w:tc>
          <w:tcPr>
            <w:tcW w:w="2909" w:type="pct"/>
            <w:tcBorders>
              <w:top w:val="nil"/>
              <w:left w:val="nil"/>
              <w:bottom w:val="nil"/>
              <w:right w:val="nil"/>
            </w:tcBorders>
            <w:shd w:val="clear" w:color="auto" w:fill="auto"/>
            <w:hideMark/>
          </w:tcPr>
          <w:p w:rsidRPr="005E7EAC" w:rsidR="00BE3A01" w:rsidP="00BE3A01" w:rsidRDefault="00BE3A01">
            <w:pPr>
              <w:rPr>
                <w:rFonts w:ascii="Verdana" w:hAnsi="Verdana"/>
                <w:color w:val="000000"/>
                <w:sz w:val="18"/>
                <w:szCs w:val="18"/>
              </w:rPr>
            </w:pPr>
            <w:r w:rsidRPr="005E7EAC">
              <w:rPr>
                <w:rFonts w:ascii="Verdana" w:hAnsi="Verdana"/>
                <w:color w:val="000000"/>
                <w:sz w:val="18"/>
                <w:szCs w:val="18"/>
              </w:rPr>
              <w:t>Stand Voorjaarsnota 2015</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c>
          <w:tcPr>
            <w:tcW w:w="418" w:type="pct"/>
            <w:tcBorders>
              <w:top w:val="single" w:color="000000" w:sz="8" w:space="0"/>
              <w:left w:val="nil"/>
              <w:bottom w:val="nil"/>
              <w:right w:val="nil"/>
            </w:tcBorders>
            <w:shd w:val="clear" w:color="auto" w:fill="auto"/>
            <w:hideMark/>
          </w:tcPr>
          <w:p w:rsidRPr="005E7EAC" w:rsidR="00BE3A01" w:rsidP="00BE3A01" w:rsidRDefault="00BE3A01">
            <w:pPr>
              <w:jc w:val="right"/>
              <w:rPr>
                <w:rFonts w:ascii="Verdana" w:hAnsi="Verdana"/>
                <w:color w:val="000000"/>
                <w:sz w:val="18"/>
                <w:szCs w:val="18"/>
              </w:rPr>
            </w:pPr>
            <w:r w:rsidRPr="005E7EAC">
              <w:rPr>
                <w:rFonts w:ascii="Verdana" w:hAnsi="Verdana"/>
                <w:color w:val="000000"/>
                <w:sz w:val="18"/>
                <w:szCs w:val="18"/>
              </w:rPr>
              <w:t>0,0</w:t>
            </w:r>
          </w:p>
        </w:tc>
      </w:tr>
    </w:tbl>
    <w:p w:rsidRPr="005E7EAC" w:rsidR="004032A8" w:rsidRDefault="004032A8">
      <w:pPr>
        <w:spacing w:after="200" w:line="276" w:lineRule="auto"/>
        <w:rPr>
          <w:rFonts w:ascii="Verdana" w:hAnsi="Verdana" w:cs="Arial"/>
          <w:b/>
          <w:sz w:val="18"/>
          <w:szCs w:val="18"/>
        </w:rPr>
      </w:pPr>
      <w:r w:rsidRPr="005E7EAC">
        <w:rPr>
          <w:rFonts w:ascii="Verdana" w:hAnsi="Verdana" w:cs="Arial"/>
          <w:b/>
          <w:sz w:val="18"/>
          <w:szCs w:val="18"/>
        </w:rPr>
        <w:br w:type="page"/>
      </w:r>
    </w:p>
    <w:p w:rsidRPr="005E7EAC" w:rsidR="003D4BBD" w:rsidP="002803B4" w:rsidRDefault="003D4BBD">
      <w:pPr>
        <w:spacing w:line="240" w:lineRule="atLeast"/>
        <w:rPr>
          <w:rFonts w:ascii="Verdana" w:hAnsi="Verdana" w:cs="Arial"/>
          <w:b/>
          <w:sz w:val="18"/>
          <w:szCs w:val="18"/>
        </w:rPr>
      </w:pPr>
      <w:r w:rsidRPr="005E7EAC">
        <w:rPr>
          <w:rFonts w:ascii="Verdana" w:hAnsi="Verdana" w:cs="Arial"/>
          <w:b/>
          <w:sz w:val="18"/>
          <w:szCs w:val="18"/>
        </w:rPr>
        <w:lastRenderedPageBreak/>
        <w:t>Deltafonds</w:t>
      </w:r>
    </w:p>
    <w:p w:rsidRPr="005E7EAC" w:rsidR="00806D52" w:rsidP="002803B4" w:rsidRDefault="00806D52">
      <w:pPr>
        <w:spacing w:line="240" w:lineRule="atLeast"/>
        <w:rPr>
          <w:rFonts w:ascii="Verdana" w:hAnsi="Verdana" w:cs="Arial"/>
          <w:b/>
          <w:sz w:val="18"/>
          <w:szCs w:val="18"/>
        </w:rPr>
      </w:pPr>
    </w:p>
    <w:tbl>
      <w:tblPr>
        <w:tblW w:w="5000" w:type="pct"/>
        <w:tblCellMar>
          <w:left w:w="70" w:type="dxa"/>
          <w:right w:w="70" w:type="dxa"/>
        </w:tblCellMar>
        <w:tblLook w:val="04A0"/>
      </w:tblPr>
      <w:tblGrid>
        <w:gridCol w:w="4329"/>
        <w:gridCol w:w="977"/>
        <w:gridCol w:w="977"/>
        <w:gridCol w:w="977"/>
        <w:gridCol w:w="976"/>
        <w:gridCol w:w="976"/>
      </w:tblGrid>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UITGAVEN</w:t>
            </w: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r>
      <w:tr w:rsidRPr="005E7EAC" w:rsidR="008E58BF" w:rsidTr="008E58BF">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2019</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1.374,6</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1.275,8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1.161,0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1.055,2</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1.007,6</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Beleidsmatige mutaties</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ind w:firstLine="360" w:firstLineChars="200"/>
              <w:rPr>
                <w:rFonts w:ascii="Verdana" w:hAnsi="Verdana"/>
                <w:color w:val="000000"/>
                <w:sz w:val="18"/>
                <w:szCs w:val="18"/>
              </w:rPr>
            </w:pPr>
            <w:r w:rsidRPr="005E7EAC">
              <w:rPr>
                <w:rFonts w:ascii="Verdana" w:hAnsi="Verdana"/>
                <w:color w:val="000000"/>
                <w:sz w:val="18"/>
                <w:szCs w:val="18"/>
              </w:rPr>
              <w:t>Saldo 2014</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-53,2</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-53,2</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Technische mutaties</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ind w:firstLine="360" w:firstLineChars="200"/>
              <w:rPr>
                <w:rFonts w:ascii="Verdana" w:hAnsi="Verdana"/>
                <w:color w:val="000000"/>
                <w:sz w:val="18"/>
                <w:szCs w:val="18"/>
              </w:rPr>
            </w:pPr>
            <w:r w:rsidRPr="005E7EAC">
              <w:rPr>
                <w:rFonts w:ascii="Verdana" w:hAnsi="Verdana"/>
                <w:color w:val="000000"/>
                <w:sz w:val="18"/>
                <w:szCs w:val="18"/>
              </w:rPr>
              <w:t>Kasschuif deltafonds</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-75,0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75,0</w:t>
            </w: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0,4</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0,7</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0,4</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-74,6</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0,7</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75,4</w:t>
            </w:r>
          </w:p>
        </w:tc>
      </w:tr>
      <w:tr w:rsidRPr="005E7EAC" w:rsidR="008E58BF" w:rsidTr="008E58BF">
        <w:trPr>
          <w:trHeight w:val="180"/>
        </w:trPr>
        <w:tc>
          <w:tcPr>
            <w:tcW w:w="2348"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-127,8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0,7</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75,4</w:t>
            </w: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1.246,8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1.276,6</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1.161,8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1.056,0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1.083,0</w:t>
            </w: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1.246,8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1.276,6</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1.161,8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1.056,0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1.083,0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NIET-BELASTINGONTVANGSTEN</w:t>
            </w: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r>
      <w:tr w:rsidRPr="005E7EAC" w:rsidR="008E58BF" w:rsidTr="008E58BF">
        <w:trPr>
          <w:trHeight w:val="240"/>
        </w:trPr>
        <w:tc>
          <w:tcPr>
            <w:tcW w:w="2348"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 </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2015</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2016</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2017</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2018</w:t>
            </w:r>
          </w:p>
        </w:tc>
        <w:tc>
          <w:tcPr>
            <w:tcW w:w="530" w:type="pct"/>
            <w:tcBorders>
              <w:top w:val="single" w:color="000000" w:sz="8" w:space="0"/>
              <w:left w:val="nil"/>
              <w:bottom w:val="single" w:color="000000" w:sz="8" w:space="0"/>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2019</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Stand Miljoenennota 2015 (excl. IS)</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1.374,6</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1.275,8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1.161,0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1.055,2</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1.007,6</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Beleidsmatige mutaties</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ind w:firstLine="360" w:firstLineChars="200"/>
              <w:rPr>
                <w:rFonts w:ascii="Verdana" w:hAnsi="Verdana"/>
                <w:color w:val="000000"/>
                <w:sz w:val="18"/>
                <w:szCs w:val="18"/>
              </w:rPr>
            </w:pPr>
            <w:r w:rsidRPr="005E7EAC">
              <w:rPr>
                <w:rFonts w:ascii="Verdana" w:hAnsi="Verdana"/>
                <w:color w:val="000000"/>
                <w:sz w:val="18"/>
                <w:szCs w:val="18"/>
              </w:rPr>
              <w:t>Saldo 2014</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-15,3</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-15,3</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Technische mutaties</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ind w:firstLine="360" w:firstLineChars="200"/>
              <w:rPr>
                <w:rFonts w:ascii="Verdana" w:hAnsi="Verdana"/>
                <w:color w:val="000000"/>
                <w:sz w:val="18"/>
                <w:szCs w:val="18"/>
              </w:rPr>
            </w:pPr>
            <w:r w:rsidRPr="005E7EAC">
              <w:rPr>
                <w:rFonts w:ascii="Verdana" w:hAnsi="Verdana"/>
                <w:color w:val="000000"/>
                <w:sz w:val="18"/>
                <w:szCs w:val="18"/>
              </w:rPr>
              <w:t>Kasschuif deltafonds</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-75,0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75,0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0,4</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0,7</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0,4</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ind w:firstLine="360" w:firstLineChars="200"/>
              <w:rPr>
                <w:rFonts w:ascii="Verdana" w:hAnsi="Verdana"/>
                <w:color w:val="000000"/>
                <w:sz w:val="18"/>
                <w:szCs w:val="18"/>
              </w:rPr>
            </w:pPr>
            <w:r w:rsidRPr="005E7EAC">
              <w:rPr>
                <w:rFonts w:ascii="Verdana" w:hAnsi="Verdana"/>
                <w:color w:val="000000"/>
                <w:sz w:val="18"/>
                <w:szCs w:val="18"/>
              </w:rPr>
              <w:t>Saldo 2014</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-37,9</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-112,5</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0,7</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75,4</w:t>
            </w:r>
          </w:p>
        </w:tc>
      </w:tr>
      <w:tr w:rsidRPr="005E7EAC" w:rsidR="008E58BF" w:rsidTr="008E58BF">
        <w:trPr>
          <w:trHeight w:val="180"/>
        </w:trPr>
        <w:tc>
          <w:tcPr>
            <w:tcW w:w="2348"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-127,8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0,8</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0,7</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75,4</w:t>
            </w: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c>
          <w:tcPr>
            <w:tcW w:w="530" w:type="pct"/>
            <w:tcBorders>
              <w:top w:val="nil"/>
              <w:left w:val="nil"/>
              <w:bottom w:val="nil"/>
              <w:right w:val="nil"/>
            </w:tcBorders>
            <w:shd w:val="clear" w:color="auto" w:fill="auto"/>
            <w:noWrap/>
            <w:vAlign w:val="bottom"/>
            <w:hideMark/>
          </w:tcPr>
          <w:p w:rsidRPr="005E7EAC" w:rsidR="008E58BF" w:rsidP="008E58BF" w:rsidRDefault="008E58BF">
            <w:pPr>
              <w:rPr>
                <w:rFonts w:ascii="Verdana" w:hAnsi="Verdana"/>
                <w:color w:val="000000"/>
                <w:sz w:val="14"/>
                <w:szCs w:val="14"/>
              </w:rPr>
            </w:pP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Stand Voorjaarsnota 2015 (subtotaal)</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1.246,8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1.276,6</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1.161,8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1.056,0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1.083,0</w:t>
            </w:r>
          </w:p>
        </w:tc>
      </w:tr>
      <w:tr w:rsidRPr="005E7EAC" w:rsidR="008E58BF" w:rsidTr="008E58BF">
        <w:trPr>
          <w:trHeight w:val="240"/>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Totaal Internationale samenwerking</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c>
          <w:tcPr>
            <w:tcW w:w="530" w:type="pct"/>
            <w:tcBorders>
              <w:top w:val="nil"/>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0,0</w:t>
            </w:r>
          </w:p>
        </w:tc>
      </w:tr>
      <w:tr w:rsidRPr="005E7EAC" w:rsidR="008E58BF" w:rsidTr="008E58BF">
        <w:trPr>
          <w:trHeight w:val="225"/>
        </w:trPr>
        <w:tc>
          <w:tcPr>
            <w:tcW w:w="2348" w:type="pct"/>
            <w:tcBorders>
              <w:top w:val="nil"/>
              <w:left w:val="nil"/>
              <w:bottom w:val="nil"/>
              <w:right w:val="nil"/>
            </w:tcBorders>
            <w:shd w:val="clear" w:color="auto" w:fill="auto"/>
            <w:hideMark/>
          </w:tcPr>
          <w:p w:rsidRPr="005E7EAC" w:rsidR="008E58BF" w:rsidP="008E58BF" w:rsidRDefault="008E58BF">
            <w:pPr>
              <w:rPr>
                <w:rFonts w:ascii="Verdana" w:hAnsi="Verdana"/>
                <w:color w:val="000000"/>
                <w:sz w:val="18"/>
                <w:szCs w:val="18"/>
              </w:rPr>
            </w:pPr>
            <w:r w:rsidRPr="005E7EAC">
              <w:rPr>
                <w:rFonts w:ascii="Verdana" w:hAnsi="Verdana"/>
                <w:color w:val="000000"/>
                <w:sz w:val="18"/>
                <w:szCs w:val="18"/>
              </w:rPr>
              <w:t>Stand Voorjaarsnota 2015</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1.246,8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1.276,6</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1.161,8</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1.056,0</w:t>
            </w:r>
          </w:p>
        </w:tc>
        <w:tc>
          <w:tcPr>
            <w:tcW w:w="530" w:type="pct"/>
            <w:tcBorders>
              <w:top w:val="single" w:color="000000" w:sz="8" w:space="0"/>
              <w:left w:val="nil"/>
              <w:bottom w:val="nil"/>
              <w:right w:val="nil"/>
            </w:tcBorders>
            <w:shd w:val="clear" w:color="auto" w:fill="auto"/>
            <w:hideMark/>
          </w:tcPr>
          <w:p w:rsidRPr="005E7EAC" w:rsidR="008E58BF" w:rsidP="008E58BF" w:rsidRDefault="008E58BF">
            <w:pPr>
              <w:jc w:val="right"/>
              <w:rPr>
                <w:rFonts w:ascii="Verdana" w:hAnsi="Verdana"/>
                <w:color w:val="000000"/>
                <w:sz w:val="18"/>
                <w:szCs w:val="18"/>
              </w:rPr>
            </w:pPr>
            <w:r w:rsidRPr="005E7EAC">
              <w:rPr>
                <w:rFonts w:ascii="Verdana" w:hAnsi="Verdana"/>
                <w:color w:val="000000"/>
                <w:sz w:val="18"/>
                <w:szCs w:val="18"/>
              </w:rPr>
              <w:t>1.083,0</w:t>
            </w:r>
          </w:p>
        </w:tc>
      </w:tr>
    </w:tbl>
    <w:p w:rsidRPr="005E7EAC" w:rsidR="00D14FE6" w:rsidP="00D14FE6" w:rsidRDefault="00D14FE6">
      <w:pPr>
        <w:spacing w:line="240" w:lineRule="exact"/>
        <w:rPr>
          <w:rFonts w:ascii="Verdana" w:hAnsi="Verdana" w:cs="Arial"/>
          <w:b/>
          <w:sz w:val="18"/>
          <w:szCs w:val="18"/>
        </w:rPr>
      </w:pPr>
    </w:p>
    <w:p w:rsidRPr="005E7EAC" w:rsidR="00D14FE6" w:rsidP="00D14FE6" w:rsidRDefault="00D14FE6">
      <w:pPr>
        <w:spacing w:line="240" w:lineRule="exact"/>
        <w:rPr>
          <w:rFonts w:ascii="Verdana" w:hAnsi="Verdana" w:cs="Arial"/>
          <w:b/>
          <w:sz w:val="18"/>
          <w:szCs w:val="18"/>
        </w:rPr>
      </w:pPr>
    </w:p>
    <w:p w:rsidRPr="005E7EAC" w:rsidR="00D14FE6" w:rsidP="00D14FE6" w:rsidRDefault="00D14FE6">
      <w:pPr>
        <w:spacing w:line="240" w:lineRule="exact"/>
        <w:rPr>
          <w:rFonts w:ascii="Verdana" w:hAnsi="Verdana"/>
          <w:i/>
          <w:sz w:val="18"/>
          <w:szCs w:val="18"/>
        </w:rPr>
      </w:pPr>
      <w:r w:rsidRPr="005E7EAC">
        <w:rPr>
          <w:rFonts w:ascii="Verdana" w:hAnsi="Verdana"/>
          <w:i/>
          <w:sz w:val="18"/>
          <w:szCs w:val="18"/>
        </w:rPr>
        <w:t>Saldo 2014</w:t>
      </w:r>
    </w:p>
    <w:p w:rsidRPr="005E7EAC" w:rsidR="00D14FE6" w:rsidP="00D14FE6" w:rsidRDefault="00D14FE6">
      <w:pPr>
        <w:autoSpaceDE w:val="0"/>
        <w:autoSpaceDN w:val="0"/>
        <w:adjustRightInd w:val="0"/>
        <w:spacing w:line="240" w:lineRule="exact"/>
        <w:rPr>
          <w:rFonts w:ascii="Verdana" w:hAnsi="Verdana" w:cs="Univers"/>
          <w:sz w:val="18"/>
          <w:szCs w:val="18"/>
        </w:rPr>
      </w:pPr>
      <w:r w:rsidRPr="005E7EAC">
        <w:rPr>
          <w:rFonts w:ascii="Verdana" w:hAnsi="Verdana" w:cs="Univers"/>
          <w:sz w:val="18"/>
          <w:szCs w:val="18"/>
        </w:rPr>
        <w:t xml:space="preserve">Het nadelig saldo 2014 (uitgaven – ontvangsten: -37,9 mln.) wordt onttrokken aan de begroting van het Deltafonds. </w:t>
      </w:r>
    </w:p>
    <w:p w:rsidRPr="005E7EAC" w:rsidR="00D14FE6" w:rsidP="00D14FE6" w:rsidRDefault="00D14FE6">
      <w:pPr>
        <w:spacing w:line="240" w:lineRule="exact"/>
        <w:rPr>
          <w:rFonts w:ascii="Verdana" w:hAnsi="Verdana"/>
          <w:sz w:val="18"/>
          <w:szCs w:val="18"/>
        </w:rPr>
      </w:pPr>
    </w:p>
    <w:p w:rsidRPr="005E7EAC" w:rsidR="00D14FE6" w:rsidP="00D14FE6" w:rsidRDefault="00D14FE6">
      <w:pPr>
        <w:spacing w:line="240" w:lineRule="exact"/>
        <w:rPr>
          <w:rFonts w:ascii="Verdana" w:hAnsi="Verdana"/>
          <w:i/>
          <w:sz w:val="18"/>
          <w:szCs w:val="18"/>
        </w:rPr>
      </w:pPr>
      <w:r w:rsidRPr="005E7EAC">
        <w:rPr>
          <w:rFonts w:ascii="Verdana" w:hAnsi="Verdana"/>
          <w:i/>
          <w:sz w:val="18"/>
          <w:szCs w:val="18"/>
        </w:rPr>
        <w:t>Kasschuif Deltafonds</w:t>
      </w:r>
    </w:p>
    <w:p w:rsidRPr="005E7EAC" w:rsidR="00D14FE6" w:rsidP="00D14FE6" w:rsidRDefault="00D14FE6">
      <w:pPr>
        <w:spacing w:line="240" w:lineRule="exact"/>
        <w:rPr>
          <w:rFonts w:ascii="Verdana" w:hAnsi="Verdana"/>
          <w:sz w:val="18"/>
          <w:szCs w:val="18"/>
        </w:rPr>
      </w:pPr>
      <w:r w:rsidRPr="005E7EAC">
        <w:rPr>
          <w:rFonts w:ascii="Verdana" w:hAnsi="Verdana"/>
          <w:sz w:val="18"/>
          <w:szCs w:val="18"/>
        </w:rPr>
        <w:t xml:space="preserve">Op het Deltafonds lopen een aantal uitvoeringsprogramma’s af. Daarnaast zijn de deltabeslissingen genomen en is het nieuwe Hoogwaterbeschermingsprogramma opgestart. Om de programmering meer in lijn te brengen met het budget vindt er een kasschuif plaats. </w:t>
      </w:r>
    </w:p>
    <w:p w:rsidRPr="005E7EAC" w:rsidR="004A0092" w:rsidP="00D14FE6" w:rsidRDefault="004A0092">
      <w:pPr>
        <w:spacing w:line="240" w:lineRule="exact"/>
        <w:rPr>
          <w:rFonts w:ascii="Verdana" w:hAnsi="Verdana" w:cs="Arial"/>
          <w:b/>
          <w:sz w:val="18"/>
          <w:szCs w:val="18"/>
        </w:rPr>
      </w:pPr>
      <w:r w:rsidRPr="005E7EAC">
        <w:rPr>
          <w:rFonts w:ascii="Verdana" w:hAnsi="Verdana" w:cs="Arial"/>
          <w:b/>
          <w:sz w:val="18"/>
          <w:szCs w:val="18"/>
        </w:rPr>
        <w:br w:type="page"/>
      </w:r>
    </w:p>
    <w:p w:rsidRPr="005E7EAC" w:rsidR="00305C19" w:rsidP="002803B4" w:rsidRDefault="00305C19">
      <w:pPr>
        <w:spacing w:line="240" w:lineRule="atLeast"/>
        <w:rPr>
          <w:rFonts w:ascii="Verdana" w:hAnsi="Verdana" w:cs="Arial"/>
          <w:b/>
          <w:sz w:val="18"/>
          <w:szCs w:val="18"/>
        </w:rPr>
      </w:pPr>
      <w:r w:rsidRPr="005E7EAC">
        <w:rPr>
          <w:rFonts w:ascii="Verdana" w:hAnsi="Verdana" w:cs="Arial"/>
          <w:b/>
          <w:sz w:val="18"/>
          <w:szCs w:val="18"/>
        </w:rPr>
        <w:lastRenderedPageBreak/>
        <w:t>Prijsbijstelling</w:t>
      </w:r>
    </w:p>
    <w:p w:rsidRPr="005E7EAC" w:rsidR="003A4311" w:rsidP="002803B4" w:rsidRDefault="003A4311">
      <w:pPr>
        <w:spacing w:line="240" w:lineRule="atLeast"/>
        <w:rPr>
          <w:rFonts w:ascii="Verdana" w:hAnsi="Verdana" w:cs="Arial"/>
          <w:b/>
          <w:sz w:val="18"/>
          <w:szCs w:val="18"/>
        </w:rPr>
      </w:pPr>
    </w:p>
    <w:tbl>
      <w:tblPr>
        <w:tblW w:w="5000" w:type="pct"/>
        <w:tblCellMar>
          <w:left w:w="70" w:type="dxa"/>
          <w:right w:w="70" w:type="dxa"/>
        </w:tblCellMar>
        <w:tblLook w:val="04A0"/>
      </w:tblPr>
      <w:tblGrid>
        <w:gridCol w:w="4406"/>
        <w:gridCol w:w="826"/>
        <w:gridCol w:w="995"/>
        <w:gridCol w:w="995"/>
        <w:gridCol w:w="995"/>
        <w:gridCol w:w="995"/>
      </w:tblGrid>
      <w:tr w:rsidRPr="005E7EAC" w:rsidR="00661F94" w:rsidTr="00661F94">
        <w:trPr>
          <w:trHeight w:val="240"/>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UITGAVEN</w:t>
            </w:r>
          </w:p>
        </w:tc>
        <w:tc>
          <w:tcPr>
            <w:tcW w:w="448"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r>
      <w:tr w:rsidRPr="005E7EAC" w:rsidR="00661F94" w:rsidTr="00661F94">
        <w:trPr>
          <w:trHeight w:val="240"/>
        </w:trPr>
        <w:tc>
          <w:tcPr>
            <w:tcW w:w="2391"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 </w:t>
            </w:r>
          </w:p>
        </w:tc>
        <w:tc>
          <w:tcPr>
            <w:tcW w:w="448"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2015</w:t>
            </w:r>
          </w:p>
        </w:tc>
        <w:tc>
          <w:tcPr>
            <w:tcW w:w="540"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2016</w:t>
            </w:r>
          </w:p>
        </w:tc>
        <w:tc>
          <w:tcPr>
            <w:tcW w:w="540"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2017</w:t>
            </w:r>
          </w:p>
        </w:tc>
        <w:tc>
          <w:tcPr>
            <w:tcW w:w="540"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2018</w:t>
            </w:r>
          </w:p>
        </w:tc>
        <w:tc>
          <w:tcPr>
            <w:tcW w:w="540"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2019</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Stand Miljoenennota 2015 (excl. IS)</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520,1</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1075,2</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1516,5</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1946,2</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2391,4</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Mee- en tegenvallers</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360" w:firstLineChars="200"/>
              <w:rPr>
                <w:rFonts w:ascii="Verdana" w:hAnsi="Verdana"/>
                <w:color w:val="000000"/>
                <w:sz w:val="18"/>
                <w:szCs w:val="18"/>
              </w:rPr>
            </w:pPr>
            <w:r w:rsidRPr="005E7EAC">
              <w:rPr>
                <w:rFonts w:ascii="Verdana" w:hAnsi="Verdana"/>
                <w:color w:val="000000"/>
                <w:sz w:val="18"/>
                <w:szCs w:val="18"/>
              </w:rPr>
              <w:t>Nominale ontwikkeling</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-372,8</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-427,6</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-406,9</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-383,5</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-364,6</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-3,1</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-4,4</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-4,7</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-4,6</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-5,2</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40"/>
        </w:trPr>
        <w:tc>
          <w:tcPr>
            <w:tcW w:w="2391" w:type="pct"/>
            <w:tcBorders>
              <w:top w:val="nil"/>
              <w:left w:val="nil"/>
              <w:bottom w:val="nil"/>
              <w:right w:val="nil"/>
            </w:tcBorders>
            <w:shd w:val="clear" w:color="auto" w:fill="auto"/>
            <w:hideMark/>
          </w:tcPr>
          <w:p w:rsidRPr="005E7EAC" w:rsidR="00661F94" w:rsidP="00661F94" w:rsidRDefault="00661F94">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-2,2</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-5,1</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-9,7</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-12,0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-14,4</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448"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-378,1</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-437,1</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-421,3</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-400,1</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-384,2</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Technische mutaties</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360" w:firstLineChars="200"/>
              <w:rPr>
                <w:rFonts w:ascii="Verdana" w:hAnsi="Verdana"/>
                <w:color w:val="000000"/>
                <w:sz w:val="18"/>
                <w:szCs w:val="18"/>
              </w:rPr>
            </w:pPr>
            <w:r w:rsidRPr="005E7EAC">
              <w:rPr>
                <w:rFonts w:ascii="Verdana" w:hAnsi="Verdana"/>
                <w:color w:val="000000"/>
                <w:sz w:val="18"/>
                <w:szCs w:val="18"/>
              </w:rPr>
              <w:t>Uitkeren tranche 2015</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-94,4</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-93,3</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-94,1</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-92,0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-92,7</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-2,3</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-2,2</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-2,1</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-2,1</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-2,1</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-0,3</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-0,2</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-0,3</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-0,3</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-0,3</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ind w:firstLine="360" w:firstLineChars="200"/>
              <w:rPr>
                <w:rFonts w:ascii="Verdana" w:hAnsi="Verdana"/>
                <w:color w:val="000000"/>
                <w:sz w:val="18"/>
                <w:szCs w:val="18"/>
              </w:rPr>
            </w:pPr>
            <w:r w:rsidRPr="005E7EAC">
              <w:rPr>
                <w:rFonts w:ascii="Verdana" w:hAnsi="Verdana"/>
                <w:color w:val="000000"/>
                <w:sz w:val="18"/>
                <w:szCs w:val="18"/>
              </w:rPr>
              <w:t>Nominale ontwikkeling</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-15,2</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-44,3</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-58,4</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-55,8</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-49,3</w:t>
            </w:r>
          </w:p>
        </w:tc>
      </w:tr>
      <w:tr w:rsidRPr="005E7EAC" w:rsidR="00661F94" w:rsidTr="00661F94">
        <w:trPr>
          <w:trHeight w:val="240"/>
        </w:trPr>
        <w:tc>
          <w:tcPr>
            <w:tcW w:w="2391" w:type="pct"/>
            <w:tcBorders>
              <w:top w:val="nil"/>
              <w:left w:val="nil"/>
              <w:bottom w:val="nil"/>
              <w:right w:val="nil"/>
            </w:tcBorders>
            <w:shd w:val="clear" w:color="auto" w:fill="auto"/>
            <w:hideMark/>
          </w:tcPr>
          <w:p w:rsidRPr="005E7EAC" w:rsidR="00661F94" w:rsidP="00661F94" w:rsidRDefault="00661F94">
            <w:pPr>
              <w:ind w:firstLine="360" w:firstLineChars="200"/>
              <w:rPr>
                <w:rFonts w:ascii="Verdana" w:hAnsi="Verdana"/>
                <w:color w:val="000000"/>
                <w:sz w:val="18"/>
                <w:szCs w:val="18"/>
              </w:rPr>
            </w:pPr>
            <w:r w:rsidRPr="005E7EAC">
              <w:rPr>
                <w:rFonts w:ascii="Verdana" w:hAnsi="Verdana"/>
                <w:color w:val="000000"/>
                <w:sz w:val="18"/>
                <w:szCs w:val="18"/>
              </w:rPr>
              <w:t>Uitkeren tranche 2015</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-29,9</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-29,4</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-30,4</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-30,8</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-30,9</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448"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-142,1</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-169,4</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-185,3</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-181,0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-175,3</w:t>
            </w:r>
          </w:p>
        </w:tc>
      </w:tr>
      <w:tr w:rsidRPr="005E7EAC" w:rsidR="00661F94" w:rsidTr="00661F94">
        <w:trPr>
          <w:trHeight w:val="180"/>
        </w:trPr>
        <w:tc>
          <w:tcPr>
            <w:tcW w:w="2391"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-520,1</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-606,5</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-606,6</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-581,2</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-559,6</w:t>
            </w:r>
          </w:p>
        </w:tc>
      </w:tr>
      <w:tr w:rsidRPr="005E7EAC" w:rsidR="00661F94" w:rsidTr="00661F94">
        <w:trPr>
          <w:trHeight w:val="240"/>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Stand Voorjaarsnota 2015 (subtotaal)</w:t>
            </w:r>
          </w:p>
        </w:tc>
        <w:tc>
          <w:tcPr>
            <w:tcW w:w="448"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468,7</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910,0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1365,0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1831,8</w:t>
            </w:r>
          </w:p>
        </w:tc>
      </w:tr>
      <w:tr w:rsidRPr="005E7EAC" w:rsidR="00661F94" w:rsidTr="00661F94">
        <w:trPr>
          <w:trHeight w:val="240"/>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Totaal Internationale samenwerking</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Stand Voorjaarsnota 2015</w:t>
            </w:r>
          </w:p>
        </w:tc>
        <w:tc>
          <w:tcPr>
            <w:tcW w:w="448"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468,7</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910,0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1365,0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1831,8</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448"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r>
      <w:tr w:rsidRPr="005E7EAC" w:rsidR="00661F94" w:rsidTr="00661F94">
        <w:trPr>
          <w:trHeight w:val="240"/>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NIET-BELASTINGONTVANGSTEN</w:t>
            </w:r>
          </w:p>
        </w:tc>
        <w:tc>
          <w:tcPr>
            <w:tcW w:w="448"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r>
      <w:tr w:rsidRPr="005E7EAC" w:rsidR="00661F94" w:rsidTr="00661F94">
        <w:trPr>
          <w:trHeight w:val="240"/>
        </w:trPr>
        <w:tc>
          <w:tcPr>
            <w:tcW w:w="2391"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 </w:t>
            </w:r>
          </w:p>
        </w:tc>
        <w:tc>
          <w:tcPr>
            <w:tcW w:w="448"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2015</w:t>
            </w:r>
          </w:p>
        </w:tc>
        <w:tc>
          <w:tcPr>
            <w:tcW w:w="540"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2016</w:t>
            </w:r>
          </w:p>
        </w:tc>
        <w:tc>
          <w:tcPr>
            <w:tcW w:w="540"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2017</w:t>
            </w:r>
          </w:p>
        </w:tc>
        <w:tc>
          <w:tcPr>
            <w:tcW w:w="540"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2018</w:t>
            </w:r>
          </w:p>
        </w:tc>
        <w:tc>
          <w:tcPr>
            <w:tcW w:w="540" w:type="pct"/>
            <w:tcBorders>
              <w:top w:val="single" w:color="000000" w:sz="8" w:space="0"/>
              <w:left w:val="nil"/>
              <w:bottom w:val="single" w:color="000000" w:sz="8" w:space="0"/>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2019</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Stand Miljoenennota 2015 (excl. IS)</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r>
      <w:tr w:rsidRPr="005E7EAC" w:rsidR="00661F94" w:rsidTr="00661F94">
        <w:trPr>
          <w:trHeight w:val="180"/>
        </w:trPr>
        <w:tc>
          <w:tcPr>
            <w:tcW w:w="2391"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r>
      <w:tr w:rsidRPr="005E7EAC" w:rsidR="00661F94" w:rsidTr="00661F94">
        <w:trPr>
          <w:trHeight w:val="240"/>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p>
        </w:tc>
        <w:tc>
          <w:tcPr>
            <w:tcW w:w="448"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661F94" w:rsidP="00661F94" w:rsidRDefault="00661F94">
            <w:pPr>
              <w:rPr>
                <w:rFonts w:ascii="Verdana" w:hAnsi="Verdana"/>
                <w:color w:val="000000"/>
                <w:sz w:val="14"/>
                <w:szCs w:val="14"/>
              </w:rPr>
            </w:pP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Stand Voorjaarsnota 2015 (subtotaal)</w:t>
            </w:r>
          </w:p>
        </w:tc>
        <w:tc>
          <w:tcPr>
            <w:tcW w:w="448"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r>
      <w:tr w:rsidRPr="005E7EAC" w:rsidR="00661F94" w:rsidTr="00661F94">
        <w:trPr>
          <w:trHeight w:val="240"/>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Totaal Internationale samenwerking</w:t>
            </w:r>
          </w:p>
        </w:tc>
        <w:tc>
          <w:tcPr>
            <w:tcW w:w="448"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r>
      <w:tr w:rsidRPr="005E7EAC" w:rsidR="00661F94" w:rsidTr="00661F94">
        <w:trPr>
          <w:trHeight w:val="225"/>
        </w:trPr>
        <w:tc>
          <w:tcPr>
            <w:tcW w:w="2391" w:type="pct"/>
            <w:tcBorders>
              <w:top w:val="nil"/>
              <w:left w:val="nil"/>
              <w:bottom w:val="nil"/>
              <w:right w:val="nil"/>
            </w:tcBorders>
            <w:shd w:val="clear" w:color="auto" w:fill="auto"/>
            <w:hideMark/>
          </w:tcPr>
          <w:p w:rsidRPr="005E7EAC" w:rsidR="00661F94" w:rsidP="00661F94" w:rsidRDefault="00661F94">
            <w:pPr>
              <w:rPr>
                <w:rFonts w:ascii="Verdana" w:hAnsi="Verdana"/>
                <w:color w:val="000000"/>
                <w:sz w:val="18"/>
                <w:szCs w:val="18"/>
              </w:rPr>
            </w:pPr>
            <w:r w:rsidRPr="005E7EAC">
              <w:rPr>
                <w:rFonts w:ascii="Verdana" w:hAnsi="Verdana"/>
                <w:color w:val="000000"/>
                <w:sz w:val="18"/>
                <w:szCs w:val="18"/>
              </w:rPr>
              <w:t>Stand Voorjaarsnota 2015</w:t>
            </w:r>
          </w:p>
        </w:tc>
        <w:tc>
          <w:tcPr>
            <w:tcW w:w="448"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661F94" w:rsidP="00661F94" w:rsidRDefault="00661F94">
            <w:pPr>
              <w:jc w:val="right"/>
              <w:rPr>
                <w:rFonts w:ascii="Verdana" w:hAnsi="Verdana"/>
                <w:color w:val="000000"/>
                <w:sz w:val="18"/>
                <w:szCs w:val="18"/>
              </w:rPr>
            </w:pPr>
            <w:r w:rsidRPr="005E7EAC">
              <w:rPr>
                <w:rFonts w:ascii="Verdana" w:hAnsi="Verdana"/>
                <w:color w:val="000000"/>
                <w:sz w:val="18"/>
                <w:szCs w:val="18"/>
              </w:rPr>
              <w:t>0,0</w:t>
            </w:r>
          </w:p>
        </w:tc>
      </w:tr>
    </w:tbl>
    <w:p w:rsidRPr="005E7EAC" w:rsidR="000A3D01" w:rsidP="000A3D01" w:rsidRDefault="000A3D01">
      <w:pPr>
        <w:spacing w:line="240" w:lineRule="exact"/>
        <w:rPr>
          <w:rFonts w:ascii="Verdana" w:hAnsi="Verdana"/>
          <w:i/>
          <w:sz w:val="18"/>
          <w:szCs w:val="18"/>
        </w:rPr>
      </w:pPr>
    </w:p>
    <w:p w:rsidRPr="005E7EAC" w:rsidR="000A3D01" w:rsidP="000A3D01" w:rsidRDefault="000A3D01">
      <w:pPr>
        <w:spacing w:line="240" w:lineRule="exact"/>
        <w:rPr>
          <w:rFonts w:ascii="Verdana" w:hAnsi="Verdana"/>
          <w:i/>
          <w:sz w:val="18"/>
          <w:szCs w:val="18"/>
        </w:rPr>
      </w:pPr>
    </w:p>
    <w:p w:rsidRPr="005E7EAC" w:rsidR="000A3D01" w:rsidP="000A3D01" w:rsidRDefault="000A3D01">
      <w:pPr>
        <w:spacing w:line="240" w:lineRule="exact"/>
        <w:rPr>
          <w:rFonts w:ascii="Verdana" w:hAnsi="Verdana"/>
          <w:i/>
          <w:sz w:val="18"/>
          <w:szCs w:val="18"/>
        </w:rPr>
      </w:pPr>
      <w:r w:rsidRPr="005E7EAC">
        <w:rPr>
          <w:rFonts w:ascii="Verdana" w:hAnsi="Verdana"/>
          <w:i/>
          <w:sz w:val="18"/>
          <w:szCs w:val="18"/>
        </w:rPr>
        <w:t>Nominale ontwikkeling</w:t>
      </w:r>
    </w:p>
    <w:p w:rsidRPr="005E7EAC" w:rsidR="000A3D01" w:rsidP="000A3D01" w:rsidRDefault="000A3D01">
      <w:pPr>
        <w:spacing w:line="240" w:lineRule="exact"/>
        <w:rPr>
          <w:rFonts w:ascii="Verdana" w:hAnsi="Verdana"/>
          <w:sz w:val="18"/>
          <w:szCs w:val="18"/>
        </w:rPr>
      </w:pPr>
      <w:r w:rsidRPr="005E7EAC">
        <w:rPr>
          <w:rFonts w:ascii="Verdana" w:hAnsi="Verdana"/>
          <w:sz w:val="18"/>
          <w:szCs w:val="18"/>
        </w:rPr>
        <w:t>De prijsbijstelling is naar beneden bijgesteld als gevolg van de lagere prijsontwikkeling in de CEP-raming van het CPB. Vanwege de kleine omvang van de bijstelling valt deze op de kaders Zorg en Sociale Zekerheid onder de post ‘diversen’.</w:t>
      </w:r>
    </w:p>
    <w:p w:rsidRPr="005E7EAC" w:rsidR="000A3D01" w:rsidP="000A3D01" w:rsidRDefault="000A3D01">
      <w:pPr>
        <w:spacing w:line="240" w:lineRule="exact"/>
        <w:rPr>
          <w:rFonts w:ascii="Verdana" w:hAnsi="Verdana"/>
          <w:i/>
          <w:sz w:val="18"/>
          <w:szCs w:val="18"/>
        </w:rPr>
      </w:pPr>
    </w:p>
    <w:p w:rsidRPr="005E7EAC" w:rsidR="000A3D01" w:rsidP="000A3D01" w:rsidRDefault="000A3D01">
      <w:pPr>
        <w:spacing w:line="240" w:lineRule="exact"/>
        <w:rPr>
          <w:rFonts w:ascii="Verdana" w:hAnsi="Verdana"/>
          <w:i/>
          <w:sz w:val="18"/>
          <w:szCs w:val="18"/>
        </w:rPr>
      </w:pPr>
      <w:r w:rsidRPr="005E7EAC">
        <w:rPr>
          <w:rFonts w:ascii="Verdana" w:hAnsi="Verdana"/>
          <w:i/>
          <w:sz w:val="18"/>
          <w:szCs w:val="18"/>
        </w:rPr>
        <w:t>Uitkeren tranche 2015</w:t>
      </w:r>
    </w:p>
    <w:p w:rsidRPr="005E7EAC" w:rsidR="000A3D01" w:rsidP="000A3D01" w:rsidRDefault="000A3D01">
      <w:pPr>
        <w:spacing w:line="240" w:lineRule="exact"/>
        <w:rPr>
          <w:rFonts w:ascii="Verdana" w:hAnsi="Verdana"/>
          <w:sz w:val="18"/>
          <w:szCs w:val="18"/>
        </w:rPr>
      </w:pPr>
      <w:r w:rsidRPr="005E7EAC">
        <w:rPr>
          <w:rFonts w:ascii="Verdana" w:hAnsi="Verdana"/>
          <w:sz w:val="18"/>
          <w:szCs w:val="18"/>
        </w:rPr>
        <w:t>De prijsbijstelling tranche 2015 is uitgekeerd aan de departementen. Vanwege de kleine omvang van de uitkering valt deze op de kaders Zorg en Sociale Zekerheid onder de post ‘diversen’ (technische mutaties).</w:t>
      </w:r>
    </w:p>
    <w:p w:rsidRPr="005E7EAC" w:rsidR="004032A8" w:rsidP="000A3D01" w:rsidRDefault="004032A8">
      <w:pPr>
        <w:spacing w:line="240" w:lineRule="exact"/>
        <w:rPr>
          <w:rFonts w:ascii="Verdana" w:hAnsi="Verdana"/>
          <w:sz w:val="18"/>
          <w:szCs w:val="18"/>
        </w:rPr>
      </w:pPr>
      <w:r w:rsidRPr="005E7EAC">
        <w:rPr>
          <w:rFonts w:ascii="Verdana" w:hAnsi="Verdana"/>
          <w:sz w:val="18"/>
          <w:szCs w:val="18"/>
        </w:rPr>
        <w:br w:type="page"/>
      </w:r>
    </w:p>
    <w:p w:rsidRPr="005E7EAC" w:rsidR="0017433D" w:rsidP="002803B4" w:rsidRDefault="00C11F96">
      <w:pPr>
        <w:spacing w:line="240" w:lineRule="atLeast"/>
        <w:rPr>
          <w:rFonts w:ascii="Verdana" w:hAnsi="Verdana" w:cs="Arial"/>
          <w:b/>
          <w:sz w:val="18"/>
          <w:szCs w:val="18"/>
        </w:rPr>
      </w:pPr>
      <w:r w:rsidRPr="005E7EAC">
        <w:rPr>
          <w:rFonts w:ascii="Verdana" w:hAnsi="Verdana" w:cs="Arial"/>
          <w:b/>
          <w:sz w:val="18"/>
          <w:szCs w:val="18"/>
        </w:rPr>
        <w:lastRenderedPageBreak/>
        <w:t>Arbeidsvoorwaarden</w:t>
      </w:r>
    </w:p>
    <w:p w:rsidRPr="005E7EAC" w:rsidR="00842976" w:rsidP="002803B4" w:rsidRDefault="00842976">
      <w:pPr>
        <w:spacing w:line="240" w:lineRule="atLeast"/>
        <w:rPr>
          <w:rFonts w:ascii="Verdana" w:hAnsi="Verdana" w:cs="Arial"/>
          <w:b/>
          <w:sz w:val="18"/>
          <w:szCs w:val="18"/>
        </w:rPr>
      </w:pPr>
    </w:p>
    <w:tbl>
      <w:tblPr>
        <w:tblW w:w="5000" w:type="pct"/>
        <w:tblCellMar>
          <w:left w:w="70" w:type="dxa"/>
          <w:right w:w="70" w:type="dxa"/>
        </w:tblCellMar>
        <w:tblLook w:val="04A0"/>
      </w:tblPr>
      <w:tblGrid>
        <w:gridCol w:w="4406"/>
        <w:gridCol w:w="826"/>
        <w:gridCol w:w="995"/>
        <w:gridCol w:w="995"/>
        <w:gridCol w:w="995"/>
        <w:gridCol w:w="995"/>
      </w:tblGrid>
      <w:tr w:rsidRPr="005E7EAC" w:rsidR="000B034D" w:rsidTr="000B034D">
        <w:trPr>
          <w:trHeight w:val="240"/>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UITGAVEN</w:t>
            </w:r>
          </w:p>
        </w:tc>
        <w:tc>
          <w:tcPr>
            <w:tcW w:w="448"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r>
      <w:tr w:rsidRPr="005E7EAC" w:rsidR="000B034D" w:rsidTr="000B034D">
        <w:trPr>
          <w:trHeight w:val="240"/>
        </w:trPr>
        <w:tc>
          <w:tcPr>
            <w:tcW w:w="2391"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 </w:t>
            </w:r>
          </w:p>
        </w:tc>
        <w:tc>
          <w:tcPr>
            <w:tcW w:w="448"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2015</w:t>
            </w:r>
          </w:p>
        </w:tc>
        <w:tc>
          <w:tcPr>
            <w:tcW w:w="540"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2016</w:t>
            </w:r>
          </w:p>
        </w:tc>
        <w:tc>
          <w:tcPr>
            <w:tcW w:w="540"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2017</w:t>
            </w:r>
          </w:p>
        </w:tc>
        <w:tc>
          <w:tcPr>
            <w:tcW w:w="540"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2018</w:t>
            </w:r>
          </w:p>
        </w:tc>
        <w:tc>
          <w:tcPr>
            <w:tcW w:w="540"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2019</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Stand Miljoenennota 2015 (excl. IS)</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590,2</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1140,2</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1740,4</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2302,0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2875,6</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Mee- en tegenvallers</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Nominale ontwikkeling</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-372,8</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49,7</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32,9</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32,2</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22,8</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Nominale ontwikkeling</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-20,6</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4,9</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0,3</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-4,3</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-8,7</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40"/>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Nominale ontwikkeling</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-3,9</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-5,4</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-12,1</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-15,1</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-19,4</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448"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-397,3</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49,2</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21,1</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12,8</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-5,3</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Technische mutaties</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Loonbijstelling tranche 2015</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-189,1</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-186,4</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-184,8</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-183,7</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-183,0</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-2,5</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-2,3</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-2,1</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-1,9</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-0,3</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-0,2</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-0,4</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-0,3</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-0,3</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ind w:firstLine="180" w:firstLineChars="100"/>
              <w:rPr>
                <w:rFonts w:ascii="Verdana" w:hAnsi="Verdana"/>
                <w:color w:val="000000"/>
                <w:sz w:val="18"/>
                <w:szCs w:val="18"/>
              </w:rPr>
            </w:pPr>
            <w:r w:rsidRPr="005E7EAC">
              <w:rPr>
                <w:rFonts w:ascii="Verdana" w:hAnsi="Verdana"/>
                <w:color w:val="000000"/>
                <w:sz w:val="18"/>
                <w:szCs w:val="18"/>
              </w:rPr>
              <w:t>Niet tot een ijklijn behorend</w:t>
            </w: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40"/>
        </w:trPr>
        <w:tc>
          <w:tcPr>
            <w:tcW w:w="2391" w:type="pct"/>
            <w:tcBorders>
              <w:top w:val="nil"/>
              <w:left w:val="nil"/>
              <w:bottom w:val="nil"/>
              <w:right w:val="nil"/>
            </w:tcBorders>
            <w:shd w:val="clear" w:color="auto" w:fill="auto"/>
            <w:hideMark/>
          </w:tcPr>
          <w:p w:rsidRPr="005E7EAC" w:rsidR="000B034D" w:rsidP="000B034D" w:rsidRDefault="000B034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-0,2</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-0,4</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-0,5</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-0,4</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448"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-192,9</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-189,1</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-187,7</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-186,5</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-185,6</w:t>
            </w:r>
          </w:p>
        </w:tc>
      </w:tr>
      <w:tr w:rsidRPr="005E7EAC" w:rsidR="000B034D" w:rsidTr="000B034D">
        <w:trPr>
          <w:trHeight w:val="180"/>
        </w:trPr>
        <w:tc>
          <w:tcPr>
            <w:tcW w:w="2391"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-590,2</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-139,9</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-166,6</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-173,8</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-190,9</w:t>
            </w:r>
          </w:p>
        </w:tc>
      </w:tr>
      <w:tr w:rsidRPr="005E7EAC" w:rsidR="000B034D" w:rsidTr="000B034D">
        <w:trPr>
          <w:trHeight w:val="240"/>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Stand Voorjaarsnota 2015 (subtotaal)</w:t>
            </w:r>
          </w:p>
        </w:tc>
        <w:tc>
          <w:tcPr>
            <w:tcW w:w="448"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1000,3</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1573,7</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2128,2</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2684,7</w:t>
            </w:r>
          </w:p>
        </w:tc>
      </w:tr>
      <w:tr w:rsidRPr="005E7EAC" w:rsidR="000B034D" w:rsidTr="000B034D">
        <w:trPr>
          <w:trHeight w:val="240"/>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Totaal Internationale samenwerking</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Stand Voorjaarsnota 2015</w:t>
            </w:r>
          </w:p>
        </w:tc>
        <w:tc>
          <w:tcPr>
            <w:tcW w:w="448"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1000,3</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1573,7</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2128,2</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2684,7</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448"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r>
      <w:tr w:rsidRPr="005E7EAC" w:rsidR="000B034D" w:rsidTr="000B034D">
        <w:trPr>
          <w:trHeight w:val="240"/>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NIET-BELASTINGONTVANGSTEN</w:t>
            </w:r>
          </w:p>
        </w:tc>
        <w:tc>
          <w:tcPr>
            <w:tcW w:w="448"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540"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r>
      <w:tr w:rsidRPr="005E7EAC" w:rsidR="000B034D" w:rsidTr="000B034D">
        <w:trPr>
          <w:trHeight w:val="240"/>
        </w:trPr>
        <w:tc>
          <w:tcPr>
            <w:tcW w:w="2391"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 </w:t>
            </w:r>
          </w:p>
        </w:tc>
        <w:tc>
          <w:tcPr>
            <w:tcW w:w="448"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2015</w:t>
            </w:r>
          </w:p>
        </w:tc>
        <w:tc>
          <w:tcPr>
            <w:tcW w:w="540"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2016</w:t>
            </w:r>
          </w:p>
        </w:tc>
        <w:tc>
          <w:tcPr>
            <w:tcW w:w="540"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2017</w:t>
            </w:r>
          </w:p>
        </w:tc>
        <w:tc>
          <w:tcPr>
            <w:tcW w:w="540"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2018</w:t>
            </w:r>
          </w:p>
        </w:tc>
        <w:tc>
          <w:tcPr>
            <w:tcW w:w="540" w:type="pct"/>
            <w:tcBorders>
              <w:top w:val="single" w:color="000000" w:sz="8" w:space="0"/>
              <w:left w:val="nil"/>
              <w:bottom w:val="single" w:color="000000" w:sz="8" w:space="0"/>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2019</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Stand Miljoenennota 2015 (excl. IS)</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r>
      <w:tr w:rsidRPr="005E7EAC" w:rsidR="000B034D" w:rsidTr="000B034D">
        <w:trPr>
          <w:trHeight w:val="180"/>
        </w:trPr>
        <w:tc>
          <w:tcPr>
            <w:tcW w:w="2391"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r>
      <w:tr w:rsidRPr="005E7EAC" w:rsidR="000B034D" w:rsidTr="000B034D">
        <w:trPr>
          <w:trHeight w:val="240"/>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p>
        </w:tc>
        <w:tc>
          <w:tcPr>
            <w:tcW w:w="448"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c>
          <w:tcPr>
            <w:tcW w:w="540" w:type="pct"/>
            <w:tcBorders>
              <w:top w:val="nil"/>
              <w:left w:val="nil"/>
              <w:bottom w:val="nil"/>
              <w:right w:val="nil"/>
            </w:tcBorders>
            <w:shd w:val="clear" w:color="auto" w:fill="auto"/>
            <w:noWrap/>
            <w:vAlign w:val="bottom"/>
            <w:hideMark/>
          </w:tcPr>
          <w:p w:rsidRPr="005E7EAC" w:rsidR="000B034D" w:rsidP="000B034D" w:rsidRDefault="000B034D">
            <w:pPr>
              <w:rPr>
                <w:rFonts w:ascii="Verdana" w:hAnsi="Verdana"/>
                <w:color w:val="000000"/>
                <w:sz w:val="14"/>
                <w:szCs w:val="14"/>
              </w:rPr>
            </w:pP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Stand Voorjaarsnota 2015 (subtotaal)</w:t>
            </w:r>
          </w:p>
        </w:tc>
        <w:tc>
          <w:tcPr>
            <w:tcW w:w="448"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r>
      <w:tr w:rsidRPr="005E7EAC" w:rsidR="000B034D" w:rsidTr="000B034D">
        <w:trPr>
          <w:trHeight w:val="240"/>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Totaal Internationale samenwerking</w:t>
            </w:r>
          </w:p>
        </w:tc>
        <w:tc>
          <w:tcPr>
            <w:tcW w:w="448"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nil"/>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r>
      <w:tr w:rsidRPr="005E7EAC" w:rsidR="000B034D" w:rsidTr="000B034D">
        <w:trPr>
          <w:trHeight w:val="225"/>
        </w:trPr>
        <w:tc>
          <w:tcPr>
            <w:tcW w:w="2391" w:type="pct"/>
            <w:tcBorders>
              <w:top w:val="nil"/>
              <w:left w:val="nil"/>
              <w:bottom w:val="nil"/>
              <w:right w:val="nil"/>
            </w:tcBorders>
            <w:shd w:val="clear" w:color="auto" w:fill="auto"/>
            <w:hideMark/>
          </w:tcPr>
          <w:p w:rsidRPr="005E7EAC" w:rsidR="000B034D" w:rsidP="000B034D" w:rsidRDefault="000B034D">
            <w:pPr>
              <w:rPr>
                <w:rFonts w:ascii="Verdana" w:hAnsi="Verdana"/>
                <w:color w:val="000000"/>
                <w:sz w:val="18"/>
                <w:szCs w:val="18"/>
              </w:rPr>
            </w:pPr>
            <w:r w:rsidRPr="005E7EAC">
              <w:rPr>
                <w:rFonts w:ascii="Verdana" w:hAnsi="Verdana"/>
                <w:color w:val="000000"/>
                <w:sz w:val="18"/>
                <w:szCs w:val="18"/>
              </w:rPr>
              <w:t>Stand Voorjaarsnota 2015</w:t>
            </w:r>
          </w:p>
        </w:tc>
        <w:tc>
          <w:tcPr>
            <w:tcW w:w="448"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c>
          <w:tcPr>
            <w:tcW w:w="540" w:type="pct"/>
            <w:tcBorders>
              <w:top w:val="single" w:color="000000" w:sz="8" w:space="0"/>
              <w:left w:val="nil"/>
              <w:bottom w:val="nil"/>
              <w:right w:val="nil"/>
            </w:tcBorders>
            <w:shd w:val="clear" w:color="auto" w:fill="auto"/>
            <w:hideMark/>
          </w:tcPr>
          <w:p w:rsidRPr="005E7EAC" w:rsidR="000B034D" w:rsidP="000B034D" w:rsidRDefault="000B034D">
            <w:pPr>
              <w:jc w:val="right"/>
              <w:rPr>
                <w:rFonts w:ascii="Verdana" w:hAnsi="Verdana"/>
                <w:color w:val="000000"/>
                <w:sz w:val="18"/>
                <w:szCs w:val="18"/>
              </w:rPr>
            </w:pPr>
            <w:r w:rsidRPr="005E7EAC">
              <w:rPr>
                <w:rFonts w:ascii="Verdana" w:hAnsi="Verdana"/>
                <w:color w:val="000000"/>
                <w:sz w:val="18"/>
                <w:szCs w:val="18"/>
              </w:rPr>
              <w:t>0,0</w:t>
            </w:r>
          </w:p>
        </w:tc>
      </w:tr>
    </w:tbl>
    <w:p w:rsidRPr="005E7EAC" w:rsidR="00905C20" w:rsidP="00905C20" w:rsidRDefault="00905C20">
      <w:pPr>
        <w:spacing w:line="240" w:lineRule="atLeast"/>
        <w:rPr>
          <w:rFonts w:ascii="Verdana" w:hAnsi="Verdana" w:cs="Courier New"/>
          <w:i/>
          <w:sz w:val="18"/>
          <w:szCs w:val="18"/>
        </w:rPr>
      </w:pPr>
    </w:p>
    <w:p w:rsidRPr="005E7EAC" w:rsidR="00905C20" w:rsidP="00905C20" w:rsidRDefault="00905C20">
      <w:pPr>
        <w:spacing w:line="240" w:lineRule="exact"/>
        <w:rPr>
          <w:rFonts w:ascii="Verdana" w:hAnsi="Verdana"/>
          <w:i/>
          <w:sz w:val="18"/>
          <w:szCs w:val="18"/>
        </w:rPr>
      </w:pPr>
    </w:p>
    <w:p w:rsidRPr="005E7EAC" w:rsidR="00905C20" w:rsidP="00905C20" w:rsidRDefault="00905C20">
      <w:pPr>
        <w:spacing w:line="240" w:lineRule="exact"/>
        <w:rPr>
          <w:rFonts w:ascii="Verdana" w:hAnsi="Verdana"/>
          <w:i/>
          <w:sz w:val="18"/>
          <w:szCs w:val="18"/>
        </w:rPr>
      </w:pPr>
      <w:r w:rsidRPr="005E7EAC">
        <w:rPr>
          <w:rFonts w:ascii="Verdana" w:hAnsi="Verdana"/>
          <w:i/>
          <w:sz w:val="18"/>
          <w:szCs w:val="18"/>
        </w:rPr>
        <w:t xml:space="preserve">Nominale ontwikkeling </w:t>
      </w:r>
    </w:p>
    <w:p w:rsidRPr="005E7EAC" w:rsidR="00905C20" w:rsidP="00905C20" w:rsidRDefault="00905C20">
      <w:pPr>
        <w:spacing w:line="240" w:lineRule="exact"/>
        <w:rPr>
          <w:rFonts w:ascii="Verdana" w:hAnsi="Verdana"/>
          <w:sz w:val="18"/>
          <w:szCs w:val="18"/>
        </w:rPr>
      </w:pPr>
      <w:r w:rsidRPr="005E7EAC">
        <w:rPr>
          <w:rFonts w:ascii="Verdana" w:hAnsi="Verdana"/>
          <w:sz w:val="18"/>
          <w:szCs w:val="18"/>
        </w:rPr>
        <w:t xml:space="preserve">Ten opzichte van de vorige Miljoenennota wordt de loonontwikkeling voor 2015 en 2019 nu lager geraamd en voor 2016 tot en met 2018 hoger. Deze ontwikkeling volgt uit de macro-bijstellingen van het CPB. </w:t>
      </w:r>
    </w:p>
    <w:p w:rsidRPr="005E7EAC" w:rsidR="00905C20" w:rsidP="00905C20" w:rsidRDefault="00905C20">
      <w:pPr>
        <w:spacing w:line="240" w:lineRule="exact"/>
        <w:rPr>
          <w:rFonts w:ascii="Verdana" w:hAnsi="Verdana"/>
          <w:i/>
          <w:sz w:val="18"/>
          <w:szCs w:val="18"/>
        </w:rPr>
      </w:pPr>
    </w:p>
    <w:p w:rsidRPr="005E7EAC" w:rsidR="00905C20" w:rsidP="00905C20" w:rsidRDefault="00905C20">
      <w:pPr>
        <w:spacing w:line="240" w:lineRule="exact"/>
        <w:rPr>
          <w:rFonts w:ascii="Verdana" w:hAnsi="Verdana"/>
          <w:sz w:val="18"/>
          <w:szCs w:val="18"/>
        </w:rPr>
      </w:pPr>
      <w:r w:rsidRPr="005E7EAC">
        <w:rPr>
          <w:rFonts w:ascii="Verdana" w:hAnsi="Verdana"/>
          <w:i/>
          <w:sz w:val="18"/>
          <w:szCs w:val="18"/>
        </w:rPr>
        <w:t xml:space="preserve">Loonbijstelling tranche 2015 </w:t>
      </w:r>
      <w:r w:rsidRPr="005E7EAC">
        <w:rPr>
          <w:rFonts w:ascii="Verdana" w:hAnsi="Verdana"/>
          <w:i/>
          <w:sz w:val="18"/>
          <w:szCs w:val="18"/>
        </w:rPr>
        <w:br/>
      </w:r>
      <w:r w:rsidRPr="005E7EAC">
        <w:rPr>
          <w:rFonts w:ascii="Verdana" w:hAnsi="Verdana"/>
          <w:sz w:val="18"/>
          <w:szCs w:val="18"/>
        </w:rPr>
        <w:t xml:space="preserve">De loonbijstelling tranche 2015 bestaat uit een vergoeding voor de contractloonstijging en sociale lasten voor de werkgever en is overgeboekt naar de departementale begrotingen. </w:t>
      </w:r>
    </w:p>
    <w:p w:rsidRPr="005E7EAC" w:rsidR="004032A8" w:rsidP="00905C20" w:rsidRDefault="004032A8">
      <w:pPr>
        <w:spacing w:line="240" w:lineRule="exact"/>
        <w:rPr>
          <w:rFonts w:ascii="Verdana" w:hAnsi="Verdana"/>
          <w:sz w:val="18"/>
          <w:szCs w:val="18"/>
        </w:rPr>
      </w:pPr>
      <w:r w:rsidRPr="005E7EAC">
        <w:rPr>
          <w:rFonts w:ascii="Verdana" w:hAnsi="Verdana"/>
          <w:sz w:val="18"/>
          <w:szCs w:val="18"/>
        </w:rPr>
        <w:br w:type="page"/>
      </w:r>
    </w:p>
    <w:p w:rsidRPr="005E7EAC" w:rsidR="00B92FA0" w:rsidP="002803B4" w:rsidRDefault="00A601CB">
      <w:pPr>
        <w:spacing w:line="240" w:lineRule="atLeast"/>
        <w:rPr>
          <w:rFonts w:ascii="Verdana" w:hAnsi="Verdana" w:cs="Arial"/>
          <w:b/>
          <w:sz w:val="18"/>
          <w:szCs w:val="18"/>
        </w:rPr>
      </w:pPr>
      <w:r w:rsidRPr="005E7EAC">
        <w:rPr>
          <w:rFonts w:ascii="Verdana" w:hAnsi="Verdana" w:cs="Arial"/>
          <w:b/>
          <w:sz w:val="18"/>
          <w:szCs w:val="18"/>
        </w:rPr>
        <w:lastRenderedPageBreak/>
        <w:t>Koppeling uitkeringen</w:t>
      </w:r>
    </w:p>
    <w:p w:rsidRPr="005E7EAC" w:rsidR="00D16C23" w:rsidP="002803B4" w:rsidRDefault="00D16C23">
      <w:pPr>
        <w:spacing w:line="240" w:lineRule="atLeast"/>
        <w:rPr>
          <w:rFonts w:ascii="Verdana" w:hAnsi="Verdana" w:cs="Arial"/>
          <w:b/>
          <w:sz w:val="18"/>
          <w:szCs w:val="18"/>
        </w:rPr>
      </w:pPr>
    </w:p>
    <w:tbl>
      <w:tblPr>
        <w:tblW w:w="5000" w:type="pct"/>
        <w:tblCellMar>
          <w:left w:w="70" w:type="dxa"/>
          <w:right w:w="70" w:type="dxa"/>
        </w:tblCellMar>
        <w:tblLook w:val="04A0"/>
      </w:tblPr>
      <w:tblGrid>
        <w:gridCol w:w="5002"/>
        <w:gridCol w:w="842"/>
        <w:gridCol w:w="842"/>
        <w:gridCol w:w="842"/>
        <w:gridCol w:w="842"/>
        <w:gridCol w:w="842"/>
      </w:tblGrid>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UITGAVEN</w:t>
            </w: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r>
      <w:tr w:rsidRPr="005E7EAC" w:rsidR="006B6EBD" w:rsidTr="006B6EBD">
        <w:trPr>
          <w:trHeight w:val="240"/>
        </w:trPr>
        <w:tc>
          <w:tcPr>
            <w:tcW w:w="2715"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 </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2015</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2016</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2017</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2018</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2019</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Stand Miljoenennota 2015 (excl. IS)</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115,9</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305,4</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513,1</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701,8</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867,2</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Mee- en tegenvallers</w:t>
            </w: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ind w:firstLine="360" w:firstLineChars="200"/>
              <w:rPr>
                <w:rFonts w:ascii="Verdana" w:hAnsi="Verdana"/>
                <w:color w:val="000000"/>
                <w:sz w:val="18"/>
                <w:szCs w:val="18"/>
              </w:rPr>
            </w:pPr>
            <w:r w:rsidRPr="005E7EAC">
              <w:rPr>
                <w:rFonts w:ascii="Verdana" w:hAnsi="Verdana"/>
                <w:color w:val="000000"/>
                <w:sz w:val="18"/>
                <w:szCs w:val="18"/>
              </w:rPr>
              <w:t>Nominale ontwikkeling</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-30,6</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-45,8</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-47,3</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-59,0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-61,0</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-30,6</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-45,8</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-47,3</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-59,0</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-61,0</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Technische mutaties</w:t>
            </w: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ind w:firstLine="360" w:firstLineChars="200"/>
              <w:rPr>
                <w:rFonts w:ascii="Verdana" w:hAnsi="Verdana"/>
                <w:color w:val="000000"/>
                <w:sz w:val="18"/>
                <w:szCs w:val="18"/>
              </w:rPr>
            </w:pPr>
            <w:r w:rsidRPr="005E7EAC">
              <w:rPr>
                <w:rFonts w:ascii="Verdana" w:hAnsi="Verdana"/>
                <w:color w:val="000000"/>
                <w:sz w:val="18"/>
                <w:szCs w:val="18"/>
              </w:rPr>
              <w:t>Brutering</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2,1</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-23,0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-23,9</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-34,1</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-33,8</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2,1</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-23,0</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-23,9</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-34,1</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-33,8</w:t>
            </w:r>
          </w:p>
        </w:tc>
      </w:tr>
      <w:tr w:rsidRPr="005E7EAC" w:rsidR="006B6EBD" w:rsidTr="006B6EBD">
        <w:trPr>
          <w:trHeight w:val="180"/>
        </w:trPr>
        <w:tc>
          <w:tcPr>
            <w:tcW w:w="2715"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-28,5</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-68,8</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-71,2</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-93,1</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-94,8</w:t>
            </w:r>
          </w:p>
        </w:tc>
      </w:tr>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Stand Voorjaarsnota 2015 (subtotaal)</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87,4</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236,6</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441,9</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608,7</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772,5</w:t>
            </w:r>
          </w:p>
        </w:tc>
      </w:tr>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Totaal Internationale samenwerking</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Stand Voorjaarsnota 2015</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87,4</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236,6</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441,9</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608,7</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772,5</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r>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NIET-BELASTINGONTVANGSTEN</w:t>
            </w: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r>
      <w:tr w:rsidRPr="005E7EAC" w:rsidR="006B6EBD" w:rsidTr="006B6EBD">
        <w:trPr>
          <w:trHeight w:val="240"/>
        </w:trPr>
        <w:tc>
          <w:tcPr>
            <w:tcW w:w="2715"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 </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2015</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2016</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2017</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2018</w:t>
            </w:r>
          </w:p>
        </w:tc>
        <w:tc>
          <w:tcPr>
            <w:tcW w:w="457" w:type="pct"/>
            <w:tcBorders>
              <w:top w:val="single" w:color="000000" w:sz="8" w:space="0"/>
              <w:left w:val="nil"/>
              <w:bottom w:val="single" w:color="000000" w:sz="8" w:space="0"/>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2019</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Stand Miljoenennota 2015 (excl. IS)</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5,1</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9,8</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14,5</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19,3</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Mee- en tegenvallers</w:t>
            </w: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-4,1</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-4,2</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-4,3</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-4,3</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-4,1</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-4,2</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-4,3</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-4,3</w:t>
            </w:r>
          </w:p>
        </w:tc>
      </w:tr>
      <w:tr w:rsidRPr="005E7EAC" w:rsidR="006B6EBD" w:rsidTr="006B6EBD">
        <w:trPr>
          <w:trHeight w:val="180"/>
        </w:trPr>
        <w:tc>
          <w:tcPr>
            <w:tcW w:w="2715"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Totaal mutaties sinds Miljoenennota 2015</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-4,1</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-4,2</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-4,3</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-4,3</w:t>
            </w:r>
          </w:p>
        </w:tc>
      </w:tr>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c>
          <w:tcPr>
            <w:tcW w:w="457" w:type="pct"/>
            <w:tcBorders>
              <w:top w:val="nil"/>
              <w:left w:val="nil"/>
              <w:bottom w:val="nil"/>
              <w:right w:val="nil"/>
            </w:tcBorders>
            <w:shd w:val="clear" w:color="auto" w:fill="auto"/>
            <w:noWrap/>
            <w:vAlign w:val="bottom"/>
            <w:hideMark/>
          </w:tcPr>
          <w:p w:rsidRPr="005E7EAC" w:rsidR="006B6EBD" w:rsidP="006B6EBD" w:rsidRDefault="006B6EBD">
            <w:pPr>
              <w:rPr>
                <w:rFonts w:ascii="Verdana" w:hAnsi="Verdana"/>
                <w:color w:val="000000"/>
                <w:sz w:val="14"/>
                <w:szCs w:val="14"/>
              </w:rPr>
            </w:pP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Stand Voorjaarsnota 2015 (subtotaal)</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1,0</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5,6</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10,3</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15,0</w:t>
            </w:r>
          </w:p>
        </w:tc>
      </w:tr>
      <w:tr w:rsidRPr="005E7EAC" w:rsidR="006B6EBD" w:rsidTr="006B6EBD">
        <w:trPr>
          <w:trHeight w:val="240"/>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Totaal Internationale samenwerking</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nil"/>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r>
      <w:tr w:rsidRPr="005E7EAC" w:rsidR="006B6EBD" w:rsidTr="006B6EBD">
        <w:trPr>
          <w:trHeight w:val="225"/>
        </w:trPr>
        <w:tc>
          <w:tcPr>
            <w:tcW w:w="2715" w:type="pct"/>
            <w:tcBorders>
              <w:top w:val="nil"/>
              <w:left w:val="nil"/>
              <w:bottom w:val="nil"/>
              <w:right w:val="nil"/>
            </w:tcBorders>
            <w:shd w:val="clear" w:color="auto" w:fill="auto"/>
            <w:hideMark/>
          </w:tcPr>
          <w:p w:rsidRPr="005E7EAC" w:rsidR="006B6EBD" w:rsidP="006B6EBD" w:rsidRDefault="006B6EBD">
            <w:pPr>
              <w:rPr>
                <w:rFonts w:ascii="Verdana" w:hAnsi="Verdana"/>
                <w:color w:val="000000"/>
                <w:sz w:val="18"/>
                <w:szCs w:val="18"/>
              </w:rPr>
            </w:pPr>
            <w:r w:rsidRPr="005E7EAC">
              <w:rPr>
                <w:rFonts w:ascii="Verdana" w:hAnsi="Verdana"/>
                <w:color w:val="000000"/>
                <w:sz w:val="18"/>
                <w:szCs w:val="18"/>
              </w:rPr>
              <w:t>Stand Voorjaarsnota 2015</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0,0</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1,0</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5,6</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10,3</w:t>
            </w:r>
          </w:p>
        </w:tc>
        <w:tc>
          <w:tcPr>
            <w:tcW w:w="457" w:type="pct"/>
            <w:tcBorders>
              <w:top w:val="single" w:color="000000" w:sz="8" w:space="0"/>
              <w:left w:val="nil"/>
              <w:bottom w:val="nil"/>
              <w:right w:val="nil"/>
            </w:tcBorders>
            <w:shd w:val="clear" w:color="auto" w:fill="auto"/>
            <w:hideMark/>
          </w:tcPr>
          <w:p w:rsidRPr="005E7EAC" w:rsidR="006B6EBD" w:rsidP="006B6EBD" w:rsidRDefault="006B6EBD">
            <w:pPr>
              <w:jc w:val="right"/>
              <w:rPr>
                <w:rFonts w:ascii="Verdana" w:hAnsi="Verdana"/>
                <w:color w:val="000000"/>
                <w:sz w:val="18"/>
                <w:szCs w:val="18"/>
              </w:rPr>
            </w:pPr>
            <w:r w:rsidRPr="005E7EAC">
              <w:rPr>
                <w:rFonts w:ascii="Verdana" w:hAnsi="Verdana"/>
                <w:color w:val="000000"/>
                <w:sz w:val="18"/>
                <w:szCs w:val="18"/>
              </w:rPr>
              <w:t>15,0</w:t>
            </w:r>
          </w:p>
        </w:tc>
      </w:tr>
    </w:tbl>
    <w:p w:rsidRPr="005E7EAC" w:rsidR="00F10137" w:rsidP="00C10A57" w:rsidRDefault="00F10137">
      <w:pPr>
        <w:spacing w:line="276" w:lineRule="auto"/>
        <w:rPr>
          <w:rFonts w:ascii="Verdana" w:hAnsi="Verdana" w:cs="Courier New"/>
          <w:sz w:val="18"/>
          <w:szCs w:val="18"/>
        </w:rPr>
      </w:pPr>
    </w:p>
    <w:p w:rsidRPr="005E7EAC" w:rsidR="003D4DB2" w:rsidP="00C10A57" w:rsidRDefault="003D4DB2">
      <w:pPr>
        <w:spacing w:line="276" w:lineRule="auto"/>
        <w:rPr>
          <w:rFonts w:ascii="Verdana" w:hAnsi="Verdana" w:cs="Courier New"/>
          <w:sz w:val="18"/>
          <w:szCs w:val="18"/>
        </w:rPr>
      </w:pPr>
    </w:p>
    <w:p w:rsidRPr="005E7EAC" w:rsidR="003D4DB2" w:rsidP="003D4DB2" w:rsidRDefault="003D4DB2">
      <w:pPr>
        <w:spacing w:line="240" w:lineRule="atLeast"/>
        <w:rPr>
          <w:rFonts w:ascii="Verdana" w:hAnsi="Verdana" w:cs="Courier New"/>
          <w:i/>
          <w:sz w:val="18"/>
          <w:szCs w:val="18"/>
        </w:rPr>
      </w:pPr>
      <w:r w:rsidRPr="005E7EAC">
        <w:rPr>
          <w:rFonts w:ascii="Verdana" w:hAnsi="Verdana" w:cs="Courier New"/>
          <w:i/>
          <w:sz w:val="18"/>
          <w:szCs w:val="18"/>
        </w:rPr>
        <w:t>Nominale ontwikkeling</w:t>
      </w:r>
    </w:p>
    <w:p w:rsidRPr="005E7EAC" w:rsidR="003D4DB2" w:rsidP="003D4DB2" w:rsidRDefault="003D4DB2">
      <w:pPr>
        <w:spacing w:line="240" w:lineRule="atLeast"/>
        <w:rPr>
          <w:rFonts w:ascii="Verdana" w:hAnsi="Verdana" w:cs="Courier New"/>
          <w:sz w:val="18"/>
          <w:szCs w:val="18"/>
        </w:rPr>
      </w:pPr>
      <w:r w:rsidRPr="005E7EAC">
        <w:rPr>
          <w:rFonts w:ascii="Verdana" w:hAnsi="Verdana" w:cs="Courier New"/>
          <w:sz w:val="18"/>
          <w:szCs w:val="18"/>
        </w:rPr>
        <w:t>De mutatie betreft een aanpassing in de geraamde nominale ontwikkeling binnen het SZA-kader als gevolg van CPB-ramingen van loon- en prijsontwikkeling en als gevolg van mutaties in uitgavenramingen binnen de Sociale Zekerheid.</w:t>
      </w:r>
    </w:p>
    <w:p w:rsidRPr="005E7EAC" w:rsidR="003D4DB2" w:rsidP="003D4DB2" w:rsidRDefault="003D4DB2">
      <w:pPr>
        <w:spacing w:line="240" w:lineRule="atLeast"/>
        <w:rPr>
          <w:rFonts w:ascii="Verdana" w:hAnsi="Verdana" w:cs="Courier New"/>
          <w:i/>
          <w:sz w:val="18"/>
          <w:szCs w:val="18"/>
        </w:rPr>
      </w:pPr>
    </w:p>
    <w:p w:rsidRPr="005E7EAC" w:rsidR="003D4DB2" w:rsidP="003D4DB2" w:rsidRDefault="003D4DB2">
      <w:pPr>
        <w:spacing w:line="240" w:lineRule="atLeast"/>
        <w:rPr>
          <w:rFonts w:ascii="Verdana" w:hAnsi="Verdana" w:cs="Courier New"/>
          <w:i/>
          <w:sz w:val="18"/>
          <w:szCs w:val="18"/>
        </w:rPr>
      </w:pPr>
      <w:r w:rsidRPr="005E7EAC">
        <w:rPr>
          <w:rFonts w:ascii="Verdana" w:hAnsi="Verdana" w:cs="Courier New"/>
          <w:i/>
          <w:sz w:val="18"/>
          <w:szCs w:val="18"/>
        </w:rPr>
        <w:t>Brutering</w:t>
      </w:r>
    </w:p>
    <w:p w:rsidRPr="005E7EAC" w:rsidR="003D4DB2" w:rsidP="003D4DB2" w:rsidRDefault="003D4DB2">
      <w:pPr>
        <w:spacing w:line="240" w:lineRule="atLeast"/>
        <w:rPr>
          <w:rFonts w:ascii="Verdana" w:hAnsi="Verdana" w:cs="Courier New"/>
          <w:sz w:val="18"/>
          <w:szCs w:val="18"/>
        </w:rPr>
      </w:pPr>
      <w:r w:rsidRPr="005E7EAC">
        <w:rPr>
          <w:rFonts w:ascii="Verdana" w:hAnsi="Verdana" w:cs="Courier New"/>
          <w:sz w:val="18"/>
          <w:szCs w:val="18"/>
        </w:rPr>
        <w:t>Diverse uitkeringen zijn netto gekoppeld aan het netto minimumloon, maar kennen een ander bruto-netto traject dan het minimumloon. Wijzigingen in het bruto-netto traject van het minimumloon leiden tot aanpassing van het netto minimumloon. De uitkeringen die netto zijn gekoppeld, worden evenredig aangepast maar door het andere bruto-netto traject kan de bruto uitkering een afwijkende ontwikkeling vertonen dan die van het bruto mimimumloon. Het effect hiervan op de uitkeringslasten wordt het bruteringseffect genoemd. Het uitgavenkader SZA is voor dit effect gecorrigeerd.</w:t>
      </w:r>
    </w:p>
    <w:p w:rsidRPr="005E7EAC" w:rsidR="00435346" w:rsidP="00CF07CB" w:rsidRDefault="00B92FA0">
      <w:pPr>
        <w:spacing w:line="240" w:lineRule="atLeast"/>
        <w:rPr>
          <w:rFonts w:ascii="Verdana" w:hAnsi="Verdana" w:cs="Courier New"/>
          <w:i/>
          <w:sz w:val="18"/>
          <w:szCs w:val="18"/>
        </w:rPr>
      </w:pPr>
      <w:r w:rsidRPr="005E7EAC">
        <w:rPr>
          <w:rFonts w:ascii="Verdana" w:hAnsi="Verdana" w:cs="Courier New"/>
          <w:i/>
          <w:sz w:val="18"/>
          <w:szCs w:val="18"/>
        </w:rPr>
        <w:br w:type="page"/>
      </w:r>
    </w:p>
    <w:p w:rsidRPr="005E7EAC" w:rsidR="00E16284" w:rsidP="002803B4" w:rsidRDefault="00982A96">
      <w:pPr>
        <w:spacing w:line="240" w:lineRule="atLeast"/>
        <w:rPr>
          <w:rFonts w:ascii="Verdana" w:hAnsi="Verdana" w:cs="Arial"/>
          <w:b/>
          <w:sz w:val="18"/>
          <w:szCs w:val="18"/>
        </w:rPr>
      </w:pPr>
      <w:r w:rsidRPr="005E7EAC">
        <w:rPr>
          <w:rFonts w:ascii="Verdana" w:hAnsi="Verdana" w:cs="Arial"/>
          <w:b/>
          <w:sz w:val="18"/>
          <w:szCs w:val="18"/>
        </w:rPr>
        <w:lastRenderedPageBreak/>
        <w:t>Aanv</w:t>
      </w:r>
      <w:r w:rsidRPr="005E7EAC" w:rsidR="002065F2">
        <w:rPr>
          <w:rFonts w:ascii="Verdana" w:hAnsi="Verdana" w:cs="Arial"/>
          <w:b/>
          <w:sz w:val="18"/>
          <w:szCs w:val="18"/>
        </w:rPr>
        <w:t>ullende P</w:t>
      </w:r>
      <w:r w:rsidRPr="005E7EAC">
        <w:rPr>
          <w:rFonts w:ascii="Verdana" w:hAnsi="Verdana" w:cs="Arial"/>
          <w:b/>
          <w:sz w:val="18"/>
          <w:szCs w:val="18"/>
        </w:rPr>
        <w:t>ost</w:t>
      </w:r>
    </w:p>
    <w:p w:rsidRPr="005E7EAC" w:rsidR="00D16C23" w:rsidP="002803B4" w:rsidRDefault="00D16C23">
      <w:pPr>
        <w:spacing w:line="240" w:lineRule="atLeast"/>
        <w:rPr>
          <w:rFonts w:ascii="Verdana" w:hAnsi="Verdana" w:cs="Arial"/>
          <w:b/>
          <w:sz w:val="18"/>
          <w:szCs w:val="18"/>
        </w:rPr>
      </w:pPr>
    </w:p>
    <w:tbl>
      <w:tblPr>
        <w:tblW w:w="5000" w:type="pct"/>
        <w:tblCellMar>
          <w:left w:w="70" w:type="dxa"/>
          <w:right w:w="70" w:type="dxa"/>
        </w:tblCellMar>
        <w:tblLook w:val="04A0"/>
      </w:tblPr>
      <w:tblGrid>
        <w:gridCol w:w="4533"/>
        <w:gridCol w:w="1071"/>
        <w:gridCol w:w="818"/>
        <w:gridCol w:w="818"/>
        <w:gridCol w:w="986"/>
        <w:gridCol w:w="986"/>
      </w:tblGrid>
      <w:tr w:rsidRPr="005E7EAC" w:rsidR="00DD1A3B" w:rsidTr="00DD1A3B">
        <w:trPr>
          <w:trHeight w:val="240"/>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UITGAVEN</w:t>
            </w:r>
          </w:p>
        </w:tc>
        <w:tc>
          <w:tcPr>
            <w:tcW w:w="581"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444"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444"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35"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35"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r>
      <w:tr w:rsidRPr="005E7EAC" w:rsidR="00DD1A3B" w:rsidTr="00DD1A3B">
        <w:trPr>
          <w:trHeight w:val="240"/>
        </w:trPr>
        <w:tc>
          <w:tcPr>
            <w:tcW w:w="2460"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 </w:t>
            </w:r>
          </w:p>
        </w:tc>
        <w:tc>
          <w:tcPr>
            <w:tcW w:w="581"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2015</w:t>
            </w:r>
          </w:p>
        </w:tc>
        <w:tc>
          <w:tcPr>
            <w:tcW w:w="444"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2016</w:t>
            </w:r>
          </w:p>
        </w:tc>
        <w:tc>
          <w:tcPr>
            <w:tcW w:w="444"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2017</w:t>
            </w:r>
          </w:p>
        </w:tc>
        <w:tc>
          <w:tcPr>
            <w:tcW w:w="535"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2018</w:t>
            </w:r>
          </w:p>
        </w:tc>
        <w:tc>
          <w:tcPr>
            <w:tcW w:w="535"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2019</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Stand Miljoenennota 2015 (excl. IS)</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761,4</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703,8</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856,1</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1121,8</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1095,0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Beleidsmatige mutaties</w:t>
            </w: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Belastingdienst</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38,0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Bni revisie</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-48,0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-79,0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-79,0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-79,0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Contraterrorisme</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24,9</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104,4</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114,7</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119,9</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126,4</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In=uit taakstelling</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-912,3</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-194,7</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-186,7</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Invullen in=uit taakstelling</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194,7</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-45,1</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-7,3</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-8,0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-8,9</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-6,2</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180" w:firstLineChars="100"/>
              <w:rPr>
                <w:rFonts w:ascii="Verdana" w:hAnsi="Verdana"/>
                <w:color w:val="000000"/>
                <w:sz w:val="18"/>
                <w:szCs w:val="18"/>
              </w:rPr>
            </w:pPr>
            <w:r w:rsidRPr="005E7EAC">
              <w:rPr>
                <w:rFonts w:ascii="Verdana" w:hAnsi="Verdana"/>
                <w:color w:val="000000"/>
                <w:sz w:val="18"/>
                <w:szCs w:val="18"/>
              </w:rPr>
              <w:t>Sociale zekerheid</w:t>
            </w: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In=uit taakstelling</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-48,5</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450"/>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Harmoniseren duur vervolgopleiding medisch specialisten</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-20,3</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-10,1</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-10,1</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40"/>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Overheveling umc's</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-17,2</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-17,2</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-17,2</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-17,2</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-17,2</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81"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-982,5</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21,8</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-186,3</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14,8</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24,0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Technische mutaties</w:t>
            </w: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Gdi</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78,7</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94,8</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85,4</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75,8</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67,0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Toekomstfonds</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-50,0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-25,0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Uitkeren middelen contraterrorisme</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-24,9</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-84,1</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-94,6</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-98,3</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-103,3</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Uitkeren middelen vastgoed dji</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-34,0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-8,1</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1,1</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1,8</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2,9</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2,8</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180" w:firstLineChars="100"/>
              <w:rPr>
                <w:rFonts w:ascii="Verdana" w:hAnsi="Verdana"/>
                <w:color w:val="000000"/>
                <w:sz w:val="18"/>
                <w:szCs w:val="18"/>
              </w:rPr>
            </w:pPr>
            <w:r w:rsidRPr="005E7EAC">
              <w:rPr>
                <w:rFonts w:ascii="Verdana" w:hAnsi="Verdana"/>
                <w:color w:val="000000"/>
                <w:sz w:val="18"/>
                <w:szCs w:val="18"/>
              </w:rPr>
              <w:t>Zorg</w:t>
            </w: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Huishoudelijke hulptoelage</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-40,0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40"/>
        </w:trPr>
        <w:tc>
          <w:tcPr>
            <w:tcW w:w="2460" w:type="pct"/>
            <w:tcBorders>
              <w:top w:val="nil"/>
              <w:left w:val="nil"/>
              <w:bottom w:val="nil"/>
              <w:right w:val="nil"/>
            </w:tcBorders>
            <w:shd w:val="clear" w:color="auto" w:fill="auto"/>
            <w:hideMark/>
          </w:tcPr>
          <w:p w:rsidRPr="005E7EAC" w:rsidR="00DD1A3B" w:rsidP="00DD1A3B" w:rsidRDefault="00DD1A3B">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0,1</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0,1</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0,3</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0,3</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0,3</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81"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-78,2</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-13,1</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-7,1</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-19,3</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-33,2</w:t>
            </w:r>
          </w:p>
        </w:tc>
      </w:tr>
      <w:tr w:rsidRPr="005E7EAC" w:rsidR="00DD1A3B" w:rsidTr="00DD1A3B">
        <w:trPr>
          <w:trHeight w:val="180"/>
        </w:trPr>
        <w:tc>
          <w:tcPr>
            <w:tcW w:w="2460"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-1060,8</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8,7</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-193,4</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-4,6</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-9,3</w:t>
            </w:r>
          </w:p>
        </w:tc>
      </w:tr>
      <w:tr w:rsidRPr="005E7EAC" w:rsidR="00DD1A3B" w:rsidTr="00DD1A3B">
        <w:trPr>
          <w:trHeight w:val="240"/>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Stand Voorjaarsnota 2015 (subtotaal)</w:t>
            </w:r>
          </w:p>
        </w:tc>
        <w:tc>
          <w:tcPr>
            <w:tcW w:w="581"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-299,4</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712,4</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662,7</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1117,2</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1085,8</w:t>
            </w:r>
          </w:p>
        </w:tc>
      </w:tr>
      <w:tr w:rsidRPr="005E7EAC" w:rsidR="00DD1A3B" w:rsidTr="00DD1A3B">
        <w:trPr>
          <w:trHeight w:val="240"/>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Totaal Internationale samenwerking</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Stand Voorjaarsnota 2015</w:t>
            </w:r>
          </w:p>
        </w:tc>
        <w:tc>
          <w:tcPr>
            <w:tcW w:w="581"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-299,4</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712,4</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662,7</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1117,2</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1085,8</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81"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444"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444"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35"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35"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r>
      <w:tr w:rsidRPr="005E7EAC" w:rsidR="00DD1A3B" w:rsidTr="00DD1A3B">
        <w:trPr>
          <w:trHeight w:val="240"/>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NIET-BELASTINGONTVANGSTEN</w:t>
            </w:r>
          </w:p>
        </w:tc>
        <w:tc>
          <w:tcPr>
            <w:tcW w:w="581"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444"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444"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35"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35"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r>
      <w:tr w:rsidRPr="005E7EAC" w:rsidR="00DD1A3B" w:rsidTr="00DD1A3B">
        <w:trPr>
          <w:trHeight w:val="240"/>
        </w:trPr>
        <w:tc>
          <w:tcPr>
            <w:tcW w:w="2460"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 </w:t>
            </w:r>
          </w:p>
        </w:tc>
        <w:tc>
          <w:tcPr>
            <w:tcW w:w="581"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2015</w:t>
            </w:r>
          </w:p>
        </w:tc>
        <w:tc>
          <w:tcPr>
            <w:tcW w:w="444"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2016</w:t>
            </w:r>
          </w:p>
        </w:tc>
        <w:tc>
          <w:tcPr>
            <w:tcW w:w="444"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2017</w:t>
            </w:r>
          </w:p>
        </w:tc>
        <w:tc>
          <w:tcPr>
            <w:tcW w:w="535"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2018</w:t>
            </w:r>
          </w:p>
        </w:tc>
        <w:tc>
          <w:tcPr>
            <w:tcW w:w="535" w:type="pct"/>
            <w:tcBorders>
              <w:top w:val="single" w:color="000000" w:sz="8" w:space="0"/>
              <w:left w:val="nil"/>
              <w:bottom w:val="single" w:color="000000" w:sz="8" w:space="0"/>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2019</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Stand Miljoenennota 2015 (excl. IS)</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180"/>
        </w:trPr>
        <w:tc>
          <w:tcPr>
            <w:tcW w:w="2460"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40"/>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p>
        </w:tc>
        <w:tc>
          <w:tcPr>
            <w:tcW w:w="581"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444"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c>
          <w:tcPr>
            <w:tcW w:w="535" w:type="pct"/>
            <w:tcBorders>
              <w:top w:val="nil"/>
              <w:left w:val="nil"/>
              <w:bottom w:val="nil"/>
              <w:right w:val="nil"/>
            </w:tcBorders>
            <w:shd w:val="clear" w:color="auto" w:fill="auto"/>
            <w:noWrap/>
            <w:vAlign w:val="bottom"/>
            <w:hideMark/>
          </w:tcPr>
          <w:p w:rsidRPr="005E7EAC" w:rsidR="00DD1A3B" w:rsidP="00DD1A3B" w:rsidRDefault="00DD1A3B">
            <w:pPr>
              <w:rPr>
                <w:rFonts w:ascii="Verdana" w:hAnsi="Verdana"/>
                <w:color w:val="000000"/>
                <w:sz w:val="14"/>
                <w:szCs w:val="14"/>
              </w:rPr>
            </w:pP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Stand Voorjaarsnota 2015 (subtotaal)</w:t>
            </w:r>
          </w:p>
        </w:tc>
        <w:tc>
          <w:tcPr>
            <w:tcW w:w="581"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40"/>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Totaal Internationale samenwerking</w:t>
            </w:r>
          </w:p>
        </w:tc>
        <w:tc>
          <w:tcPr>
            <w:tcW w:w="581"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nil"/>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r w:rsidRPr="005E7EAC" w:rsidR="00DD1A3B" w:rsidTr="00DD1A3B">
        <w:trPr>
          <w:trHeight w:val="225"/>
        </w:trPr>
        <w:tc>
          <w:tcPr>
            <w:tcW w:w="2460" w:type="pct"/>
            <w:tcBorders>
              <w:top w:val="nil"/>
              <w:left w:val="nil"/>
              <w:bottom w:val="nil"/>
              <w:right w:val="nil"/>
            </w:tcBorders>
            <w:shd w:val="clear" w:color="auto" w:fill="auto"/>
            <w:hideMark/>
          </w:tcPr>
          <w:p w:rsidRPr="005E7EAC" w:rsidR="00DD1A3B" w:rsidP="00DD1A3B" w:rsidRDefault="00DD1A3B">
            <w:pPr>
              <w:rPr>
                <w:rFonts w:ascii="Verdana" w:hAnsi="Verdana"/>
                <w:color w:val="000000"/>
                <w:sz w:val="18"/>
                <w:szCs w:val="18"/>
              </w:rPr>
            </w:pPr>
            <w:r w:rsidRPr="005E7EAC">
              <w:rPr>
                <w:rFonts w:ascii="Verdana" w:hAnsi="Verdana"/>
                <w:color w:val="000000"/>
                <w:sz w:val="18"/>
                <w:szCs w:val="18"/>
              </w:rPr>
              <w:t>Stand Voorjaarsnota 2015</w:t>
            </w:r>
          </w:p>
        </w:tc>
        <w:tc>
          <w:tcPr>
            <w:tcW w:w="581"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444"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c>
          <w:tcPr>
            <w:tcW w:w="535" w:type="pct"/>
            <w:tcBorders>
              <w:top w:val="single" w:color="000000" w:sz="8" w:space="0"/>
              <w:left w:val="nil"/>
              <w:bottom w:val="nil"/>
              <w:right w:val="nil"/>
            </w:tcBorders>
            <w:shd w:val="clear" w:color="auto" w:fill="auto"/>
            <w:hideMark/>
          </w:tcPr>
          <w:p w:rsidRPr="005E7EAC" w:rsidR="00DD1A3B" w:rsidP="00DD1A3B" w:rsidRDefault="00DD1A3B">
            <w:pPr>
              <w:jc w:val="right"/>
              <w:rPr>
                <w:rFonts w:ascii="Verdana" w:hAnsi="Verdana"/>
                <w:color w:val="000000"/>
                <w:sz w:val="18"/>
                <w:szCs w:val="18"/>
              </w:rPr>
            </w:pPr>
            <w:r w:rsidRPr="005E7EAC">
              <w:rPr>
                <w:rFonts w:ascii="Verdana" w:hAnsi="Verdana"/>
                <w:color w:val="000000"/>
                <w:sz w:val="18"/>
                <w:szCs w:val="18"/>
              </w:rPr>
              <w:t>0,0</w:t>
            </w:r>
          </w:p>
        </w:tc>
      </w:tr>
    </w:tbl>
    <w:p w:rsidRPr="005E7EAC" w:rsidR="00C70153" w:rsidRDefault="00C70153">
      <w:pPr>
        <w:spacing w:after="200" w:line="276" w:lineRule="auto"/>
        <w:rPr>
          <w:rFonts w:ascii="Verdana" w:hAnsi="Verdana" w:cs="Arial"/>
          <w:b/>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Belastingdienst</w:t>
      </w:r>
    </w:p>
    <w:p w:rsidRPr="005E7EAC" w:rsidR="00C70153" w:rsidP="00F97D88" w:rsidRDefault="00C70153">
      <w:pPr>
        <w:spacing w:line="240" w:lineRule="exact"/>
        <w:rPr>
          <w:rFonts w:ascii="Verdana" w:hAnsi="Verdana" w:cs="Courier New"/>
          <w:sz w:val="18"/>
          <w:szCs w:val="18"/>
        </w:rPr>
      </w:pPr>
      <w:r w:rsidRPr="005E7EAC">
        <w:rPr>
          <w:rFonts w:ascii="Verdana" w:hAnsi="Verdana" w:cs="Courier New"/>
          <w:sz w:val="18"/>
          <w:szCs w:val="18"/>
        </w:rPr>
        <w:t>Er zijn middelen gereserveerd voor pilotprojecten bij de Belastingdienst voor de uitvoering van de Brede Agenda. Hiervoor wordt nog een business case uitgewerkt.</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AF4EE0">
      <w:pPr>
        <w:spacing w:line="240" w:lineRule="exact"/>
        <w:rPr>
          <w:rFonts w:ascii="Verdana" w:hAnsi="Verdana" w:cs="Courier New"/>
          <w:i/>
          <w:sz w:val="18"/>
          <w:szCs w:val="18"/>
        </w:rPr>
      </w:pPr>
      <w:r>
        <w:rPr>
          <w:rFonts w:ascii="Verdana" w:hAnsi="Verdana" w:cs="Courier New"/>
          <w:i/>
          <w:sz w:val="18"/>
          <w:szCs w:val="18"/>
        </w:rPr>
        <w:t>Bni-</w:t>
      </w:r>
      <w:r w:rsidRPr="005E7EAC" w:rsidR="00C70153">
        <w:rPr>
          <w:rFonts w:ascii="Verdana" w:hAnsi="Verdana" w:cs="Courier New"/>
          <w:i/>
          <w:sz w:val="18"/>
          <w:szCs w:val="18"/>
        </w:rPr>
        <w:t>revisie</w:t>
      </w:r>
      <w:r w:rsidRPr="005E7EAC" w:rsidR="000061DD">
        <w:rPr>
          <w:rFonts w:ascii="Verdana" w:hAnsi="Verdana" w:cs="Courier New"/>
          <w:i/>
          <w:sz w:val="18"/>
          <w:szCs w:val="18"/>
        </w:rPr>
        <w:t>s CBS</w:t>
      </w:r>
    </w:p>
    <w:p w:rsidRPr="005E7EAC" w:rsidR="003B29F5" w:rsidP="003B29F5" w:rsidRDefault="003B29F5">
      <w:pPr>
        <w:spacing w:line="240" w:lineRule="exact"/>
        <w:rPr>
          <w:rFonts w:ascii="Verdana" w:hAnsi="Verdana" w:cs="Courier New"/>
          <w:sz w:val="18"/>
          <w:szCs w:val="18"/>
        </w:rPr>
      </w:pPr>
      <w:r w:rsidRPr="005E7EAC">
        <w:rPr>
          <w:rFonts w:ascii="Verdana" w:hAnsi="Verdana" w:cs="Courier New"/>
          <w:sz w:val="18"/>
          <w:szCs w:val="18"/>
        </w:rPr>
        <w:t xml:space="preserve">Vorig jaar is een reservering voor de gevolgen van de revisie van de Nationale Rekeningen van het CBS aangemaakt. Deze reservering wordt in eerste instantie verlaagd met 110 mln. structureel. Aangezien het effect van deze revisie voor 2014 zich pas voordoet in 2015, wordt de reservering in 2015 met cumulatief 220 mln. verlaagd. Daarnaast wordt de reservering aangepast naar aanleiding van de recente aankondiging van het CBS over de tussentijdse bijstelling van het Nederlandse bni. De opwaartse bijstellingen van het bni en het bbp voor de jaren 2011 en 2012 leiden op basis van </w:t>
      </w:r>
      <w:r w:rsidRPr="005E7EAC">
        <w:rPr>
          <w:rFonts w:ascii="Verdana" w:hAnsi="Verdana" w:cs="Courier New"/>
          <w:sz w:val="18"/>
          <w:szCs w:val="18"/>
        </w:rPr>
        <w:lastRenderedPageBreak/>
        <w:t>de huidige inzichten tot een bruto nabetaling van 218 mln. in de EU-afdrachten. Het netto-effect is afhankelijk van de ontwikkeling van het bni in de andere EU-lidstaten en zal bekend worden in het najaar als ook de meest actuele cijfers van het bni in de andere EU-lidstaten bekend zijn.</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Contraterrorisme &amp; uitkeren middelen contraterrorisme</w:t>
      </w:r>
    </w:p>
    <w:p w:rsidRPr="005E7EAC" w:rsidR="00C70153" w:rsidP="00F97D88" w:rsidRDefault="00C70153">
      <w:pPr>
        <w:spacing w:line="240" w:lineRule="exact"/>
        <w:rPr>
          <w:rFonts w:ascii="Verdana" w:hAnsi="Verdana" w:cs="Courier New"/>
          <w:sz w:val="18"/>
          <w:szCs w:val="18"/>
        </w:rPr>
      </w:pPr>
      <w:r w:rsidRPr="005E7EAC">
        <w:rPr>
          <w:rFonts w:ascii="Verdana" w:hAnsi="Verdana" w:cs="Courier New"/>
          <w:sz w:val="18"/>
          <w:szCs w:val="18"/>
        </w:rPr>
        <w:t>Op 27 februari jl heeft het kabinet besloten de veiligheidsketen op een aantal punten substantieel te versterken. Hiermee kunnen de betrokken diensten en organisaties, ook bij voortzetting van het huidige dreigingsbeeld, de komende jaren doen wat nodig is om de jihadistische dreiging tegen te gaan. Het gaat om een pakket van in totaal 128,8 mln. structureel, dat in een vanaf 2015 oplopende reeks wordt gerealiseerd. De middelen zijn op de aanvullende post geplaatst en worden grotendeels uitgekeerd.</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In=uit taakstelling (Rbg-eng en SZA) &amp; invullen in=uit taakstelling</w:t>
      </w:r>
    </w:p>
    <w:p w:rsidRPr="005E7EAC" w:rsidR="00C70153" w:rsidP="00F97D88" w:rsidRDefault="00C70153">
      <w:pPr>
        <w:spacing w:line="240" w:lineRule="exact"/>
        <w:rPr>
          <w:rFonts w:ascii="Verdana" w:hAnsi="Verdana" w:cs="Courier New"/>
          <w:sz w:val="18"/>
          <w:szCs w:val="18"/>
        </w:rPr>
      </w:pPr>
      <w:r w:rsidRPr="005E7EAC">
        <w:rPr>
          <w:rFonts w:ascii="Verdana" w:hAnsi="Verdana" w:cs="Courier New"/>
          <w:sz w:val="18"/>
          <w:szCs w:val="18"/>
        </w:rPr>
        <w:t>Bij Voorjaarsnota zijn de eindejaarsmarges uitgekeerd aan de departementale begrotingen. Als tegenhanger hiervan is de ramingstechnische veronderstelling in=uit op de aanvullende post verwerkt (in=uit-taakstelling). Hierbij wordt er vanuit gegaan dat de onderuitputting die zich in 2014 heeft voortgedaan ook in 2015 zal optreden. De eindejaarsmarge voor de HGIS-middelen en de daarmee corresponderende in=uit-taakstelling is over drie jaren verspreid. De in=uit-taakstelling voor 2016 is volledig ingevuld.</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Harmoniseren duur vervolgopleiding medisch specialisten</w:t>
      </w:r>
    </w:p>
    <w:p w:rsidRPr="005E7EAC" w:rsidR="00C70153" w:rsidP="00F97D88" w:rsidRDefault="00C70153">
      <w:pPr>
        <w:spacing w:line="240" w:lineRule="exact"/>
        <w:rPr>
          <w:rFonts w:ascii="Verdana" w:hAnsi="Verdana" w:cs="Courier New"/>
          <w:sz w:val="18"/>
          <w:szCs w:val="18"/>
        </w:rPr>
      </w:pPr>
      <w:r w:rsidRPr="005E7EAC">
        <w:rPr>
          <w:rFonts w:ascii="Verdana" w:hAnsi="Verdana" w:cs="Courier New"/>
          <w:sz w:val="18"/>
          <w:szCs w:val="18"/>
        </w:rPr>
        <w:t xml:space="preserve">Dit betreft vrijvallende middelen die waren gereserveerd om het harmoniseren van de duur van medische vervolgopleidingen te faciliteren. </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Overheveling UMC’s</w:t>
      </w:r>
    </w:p>
    <w:p w:rsidRPr="005E7EAC" w:rsidR="00C70153" w:rsidP="00F97D88" w:rsidRDefault="00C70153">
      <w:pPr>
        <w:spacing w:line="240" w:lineRule="exact"/>
        <w:rPr>
          <w:rFonts w:ascii="Verdana" w:hAnsi="Verdana"/>
          <w:color w:val="000000"/>
          <w:sz w:val="18"/>
          <w:szCs w:val="18"/>
        </w:rPr>
      </w:pPr>
      <w:r w:rsidRPr="005E7EAC">
        <w:rPr>
          <w:rFonts w:ascii="Verdana" w:hAnsi="Verdana"/>
          <w:sz w:val="18"/>
          <w:szCs w:val="18"/>
        </w:rPr>
        <w:t>Dit betreft middelen die waren gereserveerd voor de UMC’s als gevolg van het inhouden van de ILO als onderdeel van de afspraken uit het Zorgakkoord.</w:t>
      </w:r>
      <w:r w:rsidRPr="005E7EAC">
        <w:rPr>
          <w:rFonts w:ascii="Verdana" w:hAnsi="Verdana"/>
          <w:color w:val="000000"/>
          <w:sz w:val="18"/>
          <w:szCs w:val="18"/>
        </w:rPr>
        <w:t xml:space="preserve"> Deze overgang gaat niet door en daarmee vallen de middelen vrij voor alternatieve aanwending.</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GDI</w:t>
      </w:r>
    </w:p>
    <w:p w:rsidRPr="005E7EAC" w:rsidR="00C70153" w:rsidP="00F97D88" w:rsidRDefault="00C70153">
      <w:pPr>
        <w:spacing w:line="240" w:lineRule="exact"/>
        <w:rPr>
          <w:rFonts w:ascii="Verdana" w:hAnsi="Verdana" w:cs="Courier New"/>
          <w:sz w:val="18"/>
          <w:szCs w:val="18"/>
        </w:rPr>
      </w:pPr>
      <w:r w:rsidRPr="005E7EAC">
        <w:rPr>
          <w:rFonts w:ascii="Verdana" w:hAnsi="Verdana" w:cs="Courier New"/>
          <w:sz w:val="18"/>
          <w:szCs w:val="18"/>
        </w:rPr>
        <w:t xml:space="preserve">Er is besloten om de financiering van de generieke digitale infrastructuur (GDI) te verdelen over de departementen. Deze middelen worden van de departementale begrotingen overgeboekt naar de Aanvullende Post. De middelen worden beschikbaar gesteld aan de opdrachtgevers voor de verschillende voorzieningen op basis van daartoe ingediende bestedingsplannen. </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Toekomstfonds</w:t>
      </w:r>
    </w:p>
    <w:p w:rsidRPr="005E7EAC" w:rsidR="00C70153" w:rsidP="00F97D88" w:rsidRDefault="00C70153">
      <w:pPr>
        <w:spacing w:line="240" w:lineRule="exact"/>
        <w:rPr>
          <w:rFonts w:ascii="Verdana" w:hAnsi="Verdana" w:cs="Courier New"/>
          <w:sz w:val="18"/>
          <w:szCs w:val="18"/>
        </w:rPr>
      </w:pPr>
      <w:r w:rsidRPr="005E7EAC">
        <w:rPr>
          <w:rFonts w:ascii="Verdana" w:hAnsi="Verdana" w:cs="Courier New"/>
          <w:sz w:val="18"/>
          <w:szCs w:val="18"/>
        </w:rPr>
        <w:t>De middelen voor het Toekomstfonds zijn overgeheveld naar de begroting van EZ (kamerstuk 34 000 XIII, nr 11.). De middelen worden ingezet voor fundamenteel onderzoek.</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Uitkeren middelen vastgoed DJI</w:t>
      </w:r>
    </w:p>
    <w:p w:rsidRPr="005E7EAC" w:rsidR="00C70153" w:rsidP="00F97D88" w:rsidRDefault="00C70153">
      <w:pPr>
        <w:spacing w:line="240" w:lineRule="exact"/>
        <w:rPr>
          <w:rFonts w:ascii="Verdana" w:hAnsi="Verdana" w:cs="Courier New"/>
          <w:sz w:val="18"/>
          <w:szCs w:val="18"/>
        </w:rPr>
      </w:pPr>
      <w:r w:rsidRPr="005E7EAC">
        <w:rPr>
          <w:rFonts w:ascii="Verdana" w:hAnsi="Verdana" w:cs="Courier New"/>
          <w:sz w:val="18"/>
          <w:szCs w:val="18"/>
        </w:rPr>
        <w:t xml:space="preserve">Voor de uitvoering van het Masterplan DJI worden er middelen (t.b.v. frictiekosten vastgoed) van de aanvullende post overgeheveld naar de begroting van VenJ. </w:t>
      </w:r>
    </w:p>
    <w:p w:rsidRPr="005E7EAC" w:rsidR="00C70153" w:rsidP="00F97D88" w:rsidRDefault="00C70153">
      <w:pPr>
        <w:spacing w:line="240" w:lineRule="exact"/>
        <w:rPr>
          <w:rFonts w:ascii="Verdana" w:hAnsi="Verdana" w:cs="Courier New"/>
          <w:i/>
          <w:sz w:val="18"/>
          <w:szCs w:val="18"/>
        </w:rPr>
      </w:pPr>
    </w:p>
    <w:p w:rsidRPr="005E7EAC" w:rsidR="00C70153" w:rsidP="00F97D88" w:rsidRDefault="00C70153">
      <w:pPr>
        <w:spacing w:line="240" w:lineRule="exact"/>
        <w:rPr>
          <w:rFonts w:ascii="Verdana" w:hAnsi="Verdana" w:cs="Courier New"/>
          <w:i/>
          <w:sz w:val="18"/>
          <w:szCs w:val="18"/>
        </w:rPr>
      </w:pPr>
      <w:r w:rsidRPr="005E7EAC">
        <w:rPr>
          <w:rFonts w:ascii="Verdana" w:hAnsi="Verdana" w:cs="Courier New"/>
          <w:i/>
          <w:sz w:val="18"/>
          <w:szCs w:val="18"/>
        </w:rPr>
        <w:t>Huishoudelijke hulptoelage</w:t>
      </w:r>
    </w:p>
    <w:p w:rsidRPr="005E7EAC" w:rsidR="00C70153" w:rsidP="00F97D88" w:rsidRDefault="00C70153">
      <w:pPr>
        <w:spacing w:line="240" w:lineRule="exact"/>
        <w:rPr>
          <w:rFonts w:ascii="Verdana" w:hAnsi="Verdana" w:cs="Courier New"/>
          <w:sz w:val="18"/>
          <w:szCs w:val="18"/>
        </w:rPr>
      </w:pPr>
      <w:r w:rsidRPr="005E7EAC">
        <w:rPr>
          <w:rFonts w:ascii="Verdana" w:hAnsi="Verdana" w:cs="Courier New"/>
          <w:sz w:val="18"/>
          <w:szCs w:val="18"/>
        </w:rPr>
        <w:t>Het kabinet heeft besloten om voor 2015 incidenteel 40 mln. extra toe te voegen aan de decentralisatie-uitkering huishoudelijke hulp toelage zodat gemeenten extra ruimte hebben om plannen in te dienen met als doel het behoud van arbeidsplaatsen in de huishoudelijke hulp sector. Dit besluit is nader toegelicht in een gezamenlijke brief van de Minister van SZW en de Staatssecretaris van VWS aan de Tweede Kamer.</w:t>
      </w:r>
    </w:p>
    <w:p w:rsidRPr="005E7EAC" w:rsidR="004032A8" w:rsidP="00F97D88" w:rsidRDefault="004032A8">
      <w:pPr>
        <w:spacing w:line="240" w:lineRule="exact"/>
        <w:rPr>
          <w:rFonts w:ascii="Verdana" w:hAnsi="Verdana" w:cs="Arial"/>
          <w:b/>
          <w:sz w:val="18"/>
          <w:szCs w:val="18"/>
        </w:rPr>
      </w:pPr>
      <w:r w:rsidRPr="005E7EAC">
        <w:rPr>
          <w:rFonts w:ascii="Verdana" w:hAnsi="Verdana" w:cs="Arial"/>
          <w:b/>
          <w:sz w:val="18"/>
          <w:szCs w:val="18"/>
        </w:rPr>
        <w:br w:type="page"/>
      </w:r>
    </w:p>
    <w:p w:rsidRPr="005E7EAC" w:rsidR="00572E9C" w:rsidP="002803B4" w:rsidRDefault="004251F8">
      <w:pPr>
        <w:spacing w:line="240" w:lineRule="atLeast"/>
        <w:rPr>
          <w:rFonts w:ascii="Verdana" w:hAnsi="Verdana" w:cs="Arial"/>
          <w:b/>
          <w:sz w:val="18"/>
          <w:szCs w:val="18"/>
        </w:rPr>
      </w:pPr>
      <w:r w:rsidRPr="005E7EAC">
        <w:rPr>
          <w:rFonts w:ascii="Verdana" w:hAnsi="Verdana" w:cs="Arial"/>
          <w:b/>
          <w:sz w:val="18"/>
          <w:szCs w:val="18"/>
        </w:rPr>
        <w:lastRenderedPageBreak/>
        <w:t>Homogene Groep Internationale Samenwerking</w:t>
      </w:r>
    </w:p>
    <w:p w:rsidRPr="005E7EAC" w:rsidR="00671141" w:rsidP="002803B4" w:rsidRDefault="00671141">
      <w:pPr>
        <w:spacing w:line="240" w:lineRule="atLeast"/>
        <w:rPr>
          <w:rFonts w:ascii="Verdana" w:hAnsi="Verdana" w:cs="Arial"/>
          <w:b/>
          <w:sz w:val="18"/>
          <w:szCs w:val="18"/>
        </w:rPr>
      </w:pPr>
    </w:p>
    <w:tbl>
      <w:tblPr>
        <w:tblW w:w="5000" w:type="pct"/>
        <w:tblCellMar>
          <w:left w:w="70" w:type="dxa"/>
          <w:right w:w="70" w:type="dxa"/>
        </w:tblCellMar>
        <w:tblLook w:val="04A0"/>
      </w:tblPr>
      <w:tblGrid>
        <w:gridCol w:w="4412"/>
        <w:gridCol w:w="960"/>
        <w:gridCol w:w="960"/>
        <w:gridCol w:w="960"/>
        <w:gridCol w:w="960"/>
        <w:gridCol w:w="960"/>
      </w:tblGrid>
      <w:tr w:rsidRPr="005E7EAC" w:rsidR="00A21D47" w:rsidTr="00A21D47">
        <w:trPr>
          <w:trHeight w:val="240"/>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UITGAVEN</w:t>
            </w: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r>
      <w:tr w:rsidRPr="005E7EAC" w:rsidR="00A21D47" w:rsidTr="00A21D47">
        <w:trPr>
          <w:trHeight w:val="240"/>
        </w:trPr>
        <w:tc>
          <w:tcPr>
            <w:tcW w:w="2395"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 </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2015</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2016</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2017</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2018</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2019</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Stand Miljoenennota 2015</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4.646,7</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4.636,3</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4.548,6</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4.325,1</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4.338,1</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Beleidsmatige mutaties</w:t>
            </w: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Asiel</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-65,6</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-67,3</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-69,1</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-70,8</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Asiel dekking</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-400,0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Asiel problematiek</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400,0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Biv</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Biv trekkingsrecht bz/bhos</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Biv trekkingsrecht def</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-59,5</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Bnp aanpassing oda</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35,0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65,6</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67,3</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69,1</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70,8</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Eindejaarsmarge</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216,4</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178,0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158,2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450"/>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Financiering brigade speciale bev. opdrachten (bsb)</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-15,3</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Kasschuif oijk</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Missie isis</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100,0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-64,0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-37,0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Motie van ojik</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8,0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16,0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40"/>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15,6</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8,9</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8,6</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5,9</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272,2</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217,9</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130,4</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-8,4</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-16,1</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Technische mutaties</w:t>
            </w: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40"/>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2,6</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2,6</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180"/>
        </w:trPr>
        <w:tc>
          <w:tcPr>
            <w:tcW w:w="2395"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40"/>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274,9</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220,2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132,7</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-6,1</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-13,8</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Stand Voorjaarsnota 2015</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4.921,6</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4.856,4</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4.681,3</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4.319,0</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4.324,4</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r>
      <w:tr w:rsidRPr="005E7EAC" w:rsidR="00A21D47" w:rsidTr="00A21D47">
        <w:trPr>
          <w:trHeight w:val="240"/>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NIET-BELASTINGONTVANGSTEN</w:t>
            </w: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r>
      <w:tr w:rsidRPr="005E7EAC" w:rsidR="00A21D47" w:rsidTr="00A21D47">
        <w:trPr>
          <w:trHeight w:val="240"/>
        </w:trPr>
        <w:tc>
          <w:tcPr>
            <w:tcW w:w="2395"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 </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2015</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2016</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2017</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2018</w:t>
            </w:r>
          </w:p>
        </w:tc>
        <w:tc>
          <w:tcPr>
            <w:tcW w:w="521" w:type="pct"/>
            <w:tcBorders>
              <w:top w:val="single" w:color="000000" w:sz="8" w:space="0"/>
              <w:left w:val="nil"/>
              <w:bottom w:val="single" w:color="000000" w:sz="8" w:space="0"/>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2019</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Stand Miljoenennota 2015</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130,2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251,3</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153,4</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124,9</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124,9</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Beleidsmatige mutaties</w:t>
            </w: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40"/>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0,7</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-5,4</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0,7</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-5,4</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0,0</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Technische mutaties</w:t>
            </w: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ind w:firstLine="180" w:firstLineChars="100"/>
              <w:rPr>
                <w:rFonts w:ascii="Verdana" w:hAnsi="Verdana"/>
                <w:color w:val="000000"/>
                <w:sz w:val="18"/>
                <w:szCs w:val="18"/>
              </w:rPr>
            </w:pPr>
            <w:r w:rsidRPr="005E7EAC">
              <w:rPr>
                <w:rFonts w:ascii="Verdana" w:hAnsi="Verdana"/>
                <w:color w:val="000000"/>
                <w:sz w:val="18"/>
                <w:szCs w:val="18"/>
              </w:rPr>
              <w:t>Rijksbegroting in enge zin</w:t>
            </w: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40"/>
        </w:trPr>
        <w:tc>
          <w:tcPr>
            <w:tcW w:w="2395" w:type="pct"/>
            <w:tcBorders>
              <w:top w:val="nil"/>
              <w:left w:val="nil"/>
              <w:bottom w:val="nil"/>
              <w:right w:val="nil"/>
            </w:tcBorders>
            <w:shd w:val="clear" w:color="auto" w:fill="auto"/>
            <w:hideMark/>
          </w:tcPr>
          <w:p w:rsidRPr="005E7EAC" w:rsidR="00A21D47" w:rsidP="00A21D47" w:rsidRDefault="00A21D47">
            <w:pPr>
              <w:ind w:firstLine="360" w:firstLineChars="200"/>
              <w:rPr>
                <w:rFonts w:ascii="Verdana" w:hAnsi="Verdana"/>
                <w:color w:val="000000"/>
                <w:sz w:val="18"/>
                <w:szCs w:val="18"/>
              </w:rPr>
            </w:pPr>
            <w:r w:rsidRPr="005E7EAC">
              <w:rPr>
                <w:rFonts w:ascii="Verdana" w:hAnsi="Verdana"/>
                <w:color w:val="000000"/>
                <w:sz w:val="18"/>
                <w:szCs w:val="18"/>
              </w:rPr>
              <w:t>Diversen</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2,6</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2,6</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180"/>
        </w:trPr>
        <w:tc>
          <w:tcPr>
            <w:tcW w:w="2395"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c>
          <w:tcPr>
            <w:tcW w:w="521" w:type="pct"/>
            <w:tcBorders>
              <w:top w:val="nil"/>
              <w:left w:val="nil"/>
              <w:bottom w:val="nil"/>
              <w:right w:val="nil"/>
            </w:tcBorders>
            <w:shd w:val="clear" w:color="auto" w:fill="auto"/>
            <w:noWrap/>
            <w:vAlign w:val="bottom"/>
            <w:hideMark/>
          </w:tcPr>
          <w:p w:rsidRPr="005E7EAC" w:rsidR="00A21D47" w:rsidP="00A21D47" w:rsidRDefault="00A21D47">
            <w:pPr>
              <w:rPr>
                <w:rFonts w:ascii="Verdana" w:hAnsi="Verdana"/>
                <w:color w:val="000000"/>
                <w:sz w:val="14"/>
                <w:szCs w:val="14"/>
              </w:rPr>
            </w:pPr>
          </w:p>
        </w:tc>
      </w:tr>
      <w:tr w:rsidRPr="005E7EAC" w:rsidR="00A21D47" w:rsidTr="00A21D47">
        <w:trPr>
          <w:trHeight w:val="240"/>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Totaal mutaties sinds Miljoenennota 2015</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3,4</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-3,2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2,2</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c>
          <w:tcPr>
            <w:tcW w:w="521" w:type="pct"/>
            <w:tcBorders>
              <w:top w:val="nil"/>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2,3</w:t>
            </w:r>
          </w:p>
        </w:tc>
      </w:tr>
      <w:tr w:rsidRPr="005E7EAC" w:rsidR="00A21D47" w:rsidTr="00A21D47">
        <w:trPr>
          <w:trHeight w:val="225"/>
        </w:trPr>
        <w:tc>
          <w:tcPr>
            <w:tcW w:w="2395" w:type="pct"/>
            <w:tcBorders>
              <w:top w:val="nil"/>
              <w:left w:val="nil"/>
              <w:bottom w:val="nil"/>
              <w:right w:val="nil"/>
            </w:tcBorders>
            <w:shd w:val="clear" w:color="auto" w:fill="auto"/>
            <w:hideMark/>
          </w:tcPr>
          <w:p w:rsidRPr="005E7EAC" w:rsidR="00A21D47" w:rsidP="00A21D47" w:rsidRDefault="00A21D47">
            <w:pPr>
              <w:rPr>
                <w:rFonts w:ascii="Verdana" w:hAnsi="Verdana"/>
                <w:color w:val="000000"/>
                <w:sz w:val="18"/>
                <w:szCs w:val="18"/>
              </w:rPr>
            </w:pPr>
            <w:r w:rsidRPr="005E7EAC">
              <w:rPr>
                <w:rFonts w:ascii="Verdana" w:hAnsi="Verdana"/>
                <w:color w:val="000000"/>
                <w:sz w:val="18"/>
                <w:szCs w:val="18"/>
              </w:rPr>
              <w:t>Stand Voorjaarsnota 2015</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133,6</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248,1</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155,6</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127,1</w:t>
            </w:r>
          </w:p>
        </w:tc>
        <w:tc>
          <w:tcPr>
            <w:tcW w:w="521" w:type="pct"/>
            <w:tcBorders>
              <w:top w:val="single" w:color="000000" w:sz="8" w:space="0"/>
              <w:left w:val="nil"/>
              <w:bottom w:val="nil"/>
              <w:right w:val="nil"/>
            </w:tcBorders>
            <w:shd w:val="clear" w:color="auto" w:fill="auto"/>
            <w:hideMark/>
          </w:tcPr>
          <w:p w:rsidRPr="005E7EAC" w:rsidR="00A21D47" w:rsidP="00A21D47" w:rsidRDefault="00A21D47">
            <w:pPr>
              <w:jc w:val="right"/>
              <w:rPr>
                <w:rFonts w:ascii="Verdana" w:hAnsi="Verdana"/>
                <w:color w:val="000000"/>
                <w:sz w:val="18"/>
                <w:szCs w:val="18"/>
              </w:rPr>
            </w:pPr>
            <w:r w:rsidRPr="005E7EAC">
              <w:rPr>
                <w:rFonts w:ascii="Verdana" w:hAnsi="Verdana"/>
                <w:color w:val="000000"/>
                <w:sz w:val="18"/>
                <w:szCs w:val="18"/>
              </w:rPr>
              <w:t>127,1</w:t>
            </w:r>
          </w:p>
        </w:tc>
      </w:tr>
    </w:tbl>
    <w:p w:rsidRPr="005E7EAC" w:rsidR="008947F1" w:rsidP="00A21D47" w:rsidRDefault="008947F1">
      <w:pPr>
        <w:spacing w:line="240" w:lineRule="exact"/>
        <w:rPr>
          <w:rFonts w:ascii="Verdana" w:hAnsi="Verdana" w:cs="Arial"/>
          <w:b/>
          <w:sz w:val="18"/>
          <w:szCs w:val="18"/>
        </w:rPr>
      </w:pPr>
    </w:p>
    <w:p w:rsidRPr="005E7EAC" w:rsidR="00A21D47" w:rsidP="00A21D47" w:rsidRDefault="00A21D47">
      <w:pPr>
        <w:spacing w:line="240" w:lineRule="exact"/>
        <w:rPr>
          <w:rFonts w:ascii="Verdana" w:hAnsi="Verdana" w:cs="Arial"/>
          <w:b/>
          <w:sz w:val="18"/>
          <w:szCs w:val="18"/>
        </w:rPr>
      </w:pPr>
    </w:p>
    <w:p w:rsidRPr="005E7EAC" w:rsidR="00A21D47" w:rsidP="00A21D47" w:rsidRDefault="00A21D47">
      <w:pPr>
        <w:spacing w:line="240" w:lineRule="exact"/>
        <w:rPr>
          <w:rFonts w:ascii="Verdana" w:hAnsi="Verdana"/>
          <w:i/>
          <w:sz w:val="18"/>
          <w:szCs w:val="18"/>
        </w:rPr>
      </w:pPr>
      <w:r w:rsidRPr="005E7EAC">
        <w:rPr>
          <w:rFonts w:ascii="Verdana" w:hAnsi="Verdana"/>
          <w:i/>
          <w:sz w:val="18"/>
          <w:szCs w:val="18"/>
        </w:rPr>
        <w:t>Asiel</w:t>
      </w:r>
    </w:p>
    <w:p w:rsidRPr="005E7EAC" w:rsidR="0011191F" w:rsidP="0011191F" w:rsidRDefault="0011191F">
      <w:pPr>
        <w:pStyle w:val="Tekstzonderopmaak"/>
        <w:spacing w:line="240" w:lineRule="exact"/>
        <w:rPr>
          <w:rFonts w:ascii="Verdana" w:hAnsi="Verdana"/>
          <w:sz w:val="18"/>
          <w:szCs w:val="18"/>
        </w:rPr>
      </w:pPr>
      <w:r w:rsidRPr="005E7EAC">
        <w:rPr>
          <w:rFonts w:ascii="Verdana" w:hAnsi="Verdana"/>
          <w:sz w:val="18"/>
          <w:szCs w:val="18"/>
        </w:rPr>
        <w:t>De raming voor de asielinstroom voor 2015 is naar boven bijgesteld. Dit leidt tot hogere asielopvangkosten bij het COA. De kosten voor de eerstejaarsopvang van asielzoekers uit DAC-landen worden toegerekend aan ODA. Door de verhoogde raming van de asielinstroom neemt de toerekening aan ODA in 2015 ook toe. Dekking wordt gevonden door het aanwenden van een deel van de eindejaarsmarge, het aanwenden van de BNP-macromeevaller (zie eerste regel ‘asiel’ in de tabel) en het inzetten van niet juridisch verplichte ruimte binnen ODA.</w:t>
      </w:r>
    </w:p>
    <w:p w:rsidRPr="005E7EAC" w:rsidR="00A21D47" w:rsidP="00A21D47" w:rsidRDefault="00A21D47">
      <w:pPr>
        <w:spacing w:line="240" w:lineRule="exact"/>
        <w:rPr>
          <w:rFonts w:ascii="Verdana" w:hAnsi="Verdana"/>
          <w:iCs/>
          <w:sz w:val="18"/>
          <w:szCs w:val="18"/>
        </w:rPr>
      </w:pPr>
    </w:p>
    <w:p w:rsidRPr="005E7EAC" w:rsidR="00A21D47" w:rsidP="00A21D47" w:rsidRDefault="00A21D47">
      <w:pPr>
        <w:spacing w:line="240" w:lineRule="exact"/>
        <w:rPr>
          <w:rFonts w:ascii="Verdana" w:hAnsi="Verdana"/>
          <w:i/>
          <w:iCs/>
          <w:sz w:val="18"/>
          <w:szCs w:val="18"/>
        </w:rPr>
      </w:pPr>
      <w:r w:rsidRPr="005E7EAC">
        <w:rPr>
          <w:rFonts w:ascii="Verdana" w:hAnsi="Verdana"/>
          <w:i/>
          <w:iCs/>
          <w:sz w:val="18"/>
          <w:szCs w:val="18"/>
        </w:rPr>
        <w:t>BIV</w:t>
      </w:r>
    </w:p>
    <w:p w:rsidRPr="005E7EAC" w:rsidR="00A21D47" w:rsidP="00A21D47" w:rsidRDefault="00A21D47">
      <w:pPr>
        <w:spacing w:line="240" w:lineRule="exact"/>
        <w:rPr>
          <w:rFonts w:ascii="Verdana" w:hAnsi="Verdana" w:cs="Courier New"/>
          <w:sz w:val="18"/>
          <w:szCs w:val="18"/>
        </w:rPr>
      </w:pPr>
      <w:r w:rsidRPr="005E7EAC">
        <w:rPr>
          <w:rFonts w:ascii="Verdana" w:hAnsi="Verdana" w:cs="Courier New"/>
          <w:sz w:val="18"/>
          <w:szCs w:val="18"/>
        </w:rPr>
        <w:t xml:space="preserve">Het betreft de overheveling van middelen uit het BIV naar de begrotingen van Defensie, Buitenlandse Zaken en Buitenlandse Handel en Ontwikkelingssamenwerking voor het financieren van uitgaven van deze departementen gerelateerd aan de internationale veiligheid. </w:t>
      </w:r>
    </w:p>
    <w:p w:rsidRPr="005E7EAC" w:rsidR="00A21D47" w:rsidP="00A21D47" w:rsidRDefault="00A21D47">
      <w:pPr>
        <w:spacing w:line="240" w:lineRule="exact"/>
        <w:rPr>
          <w:rFonts w:ascii="Verdana" w:hAnsi="Verdana"/>
          <w:sz w:val="18"/>
          <w:szCs w:val="18"/>
        </w:rPr>
      </w:pPr>
    </w:p>
    <w:p w:rsidRPr="005E7EAC" w:rsidR="00A21D47" w:rsidP="00A21D47" w:rsidRDefault="00A21D47">
      <w:pPr>
        <w:spacing w:line="240" w:lineRule="exact"/>
        <w:rPr>
          <w:rFonts w:ascii="Verdana" w:hAnsi="Verdana"/>
          <w:i/>
          <w:sz w:val="18"/>
          <w:szCs w:val="18"/>
        </w:rPr>
      </w:pPr>
      <w:r w:rsidRPr="005E7EAC">
        <w:rPr>
          <w:rFonts w:ascii="Verdana" w:hAnsi="Verdana"/>
          <w:i/>
          <w:sz w:val="18"/>
          <w:szCs w:val="18"/>
        </w:rPr>
        <w:t>BNP aanpassing ODA</w:t>
      </w:r>
    </w:p>
    <w:p w:rsidRPr="005E7EAC" w:rsidR="0011191F" w:rsidP="0011191F" w:rsidRDefault="0011191F">
      <w:pPr>
        <w:spacing w:line="240" w:lineRule="exact"/>
        <w:rPr>
          <w:rFonts w:ascii="Verdana" w:hAnsi="Verdana" w:cs="Courier New"/>
          <w:sz w:val="18"/>
          <w:szCs w:val="18"/>
        </w:rPr>
      </w:pPr>
      <w:r w:rsidRPr="005E7EAC">
        <w:rPr>
          <w:rFonts w:ascii="Verdana" w:hAnsi="Verdana" w:cs="Courier New"/>
          <w:sz w:val="18"/>
          <w:szCs w:val="18"/>
        </w:rPr>
        <w:t>Het ODA budget is opwaarts bijgesteld als gevolg van de meest recente BNP-ramingen van het CPB. Deze BNP-macromeevaller wordt grotendeels aangewend ter dekking van de verhoogde kosten voor de eerstejaarsopvang van asielzoekers in het jaar 2015 en deels voor de nog resterende BNP-korting op het ODA-budget in 2015.</w:t>
      </w:r>
    </w:p>
    <w:p w:rsidRPr="005E7EAC" w:rsidR="00A21D47" w:rsidP="00A21D47" w:rsidRDefault="00A21D47">
      <w:pPr>
        <w:spacing w:line="240" w:lineRule="exact"/>
        <w:rPr>
          <w:rFonts w:ascii="Verdana" w:hAnsi="Verdana"/>
          <w:i/>
          <w:sz w:val="18"/>
          <w:szCs w:val="18"/>
        </w:rPr>
      </w:pPr>
    </w:p>
    <w:p w:rsidRPr="005E7EAC" w:rsidR="00A21D47" w:rsidP="00A21D47" w:rsidRDefault="00A21D47">
      <w:pPr>
        <w:spacing w:line="240" w:lineRule="exact"/>
        <w:rPr>
          <w:rFonts w:ascii="Verdana" w:hAnsi="Verdana"/>
          <w:i/>
          <w:sz w:val="18"/>
          <w:szCs w:val="18"/>
        </w:rPr>
      </w:pPr>
      <w:r w:rsidRPr="005E7EAC">
        <w:rPr>
          <w:rFonts w:ascii="Verdana" w:hAnsi="Verdana"/>
          <w:i/>
          <w:sz w:val="18"/>
          <w:szCs w:val="18"/>
        </w:rPr>
        <w:t>Eindejaarsmarge</w:t>
      </w:r>
    </w:p>
    <w:p w:rsidRPr="005E7EAC" w:rsidR="0011191F" w:rsidP="0011191F" w:rsidRDefault="0011191F">
      <w:pPr>
        <w:spacing w:line="240" w:lineRule="exact"/>
        <w:rPr>
          <w:rFonts w:ascii="Verdana" w:hAnsi="Verdana"/>
          <w:sz w:val="18"/>
          <w:szCs w:val="18"/>
        </w:rPr>
      </w:pPr>
      <w:r w:rsidRPr="005E7EAC">
        <w:rPr>
          <w:rFonts w:ascii="Verdana" w:hAnsi="Verdana"/>
          <w:sz w:val="18"/>
          <w:szCs w:val="18"/>
        </w:rPr>
        <w:t xml:space="preserve">Aan de HGIS wordt de eindejaarsmarge toegevoegd, welke nagenoeg geheel wordt doorverdeeld naar de HGIS departementen. De HGIS eindejaarsmarge kan over maximaal drie jaar aangewend worden. Dit jaar is de omvang van de HGIS eindejaarsmarge hoger, omdat onder andere de in 2014 niet bestede middelen voor het Noodhulpfonds en het Dutch Good Growth Fund aanvullend zijn meegenomen naar 2015. </w:t>
      </w:r>
    </w:p>
    <w:p w:rsidRPr="005E7EAC" w:rsidR="0011191F" w:rsidP="00A21D47" w:rsidRDefault="0011191F">
      <w:pPr>
        <w:spacing w:line="240" w:lineRule="exact"/>
        <w:rPr>
          <w:rFonts w:ascii="Verdana" w:hAnsi="Verdana" w:cs="Courier New"/>
          <w:sz w:val="18"/>
          <w:szCs w:val="18"/>
        </w:rPr>
      </w:pPr>
    </w:p>
    <w:p w:rsidRPr="005E7EAC" w:rsidR="00A21D47" w:rsidP="00A21D47" w:rsidRDefault="00A21D47">
      <w:pPr>
        <w:spacing w:line="240" w:lineRule="exact"/>
        <w:rPr>
          <w:rFonts w:ascii="Verdana" w:hAnsi="Verdana"/>
          <w:i/>
          <w:sz w:val="18"/>
          <w:szCs w:val="18"/>
        </w:rPr>
      </w:pPr>
      <w:r w:rsidRPr="005E7EAC">
        <w:rPr>
          <w:rFonts w:ascii="Verdana" w:hAnsi="Verdana"/>
          <w:i/>
          <w:sz w:val="18"/>
          <w:szCs w:val="18"/>
        </w:rPr>
        <w:t xml:space="preserve">Financiering brigade speciale beveiligingsopdrachten </w:t>
      </w:r>
    </w:p>
    <w:p w:rsidRPr="005E7EAC" w:rsidR="00A21D47" w:rsidP="00A21D47" w:rsidRDefault="00A21D47">
      <w:pPr>
        <w:spacing w:line="240" w:lineRule="exact"/>
        <w:rPr>
          <w:rFonts w:ascii="Verdana" w:hAnsi="Verdana"/>
          <w:sz w:val="18"/>
          <w:szCs w:val="18"/>
        </w:rPr>
      </w:pPr>
      <w:r w:rsidRPr="005E7EAC">
        <w:rPr>
          <w:rFonts w:ascii="Verdana" w:hAnsi="Verdana"/>
          <w:sz w:val="18"/>
          <w:szCs w:val="18"/>
        </w:rPr>
        <w:t xml:space="preserve">Defensie voert in opdracht van Buitenlandse Zaken de beveiliging van ambassades uit. </w:t>
      </w:r>
    </w:p>
    <w:p w:rsidRPr="005E7EAC" w:rsidR="00A21D47" w:rsidP="00A21D47" w:rsidRDefault="00A21D47">
      <w:pPr>
        <w:spacing w:line="240" w:lineRule="exact"/>
        <w:rPr>
          <w:rFonts w:ascii="Verdana" w:hAnsi="Verdana"/>
          <w:i/>
          <w:sz w:val="18"/>
          <w:szCs w:val="18"/>
        </w:rPr>
      </w:pPr>
    </w:p>
    <w:p w:rsidRPr="005E7EAC" w:rsidR="00A21D47" w:rsidP="00A21D47" w:rsidRDefault="00A21D47">
      <w:pPr>
        <w:spacing w:line="240" w:lineRule="exact"/>
        <w:rPr>
          <w:rFonts w:ascii="Verdana" w:hAnsi="Verdana"/>
          <w:i/>
          <w:sz w:val="18"/>
          <w:szCs w:val="18"/>
        </w:rPr>
      </w:pPr>
      <w:r w:rsidRPr="005E7EAC">
        <w:rPr>
          <w:rFonts w:ascii="Verdana" w:hAnsi="Verdana"/>
          <w:i/>
          <w:sz w:val="18"/>
          <w:szCs w:val="18"/>
        </w:rPr>
        <w:t>Kasschuif Van Ojik</w:t>
      </w:r>
    </w:p>
    <w:p w:rsidRPr="005E7EAC" w:rsidR="0011191F" w:rsidP="0011191F" w:rsidRDefault="0011191F">
      <w:pPr>
        <w:spacing w:line="240" w:lineRule="exact"/>
        <w:rPr>
          <w:rFonts w:ascii="Verdana" w:hAnsi="Verdana"/>
          <w:sz w:val="18"/>
          <w:szCs w:val="18"/>
        </w:rPr>
      </w:pPr>
      <w:r w:rsidRPr="005E7EAC">
        <w:rPr>
          <w:rFonts w:ascii="Verdana" w:hAnsi="Verdana"/>
          <w:sz w:val="18"/>
          <w:szCs w:val="18"/>
        </w:rPr>
        <w:t>Met de motie Van Ojik (TK 34 000, nr 22) is verzocht om de diplomatieke capaciteit van het ministerie van Buitenlandse Zaken te versterken. Dekking volgt deels uit de HGIS-eindejaarsmarge en deels van het artikel HGIS-onvoorzien. Om de dekking in het juiste jaar te boeken is een kasschuif nodig.</w:t>
      </w:r>
    </w:p>
    <w:p w:rsidRPr="005E7EAC" w:rsidR="00A21D47" w:rsidP="00A21D47" w:rsidRDefault="00A21D47">
      <w:pPr>
        <w:spacing w:line="240" w:lineRule="exact"/>
        <w:rPr>
          <w:rFonts w:ascii="Verdana" w:hAnsi="Verdana"/>
          <w:sz w:val="18"/>
          <w:szCs w:val="18"/>
        </w:rPr>
      </w:pPr>
    </w:p>
    <w:p w:rsidRPr="005E7EAC" w:rsidR="00A21D47" w:rsidP="00A21D47" w:rsidRDefault="00A21D47">
      <w:pPr>
        <w:spacing w:line="240" w:lineRule="exact"/>
        <w:rPr>
          <w:rFonts w:ascii="Verdana" w:hAnsi="Verdana"/>
          <w:i/>
          <w:sz w:val="18"/>
          <w:szCs w:val="18"/>
        </w:rPr>
      </w:pPr>
      <w:r w:rsidRPr="005E7EAC">
        <w:rPr>
          <w:rFonts w:ascii="Verdana" w:hAnsi="Verdana"/>
          <w:i/>
          <w:sz w:val="18"/>
          <w:szCs w:val="18"/>
        </w:rPr>
        <w:t>Missie ISIS</w:t>
      </w:r>
    </w:p>
    <w:p w:rsidRPr="0011191F" w:rsidR="0011191F" w:rsidP="0011191F" w:rsidRDefault="0011191F">
      <w:pPr>
        <w:spacing w:line="240" w:lineRule="exact"/>
        <w:rPr>
          <w:rFonts w:ascii="Verdana" w:hAnsi="Verdana"/>
          <w:sz w:val="18"/>
          <w:szCs w:val="18"/>
        </w:rPr>
      </w:pPr>
      <w:r w:rsidRPr="005E7EAC">
        <w:rPr>
          <w:rFonts w:ascii="Verdana" w:hAnsi="Verdana"/>
          <w:sz w:val="18"/>
          <w:szCs w:val="18"/>
        </w:rPr>
        <w:t>Met kamerstuk 27925, nr. 506 heeft het Kabinet aangegeven deel te nemen aan de strijd tegen ISIS in Irak. De financiering van de missie vindt plaats uit de HGIS onvoorzien. Middels een kasschuif worden middelen uit de jaren 2017 tot en met 2019 naar voren gehaald ter dekking van de jaren 2015 en 2016. De kasschuif bedraagt 123 mln., deze middelen zijn overgeheveld naar de begroting van het Ministerie van Defensie (X).</w:t>
      </w:r>
    </w:p>
    <w:p w:rsidRPr="008435A4" w:rsidR="00A21D47" w:rsidP="002803B4" w:rsidRDefault="00A21D47">
      <w:pPr>
        <w:spacing w:line="240" w:lineRule="atLeast"/>
        <w:rPr>
          <w:rFonts w:ascii="Verdana" w:hAnsi="Verdana" w:cs="Arial"/>
          <w:b/>
          <w:sz w:val="18"/>
          <w:szCs w:val="18"/>
        </w:rPr>
      </w:pPr>
    </w:p>
    <w:sectPr w:rsidRPr="008435A4" w:rsidR="00A21D47" w:rsidSect="000B3CAB">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55E" w:rsidRDefault="008E055E" w:rsidP="002905DD">
      <w:r>
        <w:separator/>
      </w:r>
    </w:p>
  </w:endnote>
  <w:endnote w:type="continuationSeparator" w:id="0">
    <w:p w:rsidR="008E055E" w:rsidRDefault="008E055E" w:rsidP="002905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TBC08CB5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2066"/>
      <w:docPartObj>
        <w:docPartGallery w:val="Page Numbers (Bottom of Page)"/>
        <w:docPartUnique/>
      </w:docPartObj>
    </w:sdtPr>
    <w:sdtContent>
      <w:p w:rsidR="008E055E" w:rsidRDefault="00D07868">
        <w:pPr>
          <w:pStyle w:val="Voettekst"/>
          <w:jc w:val="right"/>
        </w:pPr>
        <w:r w:rsidRPr="007313AD">
          <w:rPr>
            <w:rFonts w:ascii="Verdana" w:hAnsi="Verdana"/>
            <w:sz w:val="18"/>
            <w:szCs w:val="18"/>
          </w:rPr>
          <w:fldChar w:fldCharType="begin"/>
        </w:r>
        <w:r w:rsidR="008E055E" w:rsidRPr="007313AD">
          <w:rPr>
            <w:rFonts w:ascii="Verdana" w:hAnsi="Verdana"/>
            <w:sz w:val="18"/>
            <w:szCs w:val="18"/>
          </w:rPr>
          <w:instrText xml:space="preserve"> PAGE   \* MERGEFORMAT </w:instrText>
        </w:r>
        <w:r w:rsidRPr="007313AD">
          <w:rPr>
            <w:rFonts w:ascii="Verdana" w:hAnsi="Verdana"/>
            <w:sz w:val="18"/>
            <w:szCs w:val="18"/>
          </w:rPr>
          <w:fldChar w:fldCharType="separate"/>
        </w:r>
        <w:r w:rsidR="007146D2">
          <w:rPr>
            <w:rFonts w:ascii="Verdana" w:hAnsi="Verdana"/>
            <w:noProof/>
            <w:sz w:val="18"/>
            <w:szCs w:val="18"/>
          </w:rPr>
          <w:t>2</w:t>
        </w:r>
        <w:r w:rsidRPr="007313AD">
          <w:rPr>
            <w:rFonts w:ascii="Verdana" w:hAnsi="Verdana"/>
            <w:sz w:val="18"/>
            <w:szCs w:val="18"/>
          </w:rPr>
          <w:fldChar w:fldCharType="end"/>
        </w:r>
      </w:p>
    </w:sdtContent>
  </w:sdt>
  <w:p w:rsidR="008E055E" w:rsidRDefault="008E055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55E" w:rsidRDefault="008E055E" w:rsidP="002905DD">
      <w:r>
        <w:separator/>
      </w:r>
    </w:p>
  </w:footnote>
  <w:footnote w:type="continuationSeparator" w:id="0">
    <w:p w:rsidR="008E055E" w:rsidRDefault="008E055E" w:rsidP="00290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E728B"/>
    <w:multiLevelType w:val="hybridMultilevel"/>
    <w:tmpl w:val="44DC0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D6B1D7F"/>
    <w:multiLevelType w:val="hybridMultilevel"/>
    <w:tmpl w:val="E9FAB1F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65110786"/>
    <w:multiLevelType w:val="hybridMultilevel"/>
    <w:tmpl w:val="7BD4D6F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footnotePr>
    <w:footnote w:id="-1"/>
    <w:footnote w:id="0"/>
  </w:footnotePr>
  <w:endnotePr>
    <w:endnote w:id="-1"/>
    <w:endnote w:id="0"/>
  </w:endnotePr>
  <w:compat/>
  <w:rsids>
    <w:rsidRoot w:val="00174971"/>
    <w:rsid w:val="00003CC8"/>
    <w:rsid w:val="0000443C"/>
    <w:rsid w:val="00004519"/>
    <w:rsid w:val="000061DD"/>
    <w:rsid w:val="000142F6"/>
    <w:rsid w:val="00020871"/>
    <w:rsid w:val="000237CA"/>
    <w:rsid w:val="00026488"/>
    <w:rsid w:val="00026DAD"/>
    <w:rsid w:val="00032B06"/>
    <w:rsid w:val="000333B8"/>
    <w:rsid w:val="00033E97"/>
    <w:rsid w:val="00037140"/>
    <w:rsid w:val="00043791"/>
    <w:rsid w:val="00046D89"/>
    <w:rsid w:val="00047FF0"/>
    <w:rsid w:val="00050170"/>
    <w:rsid w:val="00055E89"/>
    <w:rsid w:val="0006359E"/>
    <w:rsid w:val="00063729"/>
    <w:rsid w:val="00064DE5"/>
    <w:rsid w:val="00070953"/>
    <w:rsid w:val="0007153F"/>
    <w:rsid w:val="00075303"/>
    <w:rsid w:val="00083852"/>
    <w:rsid w:val="000838DB"/>
    <w:rsid w:val="00083F00"/>
    <w:rsid w:val="00084120"/>
    <w:rsid w:val="00090D4C"/>
    <w:rsid w:val="000935CC"/>
    <w:rsid w:val="000A3D01"/>
    <w:rsid w:val="000A4246"/>
    <w:rsid w:val="000A6374"/>
    <w:rsid w:val="000A7975"/>
    <w:rsid w:val="000B034D"/>
    <w:rsid w:val="000B3CAB"/>
    <w:rsid w:val="000B4E2C"/>
    <w:rsid w:val="000B7A42"/>
    <w:rsid w:val="000C1BD2"/>
    <w:rsid w:val="000D477A"/>
    <w:rsid w:val="000D5CC9"/>
    <w:rsid w:val="000D7016"/>
    <w:rsid w:val="000E01F8"/>
    <w:rsid w:val="000E10E6"/>
    <w:rsid w:val="000E12DA"/>
    <w:rsid w:val="000E3357"/>
    <w:rsid w:val="000E4450"/>
    <w:rsid w:val="000F2ADE"/>
    <w:rsid w:val="000F615A"/>
    <w:rsid w:val="000F6ED0"/>
    <w:rsid w:val="000F78FC"/>
    <w:rsid w:val="000F7AC1"/>
    <w:rsid w:val="000F7FE7"/>
    <w:rsid w:val="00100629"/>
    <w:rsid w:val="0010178E"/>
    <w:rsid w:val="00102254"/>
    <w:rsid w:val="0011133F"/>
    <w:rsid w:val="0011182D"/>
    <w:rsid w:val="0011191F"/>
    <w:rsid w:val="00113777"/>
    <w:rsid w:val="00114844"/>
    <w:rsid w:val="0011528C"/>
    <w:rsid w:val="00122882"/>
    <w:rsid w:val="001257CB"/>
    <w:rsid w:val="00134A53"/>
    <w:rsid w:val="00141186"/>
    <w:rsid w:val="00146986"/>
    <w:rsid w:val="00152503"/>
    <w:rsid w:val="00156D1A"/>
    <w:rsid w:val="00157ABA"/>
    <w:rsid w:val="00157D55"/>
    <w:rsid w:val="001617A2"/>
    <w:rsid w:val="0017300C"/>
    <w:rsid w:val="0017433D"/>
    <w:rsid w:val="00174971"/>
    <w:rsid w:val="00176BCC"/>
    <w:rsid w:val="001807B3"/>
    <w:rsid w:val="00181269"/>
    <w:rsid w:val="00183743"/>
    <w:rsid w:val="001845AF"/>
    <w:rsid w:val="00187B56"/>
    <w:rsid w:val="001A041B"/>
    <w:rsid w:val="001B170C"/>
    <w:rsid w:val="001B5794"/>
    <w:rsid w:val="001B64DA"/>
    <w:rsid w:val="001C32EE"/>
    <w:rsid w:val="001C3BF6"/>
    <w:rsid w:val="001C4710"/>
    <w:rsid w:val="001C4741"/>
    <w:rsid w:val="001C7E1F"/>
    <w:rsid w:val="001D1915"/>
    <w:rsid w:val="001D1BC1"/>
    <w:rsid w:val="001D3505"/>
    <w:rsid w:val="001D5485"/>
    <w:rsid w:val="001E2597"/>
    <w:rsid w:val="001E34F5"/>
    <w:rsid w:val="001F0A48"/>
    <w:rsid w:val="001F182A"/>
    <w:rsid w:val="001F2FD2"/>
    <w:rsid w:val="001F461D"/>
    <w:rsid w:val="001F7672"/>
    <w:rsid w:val="00203D3E"/>
    <w:rsid w:val="002043B7"/>
    <w:rsid w:val="002065F2"/>
    <w:rsid w:val="00212995"/>
    <w:rsid w:val="002144DB"/>
    <w:rsid w:val="00215D65"/>
    <w:rsid w:val="0021627C"/>
    <w:rsid w:val="002224FE"/>
    <w:rsid w:val="00227DA9"/>
    <w:rsid w:val="002323FB"/>
    <w:rsid w:val="0023498F"/>
    <w:rsid w:val="0024341D"/>
    <w:rsid w:val="0024664C"/>
    <w:rsid w:val="00247F6D"/>
    <w:rsid w:val="0025207A"/>
    <w:rsid w:val="002528B4"/>
    <w:rsid w:val="0025321F"/>
    <w:rsid w:val="00253F08"/>
    <w:rsid w:val="0025690B"/>
    <w:rsid w:val="00263546"/>
    <w:rsid w:val="00267984"/>
    <w:rsid w:val="0027094F"/>
    <w:rsid w:val="00271CB7"/>
    <w:rsid w:val="00274643"/>
    <w:rsid w:val="002803B4"/>
    <w:rsid w:val="00283BA1"/>
    <w:rsid w:val="00290282"/>
    <w:rsid w:val="002905DD"/>
    <w:rsid w:val="002936B1"/>
    <w:rsid w:val="002A0103"/>
    <w:rsid w:val="002A3556"/>
    <w:rsid w:val="002A48C3"/>
    <w:rsid w:val="002A5529"/>
    <w:rsid w:val="002A6BAA"/>
    <w:rsid w:val="002B19C9"/>
    <w:rsid w:val="002B2CBC"/>
    <w:rsid w:val="002B5FE1"/>
    <w:rsid w:val="002B76D9"/>
    <w:rsid w:val="002C3372"/>
    <w:rsid w:val="002C4165"/>
    <w:rsid w:val="002D0117"/>
    <w:rsid w:val="002D344D"/>
    <w:rsid w:val="002D581C"/>
    <w:rsid w:val="002D769A"/>
    <w:rsid w:val="002E37E9"/>
    <w:rsid w:val="002E763D"/>
    <w:rsid w:val="002E776D"/>
    <w:rsid w:val="002F30D3"/>
    <w:rsid w:val="002F73DA"/>
    <w:rsid w:val="00300EA9"/>
    <w:rsid w:val="0030281E"/>
    <w:rsid w:val="00305C19"/>
    <w:rsid w:val="00312409"/>
    <w:rsid w:val="0031286C"/>
    <w:rsid w:val="00313196"/>
    <w:rsid w:val="00316EF8"/>
    <w:rsid w:val="003175F3"/>
    <w:rsid w:val="003177E2"/>
    <w:rsid w:val="00322747"/>
    <w:rsid w:val="00322C80"/>
    <w:rsid w:val="00322CD4"/>
    <w:rsid w:val="003248F3"/>
    <w:rsid w:val="00327F97"/>
    <w:rsid w:val="00334102"/>
    <w:rsid w:val="0033547C"/>
    <w:rsid w:val="00344227"/>
    <w:rsid w:val="00344D99"/>
    <w:rsid w:val="00346119"/>
    <w:rsid w:val="0035654C"/>
    <w:rsid w:val="00357F64"/>
    <w:rsid w:val="00362CAF"/>
    <w:rsid w:val="00362CFC"/>
    <w:rsid w:val="00365B48"/>
    <w:rsid w:val="00376B0F"/>
    <w:rsid w:val="003816A2"/>
    <w:rsid w:val="00385400"/>
    <w:rsid w:val="0038590D"/>
    <w:rsid w:val="00386DC5"/>
    <w:rsid w:val="0039025B"/>
    <w:rsid w:val="00394005"/>
    <w:rsid w:val="00394A05"/>
    <w:rsid w:val="00395277"/>
    <w:rsid w:val="00395379"/>
    <w:rsid w:val="00396626"/>
    <w:rsid w:val="003A4311"/>
    <w:rsid w:val="003B0A8C"/>
    <w:rsid w:val="003B29F5"/>
    <w:rsid w:val="003B3BD6"/>
    <w:rsid w:val="003D4BBD"/>
    <w:rsid w:val="003D4DB2"/>
    <w:rsid w:val="003D65D5"/>
    <w:rsid w:val="003E20F6"/>
    <w:rsid w:val="003E380A"/>
    <w:rsid w:val="003E459B"/>
    <w:rsid w:val="003F7738"/>
    <w:rsid w:val="00401ACC"/>
    <w:rsid w:val="004032A8"/>
    <w:rsid w:val="00404A14"/>
    <w:rsid w:val="0040539F"/>
    <w:rsid w:val="00406846"/>
    <w:rsid w:val="00410D93"/>
    <w:rsid w:val="004111AA"/>
    <w:rsid w:val="00421897"/>
    <w:rsid w:val="00424CAB"/>
    <w:rsid w:val="004251F8"/>
    <w:rsid w:val="004274D5"/>
    <w:rsid w:val="00435346"/>
    <w:rsid w:val="00437BB0"/>
    <w:rsid w:val="00440ADF"/>
    <w:rsid w:val="0044188D"/>
    <w:rsid w:val="00443700"/>
    <w:rsid w:val="004478C3"/>
    <w:rsid w:val="004550F2"/>
    <w:rsid w:val="00457E12"/>
    <w:rsid w:val="004627D9"/>
    <w:rsid w:val="0046389B"/>
    <w:rsid w:val="00463CBD"/>
    <w:rsid w:val="00464A79"/>
    <w:rsid w:val="004674AD"/>
    <w:rsid w:val="00475D8F"/>
    <w:rsid w:val="00476114"/>
    <w:rsid w:val="00484254"/>
    <w:rsid w:val="00485550"/>
    <w:rsid w:val="00485A82"/>
    <w:rsid w:val="00486628"/>
    <w:rsid w:val="00486A69"/>
    <w:rsid w:val="004A0092"/>
    <w:rsid w:val="004B2C91"/>
    <w:rsid w:val="004B32C3"/>
    <w:rsid w:val="004B7719"/>
    <w:rsid w:val="004B7BBE"/>
    <w:rsid w:val="004C0653"/>
    <w:rsid w:val="004C2308"/>
    <w:rsid w:val="004C5B78"/>
    <w:rsid w:val="004C5CAD"/>
    <w:rsid w:val="004C7BC6"/>
    <w:rsid w:val="004D159D"/>
    <w:rsid w:val="004D1E81"/>
    <w:rsid w:val="004D7760"/>
    <w:rsid w:val="004E00F0"/>
    <w:rsid w:val="004E24A1"/>
    <w:rsid w:val="004E65DB"/>
    <w:rsid w:val="004F1AA4"/>
    <w:rsid w:val="004F6B06"/>
    <w:rsid w:val="0050005A"/>
    <w:rsid w:val="00500278"/>
    <w:rsid w:val="00502936"/>
    <w:rsid w:val="005059E9"/>
    <w:rsid w:val="00506AC9"/>
    <w:rsid w:val="00512AEB"/>
    <w:rsid w:val="0052239D"/>
    <w:rsid w:val="00525367"/>
    <w:rsid w:val="00530453"/>
    <w:rsid w:val="00532F6E"/>
    <w:rsid w:val="00536009"/>
    <w:rsid w:val="005442F9"/>
    <w:rsid w:val="00550893"/>
    <w:rsid w:val="005509CA"/>
    <w:rsid w:val="00550D8E"/>
    <w:rsid w:val="00550F4B"/>
    <w:rsid w:val="00552337"/>
    <w:rsid w:val="005544C0"/>
    <w:rsid w:val="005555C6"/>
    <w:rsid w:val="0055692F"/>
    <w:rsid w:val="00563E99"/>
    <w:rsid w:val="005654F4"/>
    <w:rsid w:val="0056607D"/>
    <w:rsid w:val="00572E9C"/>
    <w:rsid w:val="00574B34"/>
    <w:rsid w:val="0057751D"/>
    <w:rsid w:val="00580C7F"/>
    <w:rsid w:val="00580E8C"/>
    <w:rsid w:val="005815FD"/>
    <w:rsid w:val="00581D7B"/>
    <w:rsid w:val="005855B1"/>
    <w:rsid w:val="005863DE"/>
    <w:rsid w:val="00587E91"/>
    <w:rsid w:val="005950A8"/>
    <w:rsid w:val="00597D67"/>
    <w:rsid w:val="005A4E3E"/>
    <w:rsid w:val="005A6A4C"/>
    <w:rsid w:val="005B0A49"/>
    <w:rsid w:val="005B420F"/>
    <w:rsid w:val="005C1176"/>
    <w:rsid w:val="005C1DDB"/>
    <w:rsid w:val="005C76BB"/>
    <w:rsid w:val="005D211F"/>
    <w:rsid w:val="005D493A"/>
    <w:rsid w:val="005D6259"/>
    <w:rsid w:val="005D62EC"/>
    <w:rsid w:val="005D68A2"/>
    <w:rsid w:val="005D7B56"/>
    <w:rsid w:val="005E03A9"/>
    <w:rsid w:val="005E406F"/>
    <w:rsid w:val="005E511C"/>
    <w:rsid w:val="005E5743"/>
    <w:rsid w:val="005E67E7"/>
    <w:rsid w:val="005E7EAC"/>
    <w:rsid w:val="005F03EE"/>
    <w:rsid w:val="005F1FF6"/>
    <w:rsid w:val="006002D0"/>
    <w:rsid w:val="006079C7"/>
    <w:rsid w:val="00612354"/>
    <w:rsid w:val="00612C77"/>
    <w:rsid w:val="006135D7"/>
    <w:rsid w:val="006139D7"/>
    <w:rsid w:val="00617313"/>
    <w:rsid w:val="00617EEB"/>
    <w:rsid w:val="006263F1"/>
    <w:rsid w:val="0063026D"/>
    <w:rsid w:val="006306CA"/>
    <w:rsid w:val="0063516A"/>
    <w:rsid w:val="00641733"/>
    <w:rsid w:val="00653DF9"/>
    <w:rsid w:val="006541AF"/>
    <w:rsid w:val="0065488A"/>
    <w:rsid w:val="0065758C"/>
    <w:rsid w:val="006576B5"/>
    <w:rsid w:val="00661F94"/>
    <w:rsid w:val="00667697"/>
    <w:rsid w:val="00671141"/>
    <w:rsid w:val="006725A1"/>
    <w:rsid w:val="00677607"/>
    <w:rsid w:val="00681134"/>
    <w:rsid w:val="006868A2"/>
    <w:rsid w:val="00695FBC"/>
    <w:rsid w:val="00697641"/>
    <w:rsid w:val="006A0894"/>
    <w:rsid w:val="006A2412"/>
    <w:rsid w:val="006A447C"/>
    <w:rsid w:val="006A4DA8"/>
    <w:rsid w:val="006B0319"/>
    <w:rsid w:val="006B6EBD"/>
    <w:rsid w:val="006C1162"/>
    <w:rsid w:val="006C2F4C"/>
    <w:rsid w:val="006C44C0"/>
    <w:rsid w:val="006C498A"/>
    <w:rsid w:val="006C608D"/>
    <w:rsid w:val="006D07BC"/>
    <w:rsid w:val="006D0C00"/>
    <w:rsid w:val="006D2B37"/>
    <w:rsid w:val="006D3146"/>
    <w:rsid w:val="006D31FB"/>
    <w:rsid w:val="006D3CEC"/>
    <w:rsid w:val="006E35C1"/>
    <w:rsid w:val="006E5A5F"/>
    <w:rsid w:val="006E6047"/>
    <w:rsid w:val="006E6167"/>
    <w:rsid w:val="006F141E"/>
    <w:rsid w:val="006F729C"/>
    <w:rsid w:val="006F7B6E"/>
    <w:rsid w:val="007008B6"/>
    <w:rsid w:val="00702D5C"/>
    <w:rsid w:val="00703565"/>
    <w:rsid w:val="00703A54"/>
    <w:rsid w:val="00706BFE"/>
    <w:rsid w:val="0070799A"/>
    <w:rsid w:val="00711F37"/>
    <w:rsid w:val="0071290E"/>
    <w:rsid w:val="00713BB1"/>
    <w:rsid w:val="007144A2"/>
    <w:rsid w:val="007146D2"/>
    <w:rsid w:val="007266F5"/>
    <w:rsid w:val="007313AD"/>
    <w:rsid w:val="007331F0"/>
    <w:rsid w:val="007346AC"/>
    <w:rsid w:val="007351FE"/>
    <w:rsid w:val="00742612"/>
    <w:rsid w:val="00751776"/>
    <w:rsid w:val="00761806"/>
    <w:rsid w:val="00762912"/>
    <w:rsid w:val="007650AC"/>
    <w:rsid w:val="007708FA"/>
    <w:rsid w:val="00775A98"/>
    <w:rsid w:val="007906AC"/>
    <w:rsid w:val="00790B2D"/>
    <w:rsid w:val="007915C6"/>
    <w:rsid w:val="00791D43"/>
    <w:rsid w:val="00793FC9"/>
    <w:rsid w:val="0079439F"/>
    <w:rsid w:val="00795545"/>
    <w:rsid w:val="00795864"/>
    <w:rsid w:val="007A651E"/>
    <w:rsid w:val="007B0C4F"/>
    <w:rsid w:val="007B1AAA"/>
    <w:rsid w:val="007B4A04"/>
    <w:rsid w:val="007B734A"/>
    <w:rsid w:val="007C0A72"/>
    <w:rsid w:val="007C26C8"/>
    <w:rsid w:val="007C3517"/>
    <w:rsid w:val="007C5726"/>
    <w:rsid w:val="007C57E4"/>
    <w:rsid w:val="007D2B20"/>
    <w:rsid w:val="007D7942"/>
    <w:rsid w:val="007E1A81"/>
    <w:rsid w:val="007E5772"/>
    <w:rsid w:val="007E5A56"/>
    <w:rsid w:val="007E6E36"/>
    <w:rsid w:val="007F06A6"/>
    <w:rsid w:val="007F6AB6"/>
    <w:rsid w:val="00800DE7"/>
    <w:rsid w:val="00801D82"/>
    <w:rsid w:val="0080635B"/>
    <w:rsid w:val="0080697C"/>
    <w:rsid w:val="00806D52"/>
    <w:rsid w:val="00812FB8"/>
    <w:rsid w:val="00813435"/>
    <w:rsid w:val="008156E4"/>
    <w:rsid w:val="00816AC5"/>
    <w:rsid w:val="008203F9"/>
    <w:rsid w:val="00820759"/>
    <w:rsid w:val="00822515"/>
    <w:rsid w:val="008317DA"/>
    <w:rsid w:val="00831CA8"/>
    <w:rsid w:val="0083262C"/>
    <w:rsid w:val="00832F5F"/>
    <w:rsid w:val="008339EA"/>
    <w:rsid w:val="00835FAA"/>
    <w:rsid w:val="0083612C"/>
    <w:rsid w:val="008403C9"/>
    <w:rsid w:val="0084055F"/>
    <w:rsid w:val="00842976"/>
    <w:rsid w:val="008435A4"/>
    <w:rsid w:val="008469F8"/>
    <w:rsid w:val="008517ED"/>
    <w:rsid w:val="00852E8A"/>
    <w:rsid w:val="00861E61"/>
    <w:rsid w:val="00867113"/>
    <w:rsid w:val="008671B2"/>
    <w:rsid w:val="00872920"/>
    <w:rsid w:val="00873169"/>
    <w:rsid w:val="00876900"/>
    <w:rsid w:val="00877723"/>
    <w:rsid w:val="00882D85"/>
    <w:rsid w:val="008912DA"/>
    <w:rsid w:val="008914D4"/>
    <w:rsid w:val="008946AD"/>
    <w:rsid w:val="008947F1"/>
    <w:rsid w:val="008953DD"/>
    <w:rsid w:val="008A3D16"/>
    <w:rsid w:val="008A6381"/>
    <w:rsid w:val="008A758E"/>
    <w:rsid w:val="008A7DE2"/>
    <w:rsid w:val="008B16BE"/>
    <w:rsid w:val="008C127F"/>
    <w:rsid w:val="008C35F1"/>
    <w:rsid w:val="008C6232"/>
    <w:rsid w:val="008C69A3"/>
    <w:rsid w:val="008D2BD1"/>
    <w:rsid w:val="008E055E"/>
    <w:rsid w:val="008E0CAD"/>
    <w:rsid w:val="008E30C2"/>
    <w:rsid w:val="008E58BF"/>
    <w:rsid w:val="008E638F"/>
    <w:rsid w:val="008F0F78"/>
    <w:rsid w:val="008F5F2F"/>
    <w:rsid w:val="00901442"/>
    <w:rsid w:val="00905C20"/>
    <w:rsid w:val="00911CE1"/>
    <w:rsid w:val="00916621"/>
    <w:rsid w:val="0091715D"/>
    <w:rsid w:val="00922528"/>
    <w:rsid w:val="00922993"/>
    <w:rsid w:val="00927307"/>
    <w:rsid w:val="009276F8"/>
    <w:rsid w:val="00933AB0"/>
    <w:rsid w:val="00933E38"/>
    <w:rsid w:val="00933E3B"/>
    <w:rsid w:val="00934226"/>
    <w:rsid w:val="00934611"/>
    <w:rsid w:val="00935FD6"/>
    <w:rsid w:val="009362D9"/>
    <w:rsid w:val="00936562"/>
    <w:rsid w:val="0093700D"/>
    <w:rsid w:val="0093727F"/>
    <w:rsid w:val="009432D7"/>
    <w:rsid w:val="00943871"/>
    <w:rsid w:val="009461C8"/>
    <w:rsid w:val="00952668"/>
    <w:rsid w:val="00953ED1"/>
    <w:rsid w:val="00957B9C"/>
    <w:rsid w:val="00957E0D"/>
    <w:rsid w:val="00957E80"/>
    <w:rsid w:val="00963F07"/>
    <w:rsid w:val="00964404"/>
    <w:rsid w:val="00967DF2"/>
    <w:rsid w:val="00976ADF"/>
    <w:rsid w:val="00981F52"/>
    <w:rsid w:val="009829E0"/>
    <w:rsid w:val="00982A96"/>
    <w:rsid w:val="009866CA"/>
    <w:rsid w:val="00991D3F"/>
    <w:rsid w:val="009A367F"/>
    <w:rsid w:val="009A5BAD"/>
    <w:rsid w:val="009A600E"/>
    <w:rsid w:val="009B1293"/>
    <w:rsid w:val="009B3C49"/>
    <w:rsid w:val="009C17DA"/>
    <w:rsid w:val="009D22B4"/>
    <w:rsid w:val="009D4985"/>
    <w:rsid w:val="009D787C"/>
    <w:rsid w:val="009E0987"/>
    <w:rsid w:val="009E1767"/>
    <w:rsid w:val="009E35C6"/>
    <w:rsid w:val="009E50B6"/>
    <w:rsid w:val="009F31BA"/>
    <w:rsid w:val="009F3B2E"/>
    <w:rsid w:val="009F6926"/>
    <w:rsid w:val="00A06108"/>
    <w:rsid w:val="00A10A3E"/>
    <w:rsid w:val="00A1164A"/>
    <w:rsid w:val="00A12A0F"/>
    <w:rsid w:val="00A1334B"/>
    <w:rsid w:val="00A15500"/>
    <w:rsid w:val="00A210EE"/>
    <w:rsid w:val="00A21D47"/>
    <w:rsid w:val="00A225EF"/>
    <w:rsid w:val="00A26D50"/>
    <w:rsid w:val="00A307FD"/>
    <w:rsid w:val="00A373CE"/>
    <w:rsid w:val="00A45A5F"/>
    <w:rsid w:val="00A5106C"/>
    <w:rsid w:val="00A5251A"/>
    <w:rsid w:val="00A55234"/>
    <w:rsid w:val="00A55977"/>
    <w:rsid w:val="00A57E11"/>
    <w:rsid w:val="00A601CB"/>
    <w:rsid w:val="00A60986"/>
    <w:rsid w:val="00A703ED"/>
    <w:rsid w:val="00A72F00"/>
    <w:rsid w:val="00A77074"/>
    <w:rsid w:val="00A80D24"/>
    <w:rsid w:val="00A81906"/>
    <w:rsid w:val="00A830AA"/>
    <w:rsid w:val="00A86E4D"/>
    <w:rsid w:val="00A87857"/>
    <w:rsid w:val="00A87C9C"/>
    <w:rsid w:val="00A9228E"/>
    <w:rsid w:val="00A92BB7"/>
    <w:rsid w:val="00AA2967"/>
    <w:rsid w:val="00AA3D9B"/>
    <w:rsid w:val="00AA634C"/>
    <w:rsid w:val="00AA7E66"/>
    <w:rsid w:val="00AB1724"/>
    <w:rsid w:val="00AB5286"/>
    <w:rsid w:val="00AB597F"/>
    <w:rsid w:val="00AB656C"/>
    <w:rsid w:val="00AC50E8"/>
    <w:rsid w:val="00AC63B7"/>
    <w:rsid w:val="00AD3591"/>
    <w:rsid w:val="00AD4372"/>
    <w:rsid w:val="00AD48AE"/>
    <w:rsid w:val="00AE3C72"/>
    <w:rsid w:val="00AE68F5"/>
    <w:rsid w:val="00AE7E63"/>
    <w:rsid w:val="00AF019D"/>
    <w:rsid w:val="00AF0559"/>
    <w:rsid w:val="00AF4EE0"/>
    <w:rsid w:val="00B00F0C"/>
    <w:rsid w:val="00B04E9F"/>
    <w:rsid w:val="00B06639"/>
    <w:rsid w:val="00B13BFB"/>
    <w:rsid w:val="00B17639"/>
    <w:rsid w:val="00B17D4E"/>
    <w:rsid w:val="00B20BFA"/>
    <w:rsid w:val="00B246BF"/>
    <w:rsid w:val="00B262FD"/>
    <w:rsid w:val="00B3199D"/>
    <w:rsid w:val="00B32C87"/>
    <w:rsid w:val="00B32D48"/>
    <w:rsid w:val="00B33FBF"/>
    <w:rsid w:val="00B421A8"/>
    <w:rsid w:val="00B42B30"/>
    <w:rsid w:val="00B447F1"/>
    <w:rsid w:val="00B45A87"/>
    <w:rsid w:val="00B5363E"/>
    <w:rsid w:val="00B55484"/>
    <w:rsid w:val="00B55A23"/>
    <w:rsid w:val="00B609A4"/>
    <w:rsid w:val="00B61311"/>
    <w:rsid w:val="00B617A4"/>
    <w:rsid w:val="00B61C44"/>
    <w:rsid w:val="00B64694"/>
    <w:rsid w:val="00B72A26"/>
    <w:rsid w:val="00B7382F"/>
    <w:rsid w:val="00B77A1E"/>
    <w:rsid w:val="00B8046B"/>
    <w:rsid w:val="00B864B7"/>
    <w:rsid w:val="00B911D7"/>
    <w:rsid w:val="00B92FA0"/>
    <w:rsid w:val="00B94A56"/>
    <w:rsid w:val="00BA307D"/>
    <w:rsid w:val="00BA40BD"/>
    <w:rsid w:val="00BA5EB0"/>
    <w:rsid w:val="00BA6103"/>
    <w:rsid w:val="00BA6351"/>
    <w:rsid w:val="00BB154D"/>
    <w:rsid w:val="00BB43B6"/>
    <w:rsid w:val="00BB547D"/>
    <w:rsid w:val="00BC4AF8"/>
    <w:rsid w:val="00BC55B4"/>
    <w:rsid w:val="00BD11FD"/>
    <w:rsid w:val="00BD20BA"/>
    <w:rsid w:val="00BD396D"/>
    <w:rsid w:val="00BD3BFC"/>
    <w:rsid w:val="00BD4F86"/>
    <w:rsid w:val="00BD5E26"/>
    <w:rsid w:val="00BE1892"/>
    <w:rsid w:val="00BE1F1D"/>
    <w:rsid w:val="00BE2F2C"/>
    <w:rsid w:val="00BE3A01"/>
    <w:rsid w:val="00BE3B92"/>
    <w:rsid w:val="00BE5910"/>
    <w:rsid w:val="00BE6907"/>
    <w:rsid w:val="00BF0F0A"/>
    <w:rsid w:val="00BF14CA"/>
    <w:rsid w:val="00C0086E"/>
    <w:rsid w:val="00C05DFC"/>
    <w:rsid w:val="00C10A57"/>
    <w:rsid w:val="00C11F96"/>
    <w:rsid w:val="00C13D7D"/>
    <w:rsid w:val="00C22122"/>
    <w:rsid w:val="00C245F8"/>
    <w:rsid w:val="00C32A3A"/>
    <w:rsid w:val="00C3345F"/>
    <w:rsid w:val="00C33FC6"/>
    <w:rsid w:val="00C36D13"/>
    <w:rsid w:val="00C44B71"/>
    <w:rsid w:val="00C51351"/>
    <w:rsid w:val="00C54576"/>
    <w:rsid w:val="00C54CF7"/>
    <w:rsid w:val="00C70153"/>
    <w:rsid w:val="00C81183"/>
    <w:rsid w:val="00C87C5A"/>
    <w:rsid w:val="00C92D8B"/>
    <w:rsid w:val="00C955AE"/>
    <w:rsid w:val="00CA072C"/>
    <w:rsid w:val="00CA17D1"/>
    <w:rsid w:val="00CA19AD"/>
    <w:rsid w:val="00CA55FE"/>
    <w:rsid w:val="00CA6F6A"/>
    <w:rsid w:val="00CB333E"/>
    <w:rsid w:val="00CB3C58"/>
    <w:rsid w:val="00CB64D0"/>
    <w:rsid w:val="00CC1B67"/>
    <w:rsid w:val="00CC5B6B"/>
    <w:rsid w:val="00CC7A3D"/>
    <w:rsid w:val="00CD01B4"/>
    <w:rsid w:val="00CD48B3"/>
    <w:rsid w:val="00CD755C"/>
    <w:rsid w:val="00CD790D"/>
    <w:rsid w:val="00CE2A5B"/>
    <w:rsid w:val="00CE706C"/>
    <w:rsid w:val="00CE7197"/>
    <w:rsid w:val="00CF07CB"/>
    <w:rsid w:val="00CF5200"/>
    <w:rsid w:val="00CF7419"/>
    <w:rsid w:val="00D03C18"/>
    <w:rsid w:val="00D07868"/>
    <w:rsid w:val="00D11CB0"/>
    <w:rsid w:val="00D1206F"/>
    <w:rsid w:val="00D14FE6"/>
    <w:rsid w:val="00D16812"/>
    <w:rsid w:val="00D16C23"/>
    <w:rsid w:val="00D31AA7"/>
    <w:rsid w:val="00D3762E"/>
    <w:rsid w:val="00D37C5F"/>
    <w:rsid w:val="00D43FD0"/>
    <w:rsid w:val="00D44ABA"/>
    <w:rsid w:val="00D46FB6"/>
    <w:rsid w:val="00D52825"/>
    <w:rsid w:val="00D56080"/>
    <w:rsid w:val="00D5720D"/>
    <w:rsid w:val="00D860DB"/>
    <w:rsid w:val="00D91935"/>
    <w:rsid w:val="00DA32C4"/>
    <w:rsid w:val="00DB0397"/>
    <w:rsid w:val="00DB5899"/>
    <w:rsid w:val="00DB6552"/>
    <w:rsid w:val="00DC0F64"/>
    <w:rsid w:val="00DC7EAE"/>
    <w:rsid w:val="00DD0185"/>
    <w:rsid w:val="00DD1A3B"/>
    <w:rsid w:val="00DD331C"/>
    <w:rsid w:val="00DD33B1"/>
    <w:rsid w:val="00DE2FE5"/>
    <w:rsid w:val="00DE59A1"/>
    <w:rsid w:val="00DE78BE"/>
    <w:rsid w:val="00DF0033"/>
    <w:rsid w:val="00DF174B"/>
    <w:rsid w:val="00DF39E7"/>
    <w:rsid w:val="00DF6BEF"/>
    <w:rsid w:val="00DF7782"/>
    <w:rsid w:val="00E0032D"/>
    <w:rsid w:val="00E02CF1"/>
    <w:rsid w:val="00E03713"/>
    <w:rsid w:val="00E0495C"/>
    <w:rsid w:val="00E0667C"/>
    <w:rsid w:val="00E12684"/>
    <w:rsid w:val="00E13E34"/>
    <w:rsid w:val="00E15F14"/>
    <w:rsid w:val="00E16284"/>
    <w:rsid w:val="00E207F8"/>
    <w:rsid w:val="00E2383C"/>
    <w:rsid w:val="00E254C2"/>
    <w:rsid w:val="00E25941"/>
    <w:rsid w:val="00E25C42"/>
    <w:rsid w:val="00E25CFE"/>
    <w:rsid w:val="00E25D7F"/>
    <w:rsid w:val="00E3174A"/>
    <w:rsid w:val="00E36A10"/>
    <w:rsid w:val="00E371F6"/>
    <w:rsid w:val="00E406A7"/>
    <w:rsid w:val="00E42437"/>
    <w:rsid w:val="00E426FD"/>
    <w:rsid w:val="00E44F9A"/>
    <w:rsid w:val="00E450D3"/>
    <w:rsid w:val="00E45547"/>
    <w:rsid w:val="00E45DC8"/>
    <w:rsid w:val="00E50BAF"/>
    <w:rsid w:val="00E50F58"/>
    <w:rsid w:val="00E53E56"/>
    <w:rsid w:val="00E54707"/>
    <w:rsid w:val="00E61FAA"/>
    <w:rsid w:val="00E63328"/>
    <w:rsid w:val="00E642EB"/>
    <w:rsid w:val="00E67B8B"/>
    <w:rsid w:val="00E77241"/>
    <w:rsid w:val="00E8668A"/>
    <w:rsid w:val="00E9014B"/>
    <w:rsid w:val="00E94E18"/>
    <w:rsid w:val="00E952CE"/>
    <w:rsid w:val="00E95EB4"/>
    <w:rsid w:val="00EA7D15"/>
    <w:rsid w:val="00EB445E"/>
    <w:rsid w:val="00ED3955"/>
    <w:rsid w:val="00ED738E"/>
    <w:rsid w:val="00EE0A0B"/>
    <w:rsid w:val="00EE42F6"/>
    <w:rsid w:val="00EE437A"/>
    <w:rsid w:val="00EF0D46"/>
    <w:rsid w:val="00EF17E8"/>
    <w:rsid w:val="00EF53D6"/>
    <w:rsid w:val="00F0201E"/>
    <w:rsid w:val="00F0373A"/>
    <w:rsid w:val="00F06F35"/>
    <w:rsid w:val="00F07F31"/>
    <w:rsid w:val="00F10137"/>
    <w:rsid w:val="00F116B9"/>
    <w:rsid w:val="00F1310A"/>
    <w:rsid w:val="00F13E1B"/>
    <w:rsid w:val="00F251D6"/>
    <w:rsid w:val="00F30F13"/>
    <w:rsid w:val="00F30FCC"/>
    <w:rsid w:val="00F33C5F"/>
    <w:rsid w:val="00F34E43"/>
    <w:rsid w:val="00F3501F"/>
    <w:rsid w:val="00F4142D"/>
    <w:rsid w:val="00F41B43"/>
    <w:rsid w:val="00F433AD"/>
    <w:rsid w:val="00F45703"/>
    <w:rsid w:val="00F57FAD"/>
    <w:rsid w:val="00F71014"/>
    <w:rsid w:val="00F7277A"/>
    <w:rsid w:val="00F74CC7"/>
    <w:rsid w:val="00F8510D"/>
    <w:rsid w:val="00F854B8"/>
    <w:rsid w:val="00F94D35"/>
    <w:rsid w:val="00F97D88"/>
    <w:rsid w:val="00FA0AA9"/>
    <w:rsid w:val="00FA1242"/>
    <w:rsid w:val="00FA36B4"/>
    <w:rsid w:val="00FB1C9B"/>
    <w:rsid w:val="00FB1CB6"/>
    <w:rsid w:val="00FB210C"/>
    <w:rsid w:val="00FB221E"/>
    <w:rsid w:val="00FB51B9"/>
    <w:rsid w:val="00FC10D1"/>
    <w:rsid w:val="00FC126B"/>
    <w:rsid w:val="00FD008A"/>
    <w:rsid w:val="00FD0907"/>
    <w:rsid w:val="00FD2531"/>
    <w:rsid w:val="00FD4466"/>
    <w:rsid w:val="00FD7B35"/>
    <w:rsid w:val="00FE1DED"/>
    <w:rsid w:val="00FE2C96"/>
    <w:rsid w:val="00FE31B6"/>
    <w:rsid w:val="00FE3CF7"/>
    <w:rsid w:val="00FF2A16"/>
    <w:rsid w:val="00FF4753"/>
    <w:rsid w:val="00FF49CD"/>
    <w:rsid w:val="00FF4A9D"/>
    <w:rsid w:val="00FF60F4"/>
    <w:rsid w:val="00FF73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4971"/>
    <w:pPr>
      <w:spacing w:after="0" w:line="240" w:lineRule="auto"/>
    </w:pPr>
    <w:rPr>
      <w:rFonts w:ascii="Times New Roman" w:eastAsia="Times New Roman" w:hAnsi="Times New Roman" w:cs="Times New Roman"/>
      <w:sz w:val="24"/>
      <w:szCs w:val="24"/>
      <w:lang w:eastAsia="nl-NL"/>
    </w:rPr>
  </w:style>
  <w:style w:type="paragraph" w:styleId="Kop4">
    <w:name w:val="heading 4"/>
    <w:basedOn w:val="Standaard"/>
    <w:link w:val="Kop4Char"/>
    <w:uiPriority w:val="9"/>
    <w:qFormat/>
    <w:rsid w:val="00CE2A5B"/>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74971"/>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174971"/>
    <w:pPr>
      <w:spacing w:after="0" w:line="240" w:lineRule="auto"/>
    </w:pPr>
    <w:rPr>
      <w:rFonts w:ascii="Verdana" w:hAnsi="Verdana"/>
      <w:sz w:val="18"/>
    </w:rPr>
  </w:style>
  <w:style w:type="paragraph" w:styleId="Plattetekst">
    <w:name w:val="Body Text"/>
    <w:basedOn w:val="Standaard"/>
    <w:link w:val="PlattetekstChar"/>
    <w:rsid w:val="00457E12"/>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
    <w:name w:val="Platte tekst Char"/>
    <w:basedOn w:val="Standaardalinea-lettertype"/>
    <w:link w:val="Plattetekst"/>
    <w:rsid w:val="00457E12"/>
    <w:rPr>
      <w:rFonts w:ascii="Arial" w:eastAsia="Times New Roman" w:hAnsi="Arial" w:cs="Times New Roman"/>
      <w:sz w:val="20"/>
      <w:szCs w:val="20"/>
      <w:lang w:eastAsia="nl-NL"/>
    </w:rPr>
  </w:style>
  <w:style w:type="character" w:customStyle="1" w:styleId="Kop4Char">
    <w:name w:val="Kop 4 Char"/>
    <w:basedOn w:val="Standaardalinea-lettertype"/>
    <w:link w:val="Kop4"/>
    <w:uiPriority w:val="9"/>
    <w:rsid w:val="00CE2A5B"/>
    <w:rPr>
      <w:rFonts w:ascii="Times New Roman" w:eastAsia="Times New Roman" w:hAnsi="Times New Roman" w:cs="Times New Roman"/>
      <w:b/>
      <w:bCs/>
      <w:sz w:val="24"/>
      <w:szCs w:val="24"/>
      <w:lang w:eastAsia="nl-NL"/>
    </w:rPr>
  </w:style>
  <w:style w:type="character" w:styleId="Verwijzingopmerking">
    <w:name w:val="annotation reference"/>
    <w:basedOn w:val="Standaardalinea-lettertype"/>
    <w:uiPriority w:val="99"/>
    <w:semiHidden/>
    <w:unhideWhenUsed/>
    <w:rsid w:val="00CE2A5B"/>
    <w:rPr>
      <w:sz w:val="16"/>
      <w:szCs w:val="16"/>
    </w:rPr>
  </w:style>
  <w:style w:type="paragraph" w:styleId="Tekstopmerking">
    <w:name w:val="annotation text"/>
    <w:basedOn w:val="Standaard"/>
    <w:link w:val="TekstopmerkingChar"/>
    <w:uiPriority w:val="99"/>
    <w:unhideWhenUsed/>
    <w:rsid w:val="00CE2A5B"/>
    <w:rPr>
      <w:rFonts w:eastAsiaTheme="minorEastAsia"/>
      <w:sz w:val="20"/>
      <w:szCs w:val="20"/>
    </w:rPr>
  </w:style>
  <w:style w:type="character" w:customStyle="1" w:styleId="TekstopmerkingChar">
    <w:name w:val="Tekst opmerking Char"/>
    <w:basedOn w:val="Standaardalinea-lettertype"/>
    <w:link w:val="Tekstopmerking"/>
    <w:uiPriority w:val="99"/>
    <w:rsid w:val="00CE2A5B"/>
    <w:rPr>
      <w:rFonts w:ascii="Times New Roman" w:eastAsiaTheme="minorEastAsia" w:hAnsi="Times New Roman" w:cs="Times New Roman"/>
      <w:sz w:val="20"/>
      <w:szCs w:val="20"/>
      <w:lang w:eastAsia="nl-NL"/>
    </w:rPr>
  </w:style>
  <w:style w:type="paragraph" w:styleId="Ballontekst">
    <w:name w:val="Balloon Text"/>
    <w:basedOn w:val="Standaard"/>
    <w:link w:val="BallontekstChar"/>
    <w:uiPriority w:val="99"/>
    <w:semiHidden/>
    <w:unhideWhenUsed/>
    <w:rsid w:val="00CE2A5B"/>
    <w:rPr>
      <w:rFonts w:ascii="Tahoma" w:hAnsi="Tahoma" w:cs="Tahoma"/>
      <w:sz w:val="16"/>
      <w:szCs w:val="16"/>
    </w:rPr>
  </w:style>
  <w:style w:type="character" w:customStyle="1" w:styleId="BallontekstChar">
    <w:name w:val="Ballontekst Char"/>
    <w:basedOn w:val="Standaardalinea-lettertype"/>
    <w:link w:val="Ballontekst"/>
    <w:uiPriority w:val="99"/>
    <w:semiHidden/>
    <w:rsid w:val="00CE2A5B"/>
    <w:rPr>
      <w:rFonts w:ascii="Tahoma" w:eastAsia="Times New Roman" w:hAnsi="Tahoma" w:cs="Tahoma"/>
      <w:sz w:val="16"/>
      <w:szCs w:val="16"/>
      <w:lang w:eastAsia="nl-NL"/>
    </w:rPr>
  </w:style>
  <w:style w:type="paragraph" w:styleId="Normaalweb">
    <w:name w:val="Normal (Web)"/>
    <w:basedOn w:val="Standaard"/>
    <w:uiPriority w:val="99"/>
    <w:unhideWhenUsed/>
    <w:rsid w:val="00FB210C"/>
    <w:pPr>
      <w:spacing w:before="100" w:beforeAutospacing="1" w:after="100" w:afterAutospacing="1"/>
    </w:pPr>
  </w:style>
  <w:style w:type="paragraph" w:styleId="Tekstzonderopmaak">
    <w:name w:val="Plain Text"/>
    <w:basedOn w:val="Standaard"/>
    <w:link w:val="TekstzonderopmaakChar"/>
    <w:uiPriority w:val="99"/>
    <w:semiHidden/>
    <w:unhideWhenUsed/>
    <w:rsid w:val="0071290E"/>
    <w:rPr>
      <w:rFonts w:eastAsiaTheme="minorHAnsi"/>
    </w:rPr>
  </w:style>
  <w:style w:type="character" w:customStyle="1" w:styleId="TekstzonderopmaakChar">
    <w:name w:val="Tekst zonder opmaak Char"/>
    <w:basedOn w:val="Standaardalinea-lettertype"/>
    <w:link w:val="Tekstzonderopmaak"/>
    <w:uiPriority w:val="99"/>
    <w:semiHidden/>
    <w:rsid w:val="0071290E"/>
    <w:rPr>
      <w:rFonts w:ascii="Times New Roman" w:hAnsi="Times New Roman" w:cs="Times New Roman"/>
      <w:sz w:val="24"/>
      <w:szCs w:val="24"/>
      <w:lang w:eastAsia="nl-NL"/>
    </w:rPr>
  </w:style>
  <w:style w:type="paragraph" w:styleId="Koptekst">
    <w:name w:val="header"/>
    <w:basedOn w:val="Standaard"/>
    <w:link w:val="KoptekstChar"/>
    <w:uiPriority w:val="99"/>
    <w:semiHidden/>
    <w:unhideWhenUsed/>
    <w:rsid w:val="00E12684"/>
    <w:pPr>
      <w:tabs>
        <w:tab w:val="center" w:pos="4536"/>
        <w:tab w:val="right" w:pos="9072"/>
      </w:tabs>
    </w:pPr>
    <w:rPr>
      <w:rFonts w:eastAsiaTheme="minorEastAsia"/>
    </w:rPr>
  </w:style>
  <w:style w:type="character" w:customStyle="1" w:styleId="KoptekstChar">
    <w:name w:val="Koptekst Char"/>
    <w:basedOn w:val="Standaardalinea-lettertype"/>
    <w:link w:val="Koptekst"/>
    <w:uiPriority w:val="99"/>
    <w:semiHidden/>
    <w:rsid w:val="00E12684"/>
    <w:rPr>
      <w:rFonts w:ascii="Times New Roman" w:eastAsiaTheme="minorEastAsia" w:hAnsi="Times New Roman" w:cs="Times New Roman"/>
      <w:sz w:val="24"/>
      <w:szCs w:val="24"/>
      <w:lang w:eastAsia="nl-NL"/>
    </w:rPr>
  </w:style>
  <w:style w:type="paragraph" w:styleId="Voettekst">
    <w:name w:val="footer"/>
    <w:basedOn w:val="Standaard"/>
    <w:link w:val="VoettekstChar"/>
    <w:uiPriority w:val="99"/>
    <w:unhideWhenUsed/>
    <w:rsid w:val="002905DD"/>
    <w:pPr>
      <w:tabs>
        <w:tab w:val="center" w:pos="4536"/>
        <w:tab w:val="right" w:pos="9072"/>
      </w:tabs>
    </w:pPr>
  </w:style>
  <w:style w:type="character" w:customStyle="1" w:styleId="VoettekstChar">
    <w:name w:val="Voettekst Char"/>
    <w:basedOn w:val="Standaardalinea-lettertype"/>
    <w:link w:val="Voettekst"/>
    <w:uiPriority w:val="99"/>
    <w:rsid w:val="002905DD"/>
    <w:rPr>
      <w:rFonts w:ascii="Times New Roman" w:eastAsia="Times New Roman" w:hAnsi="Times New Roman" w:cs="Times New Roman"/>
      <w:sz w:val="24"/>
      <w:szCs w:val="24"/>
      <w:lang w:eastAsia="nl-NL"/>
    </w:rPr>
  </w:style>
  <w:style w:type="character" w:styleId="Nadruk">
    <w:name w:val="Emphasis"/>
    <w:uiPriority w:val="20"/>
    <w:qFormat/>
    <w:rsid w:val="00A72F00"/>
    <w:rPr>
      <w:b/>
      <w:bCs/>
      <w:i w:val="0"/>
      <w:iCs w:val="0"/>
    </w:rPr>
  </w:style>
  <w:style w:type="character" w:customStyle="1" w:styleId="st1">
    <w:name w:val="st1"/>
    <w:rsid w:val="00A72F00"/>
  </w:style>
  <w:style w:type="paragraph" w:styleId="Onderwerpvanopmerking">
    <w:name w:val="annotation subject"/>
    <w:basedOn w:val="Tekstopmerking"/>
    <w:next w:val="Tekstopmerking"/>
    <w:link w:val="OnderwerpvanopmerkingChar"/>
    <w:uiPriority w:val="99"/>
    <w:semiHidden/>
    <w:unhideWhenUsed/>
    <w:rsid w:val="004E65DB"/>
    <w:rPr>
      <w:rFonts w:eastAsia="Times New Roman"/>
      <w:b/>
      <w:bCs/>
    </w:rPr>
  </w:style>
  <w:style w:type="character" w:customStyle="1" w:styleId="OnderwerpvanopmerkingChar">
    <w:name w:val="Onderwerp van opmerking Char"/>
    <w:basedOn w:val="TekstopmerkingChar"/>
    <w:link w:val="Onderwerpvanopmerking"/>
    <w:uiPriority w:val="99"/>
    <w:semiHidden/>
    <w:rsid w:val="004E65DB"/>
    <w:rPr>
      <w:rFonts w:eastAsia="Times New Roman"/>
      <w:b/>
      <w:bCs/>
    </w:rPr>
  </w:style>
  <w:style w:type="paragraph" w:styleId="Bijschrift">
    <w:name w:val="caption"/>
    <w:basedOn w:val="Standaard"/>
    <w:next w:val="Standaard"/>
    <w:uiPriority w:val="35"/>
    <w:unhideWhenUsed/>
    <w:qFormat/>
    <w:rsid w:val="00E426FD"/>
    <w:pPr>
      <w:spacing w:after="200"/>
    </w:pPr>
    <w:rPr>
      <w:b/>
      <w:bCs/>
      <w:color w:val="4F81BD" w:themeColor="accent1"/>
      <w:sz w:val="18"/>
      <w:szCs w:val="18"/>
    </w:rPr>
  </w:style>
  <w:style w:type="paragraph" w:styleId="Voetnoottekst">
    <w:name w:val="footnote text"/>
    <w:basedOn w:val="Standaard"/>
    <w:link w:val="VoetnoottekstChar"/>
    <w:uiPriority w:val="99"/>
    <w:rsid w:val="00D91935"/>
    <w:rPr>
      <w:rFonts w:ascii="Verdana" w:hAnsi="Verdana"/>
      <w:sz w:val="20"/>
      <w:szCs w:val="20"/>
    </w:rPr>
  </w:style>
  <w:style w:type="character" w:customStyle="1" w:styleId="VoetnoottekstChar">
    <w:name w:val="Voetnoottekst Char"/>
    <w:basedOn w:val="Standaardalinea-lettertype"/>
    <w:link w:val="Voetnoottekst"/>
    <w:uiPriority w:val="99"/>
    <w:rsid w:val="00D91935"/>
    <w:rPr>
      <w:rFonts w:ascii="Verdana" w:eastAsia="Times New Roman" w:hAnsi="Verdana" w:cs="Times New Roman"/>
      <w:sz w:val="20"/>
      <w:szCs w:val="20"/>
      <w:lang w:eastAsia="nl-NL"/>
    </w:rPr>
  </w:style>
  <w:style w:type="paragraph" w:styleId="Plattetekst2">
    <w:name w:val="Body Text 2"/>
    <w:basedOn w:val="Standaard"/>
    <w:link w:val="Plattetekst2Char"/>
    <w:uiPriority w:val="99"/>
    <w:semiHidden/>
    <w:unhideWhenUsed/>
    <w:rsid w:val="008435A4"/>
    <w:pPr>
      <w:spacing w:after="120" w:line="480" w:lineRule="auto"/>
    </w:pPr>
  </w:style>
  <w:style w:type="character" w:customStyle="1" w:styleId="Plattetekst2Char">
    <w:name w:val="Platte tekst 2 Char"/>
    <w:basedOn w:val="Standaardalinea-lettertype"/>
    <w:link w:val="Plattetekst2"/>
    <w:uiPriority w:val="99"/>
    <w:semiHidden/>
    <w:rsid w:val="008435A4"/>
    <w:rPr>
      <w:rFonts w:ascii="Times New Roman" w:eastAsia="Times New Roman" w:hAnsi="Times New Roman" w:cs="Times New Roman"/>
      <w:sz w:val="24"/>
      <w:szCs w:val="24"/>
      <w:lang w:eastAsia="nl-NL"/>
    </w:rPr>
  </w:style>
  <w:style w:type="character" w:styleId="Voetnootmarkering">
    <w:name w:val="footnote reference"/>
    <w:basedOn w:val="Standaardalinea-lettertype"/>
    <w:uiPriority w:val="99"/>
    <w:semiHidden/>
    <w:unhideWhenUsed/>
    <w:rsid w:val="00CA17D1"/>
    <w:rPr>
      <w:vertAlign w:val="superscript"/>
    </w:rPr>
  </w:style>
  <w:style w:type="paragraph" w:styleId="Lijstalinea">
    <w:name w:val="List Paragraph"/>
    <w:basedOn w:val="Standaard"/>
    <w:link w:val="LijstalineaChar"/>
    <w:uiPriority w:val="34"/>
    <w:qFormat/>
    <w:rsid w:val="00BC55B4"/>
    <w:pPr>
      <w:ind w:left="720"/>
      <w:contextualSpacing/>
    </w:pPr>
    <w:rPr>
      <w:rFonts w:eastAsiaTheme="minorEastAsia"/>
    </w:rPr>
  </w:style>
  <w:style w:type="character" w:customStyle="1" w:styleId="LijstalineaChar">
    <w:name w:val="Lijstalinea Char"/>
    <w:link w:val="Lijstalinea"/>
    <w:uiPriority w:val="34"/>
    <w:rsid w:val="008317DA"/>
    <w:rPr>
      <w:rFonts w:ascii="Times New Roman" w:eastAsiaTheme="minorEastAsia" w:hAnsi="Times New Roman" w:cs="Times New Roman"/>
      <w:sz w:val="24"/>
      <w:szCs w:val="24"/>
      <w:lang w:eastAsia="nl-NL"/>
    </w:rPr>
  </w:style>
  <w:style w:type="table" w:styleId="Tabelraster">
    <w:name w:val="Table Grid"/>
    <w:basedOn w:val="Standaardtabel"/>
    <w:rsid w:val="004478C3"/>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7069">
      <w:bodyDiv w:val="1"/>
      <w:marLeft w:val="0"/>
      <w:marRight w:val="0"/>
      <w:marTop w:val="0"/>
      <w:marBottom w:val="0"/>
      <w:divBdr>
        <w:top w:val="none" w:sz="0" w:space="0" w:color="auto"/>
        <w:left w:val="none" w:sz="0" w:space="0" w:color="auto"/>
        <w:bottom w:val="none" w:sz="0" w:space="0" w:color="auto"/>
        <w:right w:val="none" w:sz="0" w:space="0" w:color="auto"/>
      </w:divBdr>
    </w:div>
    <w:div w:id="1860770">
      <w:bodyDiv w:val="1"/>
      <w:marLeft w:val="0"/>
      <w:marRight w:val="0"/>
      <w:marTop w:val="0"/>
      <w:marBottom w:val="0"/>
      <w:divBdr>
        <w:top w:val="none" w:sz="0" w:space="0" w:color="auto"/>
        <w:left w:val="none" w:sz="0" w:space="0" w:color="auto"/>
        <w:bottom w:val="none" w:sz="0" w:space="0" w:color="auto"/>
        <w:right w:val="none" w:sz="0" w:space="0" w:color="auto"/>
      </w:divBdr>
    </w:div>
    <w:div w:id="12268202">
      <w:bodyDiv w:val="1"/>
      <w:marLeft w:val="0"/>
      <w:marRight w:val="0"/>
      <w:marTop w:val="0"/>
      <w:marBottom w:val="0"/>
      <w:divBdr>
        <w:top w:val="none" w:sz="0" w:space="0" w:color="auto"/>
        <w:left w:val="none" w:sz="0" w:space="0" w:color="auto"/>
        <w:bottom w:val="none" w:sz="0" w:space="0" w:color="auto"/>
        <w:right w:val="none" w:sz="0" w:space="0" w:color="auto"/>
      </w:divBdr>
    </w:div>
    <w:div w:id="30690248">
      <w:bodyDiv w:val="1"/>
      <w:marLeft w:val="0"/>
      <w:marRight w:val="0"/>
      <w:marTop w:val="0"/>
      <w:marBottom w:val="0"/>
      <w:divBdr>
        <w:top w:val="none" w:sz="0" w:space="0" w:color="auto"/>
        <w:left w:val="none" w:sz="0" w:space="0" w:color="auto"/>
        <w:bottom w:val="none" w:sz="0" w:space="0" w:color="auto"/>
        <w:right w:val="none" w:sz="0" w:space="0" w:color="auto"/>
      </w:divBdr>
    </w:div>
    <w:div w:id="46492438">
      <w:bodyDiv w:val="1"/>
      <w:marLeft w:val="0"/>
      <w:marRight w:val="0"/>
      <w:marTop w:val="0"/>
      <w:marBottom w:val="0"/>
      <w:divBdr>
        <w:top w:val="none" w:sz="0" w:space="0" w:color="auto"/>
        <w:left w:val="none" w:sz="0" w:space="0" w:color="auto"/>
        <w:bottom w:val="none" w:sz="0" w:space="0" w:color="auto"/>
        <w:right w:val="none" w:sz="0" w:space="0" w:color="auto"/>
      </w:divBdr>
    </w:div>
    <w:div w:id="48497736">
      <w:bodyDiv w:val="1"/>
      <w:marLeft w:val="0"/>
      <w:marRight w:val="0"/>
      <w:marTop w:val="0"/>
      <w:marBottom w:val="0"/>
      <w:divBdr>
        <w:top w:val="none" w:sz="0" w:space="0" w:color="auto"/>
        <w:left w:val="none" w:sz="0" w:space="0" w:color="auto"/>
        <w:bottom w:val="none" w:sz="0" w:space="0" w:color="auto"/>
        <w:right w:val="none" w:sz="0" w:space="0" w:color="auto"/>
      </w:divBdr>
    </w:div>
    <w:div w:id="54159730">
      <w:bodyDiv w:val="1"/>
      <w:marLeft w:val="0"/>
      <w:marRight w:val="0"/>
      <w:marTop w:val="0"/>
      <w:marBottom w:val="0"/>
      <w:divBdr>
        <w:top w:val="none" w:sz="0" w:space="0" w:color="auto"/>
        <w:left w:val="none" w:sz="0" w:space="0" w:color="auto"/>
        <w:bottom w:val="none" w:sz="0" w:space="0" w:color="auto"/>
        <w:right w:val="none" w:sz="0" w:space="0" w:color="auto"/>
      </w:divBdr>
    </w:div>
    <w:div w:id="54666595">
      <w:bodyDiv w:val="1"/>
      <w:marLeft w:val="0"/>
      <w:marRight w:val="0"/>
      <w:marTop w:val="0"/>
      <w:marBottom w:val="0"/>
      <w:divBdr>
        <w:top w:val="none" w:sz="0" w:space="0" w:color="auto"/>
        <w:left w:val="none" w:sz="0" w:space="0" w:color="auto"/>
        <w:bottom w:val="none" w:sz="0" w:space="0" w:color="auto"/>
        <w:right w:val="none" w:sz="0" w:space="0" w:color="auto"/>
      </w:divBdr>
    </w:div>
    <w:div w:id="59139950">
      <w:bodyDiv w:val="1"/>
      <w:marLeft w:val="0"/>
      <w:marRight w:val="0"/>
      <w:marTop w:val="0"/>
      <w:marBottom w:val="0"/>
      <w:divBdr>
        <w:top w:val="none" w:sz="0" w:space="0" w:color="auto"/>
        <w:left w:val="none" w:sz="0" w:space="0" w:color="auto"/>
        <w:bottom w:val="none" w:sz="0" w:space="0" w:color="auto"/>
        <w:right w:val="none" w:sz="0" w:space="0" w:color="auto"/>
      </w:divBdr>
    </w:div>
    <w:div w:id="66197801">
      <w:bodyDiv w:val="1"/>
      <w:marLeft w:val="0"/>
      <w:marRight w:val="0"/>
      <w:marTop w:val="0"/>
      <w:marBottom w:val="0"/>
      <w:divBdr>
        <w:top w:val="none" w:sz="0" w:space="0" w:color="auto"/>
        <w:left w:val="none" w:sz="0" w:space="0" w:color="auto"/>
        <w:bottom w:val="none" w:sz="0" w:space="0" w:color="auto"/>
        <w:right w:val="none" w:sz="0" w:space="0" w:color="auto"/>
      </w:divBdr>
    </w:div>
    <w:div w:id="74405940">
      <w:bodyDiv w:val="1"/>
      <w:marLeft w:val="0"/>
      <w:marRight w:val="0"/>
      <w:marTop w:val="0"/>
      <w:marBottom w:val="0"/>
      <w:divBdr>
        <w:top w:val="none" w:sz="0" w:space="0" w:color="auto"/>
        <w:left w:val="none" w:sz="0" w:space="0" w:color="auto"/>
        <w:bottom w:val="none" w:sz="0" w:space="0" w:color="auto"/>
        <w:right w:val="none" w:sz="0" w:space="0" w:color="auto"/>
      </w:divBdr>
    </w:div>
    <w:div w:id="79104405">
      <w:bodyDiv w:val="1"/>
      <w:marLeft w:val="0"/>
      <w:marRight w:val="0"/>
      <w:marTop w:val="0"/>
      <w:marBottom w:val="0"/>
      <w:divBdr>
        <w:top w:val="none" w:sz="0" w:space="0" w:color="auto"/>
        <w:left w:val="none" w:sz="0" w:space="0" w:color="auto"/>
        <w:bottom w:val="none" w:sz="0" w:space="0" w:color="auto"/>
        <w:right w:val="none" w:sz="0" w:space="0" w:color="auto"/>
      </w:divBdr>
    </w:div>
    <w:div w:id="79955878">
      <w:bodyDiv w:val="1"/>
      <w:marLeft w:val="0"/>
      <w:marRight w:val="0"/>
      <w:marTop w:val="0"/>
      <w:marBottom w:val="0"/>
      <w:divBdr>
        <w:top w:val="none" w:sz="0" w:space="0" w:color="auto"/>
        <w:left w:val="none" w:sz="0" w:space="0" w:color="auto"/>
        <w:bottom w:val="none" w:sz="0" w:space="0" w:color="auto"/>
        <w:right w:val="none" w:sz="0" w:space="0" w:color="auto"/>
      </w:divBdr>
    </w:div>
    <w:div w:id="106168956">
      <w:bodyDiv w:val="1"/>
      <w:marLeft w:val="0"/>
      <w:marRight w:val="0"/>
      <w:marTop w:val="0"/>
      <w:marBottom w:val="0"/>
      <w:divBdr>
        <w:top w:val="none" w:sz="0" w:space="0" w:color="auto"/>
        <w:left w:val="none" w:sz="0" w:space="0" w:color="auto"/>
        <w:bottom w:val="none" w:sz="0" w:space="0" w:color="auto"/>
        <w:right w:val="none" w:sz="0" w:space="0" w:color="auto"/>
      </w:divBdr>
    </w:div>
    <w:div w:id="113447789">
      <w:bodyDiv w:val="1"/>
      <w:marLeft w:val="0"/>
      <w:marRight w:val="0"/>
      <w:marTop w:val="0"/>
      <w:marBottom w:val="0"/>
      <w:divBdr>
        <w:top w:val="none" w:sz="0" w:space="0" w:color="auto"/>
        <w:left w:val="none" w:sz="0" w:space="0" w:color="auto"/>
        <w:bottom w:val="none" w:sz="0" w:space="0" w:color="auto"/>
        <w:right w:val="none" w:sz="0" w:space="0" w:color="auto"/>
      </w:divBdr>
    </w:div>
    <w:div w:id="141851548">
      <w:bodyDiv w:val="1"/>
      <w:marLeft w:val="0"/>
      <w:marRight w:val="0"/>
      <w:marTop w:val="0"/>
      <w:marBottom w:val="0"/>
      <w:divBdr>
        <w:top w:val="none" w:sz="0" w:space="0" w:color="auto"/>
        <w:left w:val="none" w:sz="0" w:space="0" w:color="auto"/>
        <w:bottom w:val="none" w:sz="0" w:space="0" w:color="auto"/>
        <w:right w:val="none" w:sz="0" w:space="0" w:color="auto"/>
      </w:divBdr>
    </w:div>
    <w:div w:id="152961409">
      <w:bodyDiv w:val="1"/>
      <w:marLeft w:val="0"/>
      <w:marRight w:val="0"/>
      <w:marTop w:val="0"/>
      <w:marBottom w:val="0"/>
      <w:divBdr>
        <w:top w:val="none" w:sz="0" w:space="0" w:color="auto"/>
        <w:left w:val="none" w:sz="0" w:space="0" w:color="auto"/>
        <w:bottom w:val="none" w:sz="0" w:space="0" w:color="auto"/>
        <w:right w:val="none" w:sz="0" w:space="0" w:color="auto"/>
      </w:divBdr>
    </w:div>
    <w:div w:id="153035144">
      <w:bodyDiv w:val="1"/>
      <w:marLeft w:val="0"/>
      <w:marRight w:val="0"/>
      <w:marTop w:val="0"/>
      <w:marBottom w:val="0"/>
      <w:divBdr>
        <w:top w:val="none" w:sz="0" w:space="0" w:color="auto"/>
        <w:left w:val="none" w:sz="0" w:space="0" w:color="auto"/>
        <w:bottom w:val="none" w:sz="0" w:space="0" w:color="auto"/>
        <w:right w:val="none" w:sz="0" w:space="0" w:color="auto"/>
      </w:divBdr>
    </w:div>
    <w:div w:id="156311632">
      <w:bodyDiv w:val="1"/>
      <w:marLeft w:val="0"/>
      <w:marRight w:val="0"/>
      <w:marTop w:val="0"/>
      <w:marBottom w:val="0"/>
      <w:divBdr>
        <w:top w:val="none" w:sz="0" w:space="0" w:color="auto"/>
        <w:left w:val="none" w:sz="0" w:space="0" w:color="auto"/>
        <w:bottom w:val="none" w:sz="0" w:space="0" w:color="auto"/>
        <w:right w:val="none" w:sz="0" w:space="0" w:color="auto"/>
      </w:divBdr>
    </w:div>
    <w:div w:id="175003004">
      <w:bodyDiv w:val="1"/>
      <w:marLeft w:val="0"/>
      <w:marRight w:val="0"/>
      <w:marTop w:val="0"/>
      <w:marBottom w:val="0"/>
      <w:divBdr>
        <w:top w:val="none" w:sz="0" w:space="0" w:color="auto"/>
        <w:left w:val="none" w:sz="0" w:space="0" w:color="auto"/>
        <w:bottom w:val="none" w:sz="0" w:space="0" w:color="auto"/>
        <w:right w:val="none" w:sz="0" w:space="0" w:color="auto"/>
      </w:divBdr>
    </w:div>
    <w:div w:id="195894917">
      <w:bodyDiv w:val="1"/>
      <w:marLeft w:val="0"/>
      <w:marRight w:val="0"/>
      <w:marTop w:val="0"/>
      <w:marBottom w:val="0"/>
      <w:divBdr>
        <w:top w:val="none" w:sz="0" w:space="0" w:color="auto"/>
        <w:left w:val="none" w:sz="0" w:space="0" w:color="auto"/>
        <w:bottom w:val="none" w:sz="0" w:space="0" w:color="auto"/>
        <w:right w:val="none" w:sz="0" w:space="0" w:color="auto"/>
      </w:divBdr>
    </w:div>
    <w:div w:id="203450743">
      <w:bodyDiv w:val="1"/>
      <w:marLeft w:val="0"/>
      <w:marRight w:val="0"/>
      <w:marTop w:val="0"/>
      <w:marBottom w:val="0"/>
      <w:divBdr>
        <w:top w:val="none" w:sz="0" w:space="0" w:color="auto"/>
        <w:left w:val="none" w:sz="0" w:space="0" w:color="auto"/>
        <w:bottom w:val="none" w:sz="0" w:space="0" w:color="auto"/>
        <w:right w:val="none" w:sz="0" w:space="0" w:color="auto"/>
      </w:divBdr>
    </w:div>
    <w:div w:id="213852828">
      <w:bodyDiv w:val="1"/>
      <w:marLeft w:val="0"/>
      <w:marRight w:val="0"/>
      <w:marTop w:val="0"/>
      <w:marBottom w:val="0"/>
      <w:divBdr>
        <w:top w:val="none" w:sz="0" w:space="0" w:color="auto"/>
        <w:left w:val="none" w:sz="0" w:space="0" w:color="auto"/>
        <w:bottom w:val="none" w:sz="0" w:space="0" w:color="auto"/>
        <w:right w:val="none" w:sz="0" w:space="0" w:color="auto"/>
      </w:divBdr>
    </w:div>
    <w:div w:id="228467820">
      <w:bodyDiv w:val="1"/>
      <w:marLeft w:val="0"/>
      <w:marRight w:val="0"/>
      <w:marTop w:val="0"/>
      <w:marBottom w:val="0"/>
      <w:divBdr>
        <w:top w:val="none" w:sz="0" w:space="0" w:color="auto"/>
        <w:left w:val="none" w:sz="0" w:space="0" w:color="auto"/>
        <w:bottom w:val="none" w:sz="0" w:space="0" w:color="auto"/>
        <w:right w:val="none" w:sz="0" w:space="0" w:color="auto"/>
      </w:divBdr>
    </w:div>
    <w:div w:id="248009034">
      <w:bodyDiv w:val="1"/>
      <w:marLeft w:val="0"/>
      <w:marRight w:val="0"/>
      <w:marTop w:val="0"/>
      <w:marBottom w:val="0"/>
      <w:divBdr>
        <w:top w:val="none" w:sz="0" w:space="0" w:color="auto"/>
        <w:left w:val="none" w:sz="0" w:space="0" w:color="auto"/>
        <w:bottom w:val="none" w:sz="0" w:space="0" w:color="auto"/>
        <w:right w:val="none" w:sz="0" w:space="0" w:color="auto"/>
      </w:divBdr>
    </w:div>
    <w:div w:id="258025610">
      <w:bodyDiv w:val="1"/>
      <w:marLeft w:val="0"/>
      <w:marRight w:val="0"/>
      <w:marTop w:val="0"/>
      <w:marBottom w:val="0"/>
      <w:divBdr>
        <w:top w:val="none" w:sz="0" w:space="0" w:color="auto"/>
        <w:left w:val="none" w:sz="0" w:space="0" w:color="auto"/>
        <w:bottom w:val="none" w:sz="0" w:space="0" w:color="auto"/>
        <w:right w:val="none" w:sz="0" w:space="0" w:color="auto"/>
      </w:divBdr>
    </w:div>
    <w:div w:id="288442754">
      <w:bodyDiv w:val="1"/>
      <w:marLeft w:val="0"/>
      <w:marRight w:val="0"/>
      <w:marTop w:val="0"/>
      <w:marBottom w:val="0"/>
      <w:divBdr>
        <w:top w:val="none" w:sz="0" w:space="0" w:color="auto"/>
        <w:left w:val="none" w:sz="0" w:space="0" w:color="auto"/>
        <w:bottom w:val="none" w:sz="0" w:space="0" w:color="auto"/>
        <w:right w:val="none" w:sz="0" w:space="0" w:color="auto"/>
      </w:divBdr>
    </w:div>
    <w:div w:id="315307639">
      <w:bodyDiv w:val="1"/>
      <w:marLeft w:val="0"/>
      <w:marRight w:val="0"/>
      <w:marTop w:val="0"/>
      <w:marBottom w:val="0"/>
      <w:divBdr>
        <w:top w:val="none" w:sz="0" w:space="0" w:color="auto"/>
        <w:left w:val="none" w:sz="0" w:space="0" w:color="auto"/>
        <w:bottom w:val="none" w:sz="0" w:space="0" w:color="auto"/>
        <w:right w:val="none" w:sz="0" w:space="0" w:color="auto"/>
      </w:divBdr>
    </w:div>
    <w:div w:id="345402487">
      <w:bodyDiv w:val="1"/>
      <w:marLeft w:val="0"/>
      <w:marRight w:val="0"/>
      <w:marTop w:val="0"/>
      <w:marBottom w:val="0"/>
      <w:divBdr>
        <w:top w:val="none" w:sz="0" w:space="0" w:color="auto"/>
        <w:left w:val="none" w:sz="0" w:space="0" w:color="auto"/>
        <w:bottom w:val="none" w:sz="0" w:space="0" w:color="auto"/>
        <w:right w:val="none" w:sz="0" w:space="0" w:color="auto"/>
      </w:divBdr>
    </w:div>
    <w:div w:id="351686081">
      <w:bodyDiv w:val="1"/>
      <w:marLeft w:val="0"/>
      <w:marRight w:val="0"/>
      <w:marTop w:val="0"/>
      <w:marBottom w:val="0"/>
      <w:divBdr>
        <w:top w:val="none" w:sz="0" w:space="0" w:color="auto"/>
        <w:left w:val="none" w:sz="0" w:space="0" w:color="auto"/>
        <w:bottom w:val="none" w:sz="0" w:space="0" w:color="auto"/>
        <w:right w:val="none" w:sz="0" w:space="0" w:color="auto"/>
      </w:divBdr>
    </w:div>
    <w:div w:id="360517689">
      <w:bodyDiv w:val="1"/>
      <w:marLeft w:val="0"/>
      <w:marRight w:val="0"/>
      <w:marTop w:val="0"/>
      <w:marBottom w:val="0"/>
      <w:divBdr>
        <w:top w:val="none" w:sz="0" w:space="0" w:color="auto"/>
        <w:left w:val="none" w:sz="0" w:space="0" w:color="auto"/>
        <w:bottom w:val="none" w:sz="0" w:space="0" w:color="auto"/>
        <w:right w:val="none" w:sz="0" w:space="0" w:color="auto"/>
      </w:divBdr>
    </w:div>
    <w:div w:id="372852363">
      <w:bodyDiv w:val="1"/>
      <w:marLeft w:val="0"/>
      <w:marRight w:val="0"/>
      <w:marTop w:val="0"/>
      <w:marBottom w:val="0"/>
      <w:divBdr>
        <w:top w:val="none" w:sz="0" w:space="0" w:color="auto"/>
        <w:left w:val="none" w:sz="0" w:space="0" w:color="auto"/>
        <w:bottom w:val="none" w:sz="0" w:space="0" w:color="auto"/>
        <w:right w:val="none" w:sz="0" w:space="0" w:color="auto"/>
      </w:divBdr>
    </w:div>
    <w:div w:id="378287339">
      <w:bodyDiv w:val="1"/>
      <w:marLeft w:val="0"/>
      <w:marRight w:val="0"/>
      <w:marTop w:val="0"/>
      <w:marBottom w:val="0"/>
      <w:divBdr>
        <w:top w:val="none" w:sz="0" w:space="0" w:color="auto"/>
        <w:left w:val="none" w:sz="0" w:space="0" w:color="auto"/>
        <w:bottom w:val="none" w:sz="0" w:space="0" w:color="auto"/>
        <w:right w:val="none" w:sz="0" w:space="0" w:color="auto"/>
      </w:divBdr>
    </w:div>
    <w:div w:id="395513118">
      <w:bodyDiv w:val="1"/>
      <w:marLeft w:val="0"/>
      <w:marRight w:val="0"/>
      <w:marTop w:val="0"/>
      <w:marBottom w:val="0"/>
      <w:divBdr>
        <w:top w:val="none" w:sz="0" w:space="0" w:color="auto"/>
        <w:left w:val="none" w:sz="0" w:space="0" w:color="auto"/>
        <w:bottom w:val="none" w:sz="0" w:space="0" w:color="auto"/>
        <w:right w:val="none" w:sz="0" w:space="0" w:color="auto"/>
      </w:divBdr>
    </w:div>
    <w:div w:id="407044548">
      <w:bodyDiv w:val="1"/>
      <w:marLeft w:val="0"/>
      <w:marRight w:val="0"/>
      <w:marTop w:val="0"/>
      <w:marBottom w:val="0"/>
      <w:divBdr>
        <w:top w:val="none" w:sz="0" w:space="0" w:color="auto"/>
        <w:left w:val="none" w:sz="0" w:space="0" w:color="auto"/>
        <w:bottom w:val="none" w:sz="0" w:space="0" w:color="auto"/>
        <w:right w:val="none" w:sz="0" w:space="0" w:color="auto"/>
      </w:divBdr>
    </w:div>
    <w:div w:id="436950754">
      <w:bodyDiv w:val="1"/>
      <w:marLeft w:val="0"/>
      <w:marRight w:val="0"/>
      <w:marTop w:val="0"/>
      <w:marBottom w:val="0"/>
      <w:divBdr>
        <w:top w:val="none" w:sz="0" w:space="0" w:color="auto"/>
        <w:left w:val="none" w:sz="0" w:space="0" w:color="auto"/>
        <w:bottom w:val="none" w:sz="0" w:space="0" w:color="auto"/>
        <w:right w:val="none" w:sz="0" w:space="0" w:color="auto"/>
      </w:divBdr>
    </w:div>
    <w:div w:id="444234208">
      <w:bodyDiv w:val="1"/>
      <w:marLeft w:val="0"/>
      <w:marRight w:val="0"/>
      <w:marTop w:val="0"/>
      <w:marBottom w:val="0"/>
      <w:divBdr>
        <w:top w:val="none" w:sz="0" w:space="0" w:color="auto"/>
        <w:left w:val="none" w:sz="0" w:space="0" w:color="auto"/>
        <w:bottom w:val="none" w:sz="0" w:space="0" w:color="auto"/>
        <w:right w:val="none" w:sz="0" w:space="0" w:color="auto"/>
      </w:divBdr>
    </w:div>
    <w:div w:id="449085434">
      <w:bodyDiv w:val="1"/>
      <w:marLeft w:val="0"/>
      <w:marRight w:val="0"/>
      <w:marTop w:val="0"/>
      <w:marBottom w:val="0"/>
      <w:divBdr>
        <w:top w:val="none" w:sz="0" w:space="0" w:color="auto"/>
        <w:left w:val="none" w:sz="0" w:space="0" w:color="auto"/>
        <w:bottom w:val="none" w:sz="0" w:space="0" w:color="auto"/>
        <w:right w:val="none" w:sz="0" w:space="0" w:color="auto"/>
      </w:divBdr>
    </w:div>
    <w:div w:id="489755921">
      <w:bodyDiv w:val="1"/>
      <w:marLeft w:val="0"/>
      <w:marRight w:val="0"/>
      <w:marTop w:val="0"/>
      <w:marBottom w:val="0"/>
      <w:divBdr>
        <w:top w:val="none" w:sz="0" w:space="0" w:color="auto"/>
        <w:left w:val="none" w:sz="0" w:space="0" w:color="auto"/>
        <w:bottom w:val="none" w:sz="0" w:space="0" w:color="auto"/>
        <w:right w:val="none" w:sz="0" w:space="0" w:color="auto"/>
      </w:divBdr>
    </w:div>
    <w:div w:id="493572283">
      <w:bodyDiv w:val="1"/>
      <w:marLeft w:val="0"/>
      <w:marRight w:val="0"/>
      <w:marTop w:val="0"/>
      <w:marBottom w:val="0"/>
      <w:divBdr>
        <w:top w:val="none" w:sz="0" w:space="0" w:color="auto"/>
        <w:left w:val="none" w:sz="0" w:space="0" w:color="auto"/>
        <w:bottom w:val="none" w:sz="0" w:space="0" w:color="auto"/>
        <w:right w:val="none" w:sz="0" w:space="0" w:color="auto"/>
      </w:divBdr>
    </w:div>
    <w:div w:id="494610319">
      <w:bodyDiv w:val="1"/>
      <w:marLeft w:val="0"/>
      <w:marRight w:val="0"/>
      <w:marTop w:val="0"/>
      <w:marBottom w:val="0"/>
      <w:divBdr>
        <w:top w:val="none" w:sz="0" w:space="0" w:color="auto"/>
        <w:left w:val="none" w:sz="0" w:space="0" w:color="auto"/>
        <w:bottom w:val="none" w:sz="0" w:space="0" w:color="auto"/>
        <w:right w:val="none" w:sz="0" w:space="0" w:color="auto"/>
      </w:divBdr>
    </w:div>
    <w:div w:id="514421670">
      <w:bodyDiv w:val="1"/>
      <w:marLeft w:val="0"/>
      <w:marRight w:val="0"/>
      <w:marTop w:val="0"/>
      <w:marBottom w:val="0"/>
      <w:divBdr>
        <w:top w:val="none" w:sz="0" w:space="0" w:color="auto"/>
        <w:left w:val="none" w:sz="0" w:space="0" w:color="auto"/>
        <w:bottom w:val="none" w:sz="0" w:space="0" w:color="auto"/>
        <w:right w:val="none" w:sz="0" w:space="0" w:color="auto"/>
      </w:divBdr>
    </w:div>
    <w:div w:id="518355423">
      <w:bodyDiv w:val="1"/>
      <w:marLeft w:val="0"/>
      <w:marRight w:val="0"/>
      <w:marTop w:val="0"/>
      <w:marBottom w:val="0"/>
      <w:divBdr>
        <w:top w:val="none" w:sz="0" w:space="0" w:color="auto"/>
        <w:left w:val="none" w:sz="0" w:space="0" w:color="auto"/>
        <w:bottom w:val="none" w:sz="0" w:space="0" w:color="auto"/>
        <w:right w:val="none" w:sz="0" w:space="0" w:color="auto"/>
      </w:divBdr>
    </w:div>
    <w:div w:id="519516355">
      <w:bodyDiv w:val="1"/>
      <w:marLeft w:val="0"/>
      <w:marRight w:val="0"/>
      <w:marTop w:val="0"/>
      <w:marBottom w:val="0"/>
      <w:divBdr>
        <w:top w:val="none" w:sz="0" w:space="0" w:color="auto"/>
        <w:left w:val="none" w:sz="0" w:space="0" w:color="auto"/>
        <w:bottom w:val="none" w:sz="0" w:space="0" w:color="auto"/>
        <w:right w:val="none" w:sz="0" w:space="0" w:color="auto"/>
      </w:divBdr>
    </w:div>
    <w:div w:id="535311302">
      <w:bodyDiv w:val="1"/>
      <w:marLeft w:val="0"/>
      <w:marRight w:val="0"/>
      <w:marTop w:val="0"/>
      <w:marBottom w:val="0"/>
      <w:divBdr>
        <w:top w:val="none" w:sz="0" w:space="0" w:color="auto"/>
        <w:left w:val="none" w:sz="0" w:space="0" w:color="auto"/>
        <w:bottom w:val="none" w:sz="0" w:space="0" w:color="auto"/>
        <w:right w:val="none" w:sz="0" w:space="0" w:color="auto"/>
      </w:divBdr>
    </w:div>
    <w:div w:id="537157373">
      <w:bodyDiv w:val="1"/>
      <w:marLeft w:val="0"/>
      <w:marRight w:val="0"/>
      <w:marTop w:val="0"/>
      <w:marBottom w:val="0"/>
      <w:divBdr>
        <w:top w:val="none" w:sz="0" w:space="0" w:color="auto"/>
        <w:left w:val="none" w:sz="0" w:space="0" w:color="auto"/>
        <w:bottom w:val="none" w:sz="0" w:space="0" w:color="auto"/>
        <w:right w:val="none" w:sz="0" w:space="0" w:color="auto"/>
      </w:divBdr>
    </w:div>
    <w:div w:id="556361884">
      <w:bodyDiv w:val="1"/>
      <w:marLeft w:val="0"/>
      <w:marRight w:val="0"/>
      <w:marTop w:val="0"/>
      <w:marBottom w:val="0"/>
      <w:divBdr>
        <w:top w:val="none" w:sz="0" w:space="0" w:color="auto"/>
        <w:left w:val="none" w:sz="0" w:space="0" w:color="auto"/>
        <w:bottom w:val="none" w:sz="0" w:space="0" w:color="auto"/>
        <w:right w:val="none" w:sz="0" w:space="0" w:color="auto"/>
      </w:divBdr>
    </w:div>
    <w:div w:id="582028677">
      <w:bodyDiv w:val="1"/>
      <w:marLeft w:val="0"/>
      <w:marRight w:val="0"/>
      <w:marTop w:val="0"/>
      <w:marBottom w:val="0"/>
      <w:divBdr>
        <w:top w:val="none" w:sz="0" w:space="0" w:color="auto"/>
        <w:left w:val="none" w:sz="0" w:space="0" w:color="auto"/>
        <w:bottom w:val="none" w:sz="0" w:space="0" w:color="auto"/>
        <w:right w:val="none" w:sz="0" w:space="0" w:color="auto"/>
      </w:divBdr>
    </w:div>
    <w:div w:id="611471402">
      <w:bodyDiv w:val="1"/>
      <w:marLeft w:val="0"/>
      <w:marRight w:val="0"/>
      <w:marTop w:val="0"/>
      <w:marBottom w:val="0"/>
      <w:divBdr>
        <w:top w:val="none" w:sz="0" w:space="0" w:color="auto"/>
        <w:left w:val="none" w:sz="0" w:space="0" w:color="auto"/>
        <w:bottom w:val="none" w:sz="0" w:space="0" w:color="auto"/>
        <w:right w:val="none" w:sz="0" w:space="0" w:color="auto"/>
      </w:divBdr>
    </w:div>
    <w:div w:id="618993555">
      <w:bodyDiv w:val="1"/>
      <w:marLeft w:val="0"/>
      <w:marRight w:val="0"/>
      <w:marTop w:val="0"/>
      <w:marBottom w:val="0"/>
      <w:divBdr>
        <w:top w:val="none" w:sz="0" w:space="0" w:color="auto"/>
        <w:left w:val="none" w:sz="0" w:space="0" w:color="auto"/>
        <w:bottom w:val="none" w:sz="0" w:space="0" w:color="auto"/>
        <w:right w:val="none" w:sz="0" w:space="0" w:color="auto"/>
      </w:divBdr>
    </w:div>
    <w:div w:id="624241062">
      <w:bodyDiv w:val="1"/>
      <w:marLeft w:val="0"/>
      <w:marRight w:val="0"/>
      <w:marTop w:val="0"/>
      <w:marBottom w:val="0"/>
      <w:divBdr>
        <w:top w:val="none" w:sz="0" w:space="0" w:color="auto"/>
        <w:left w:val="none" w:sz="0" w:space="0" w:color="auto"/>
        <w:bottom w:val="none" w:sz="0" w:space="0" w:color="auto"/>
        <w:right w:val="none" w:sz="0" w:space="0" w:color="auto"/>
      </w:divBdr>
    </w:div>
    <w:div w:id="625622697">
      <w:bodyDiv w:val="1"/>
      <w:marLeft w:val="0"/>
      <w:marRight w:val="0"/>
      <w:marTop w:val="0"/>
      <w:marBottom w:val="0"/>
      <w:divBdr>
        <w:top w:val="none" w:sz="0" w:space="0" w:color="auto"/>
        <w:left w:val="none" w:sz="0" w:space="0" w:color="auto"/>
        <w:bottom w:val="none" w:sz="0" w:space="0" w:color="auto"/>
        <w:right w:val="none" w:sz="0" w:space="0" w:color="auto"/>
      </w:divBdr>
    </w:div>
    <w:div w:id="636760612">
      <w:bodyDiv w:val="1"/>
      <w:marLeft w:val="0"/>
      <w:marRight w:val="0"/>
      <w:marTop w:val="0"/>
      <w:marBottom w:val="0"/>
      <w:divBdr>
        <w:top w:val="none" w:sz="0" w:space="0" w:color="auto"/>
        <w:left w:val="none" w:sz="0" w:space="0" w:color="auto"/>
        <w:bottom w:val="none" w:sz="0" w:space="0" w:color="auto"/>
        <w:right w:val="none" w:sz="0" w:space="0" w:color="auto"/>
      </w:divBdr>
    </w:div>
    <w:div w:id="639964359">
      <w:bodyDiv w:val="1"/>
      <w:marLeft w:val="0"/>
      <w:marRight w:val="0"/>
      <w:marTop w:val="0"/>
      <w:marBottom w:val="0"/>
      <w:divBdr>
        <w:top w:val="none" w:sz="0" w:space="0" w:color="auto"/>
        <w:left w:val="none" w:sz="0" w:space="0" w:color="auto"/>
        <w:bottom w:val="none" w:sz="0" w:space="0" w:color="auto"/>
        <w:right w:val="none" w:sz="0" w:space="0" w:color="auto"/>
      </w:divBdr>
    </w:div>
    <w:div w:id="644429943">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73149170">
      <w:bodyDiv w:val="1"/>
      <w:marLeft w:val="0"/>
      <w:marRight w:val="0"/>
      <w:marTop w:val="0"/>
      <w:marBottom w:val="0"/>
      <w:divBdr>
        <w:top w:val="none" w:sz="0" w:space="0" w:color="auto"/>
        <w:left w:val="none" w:sz="0" w:space="0" w:color="auto"/>
        <w:bottom w:val="none" w:sz="0" w:space="0" w:color="auto"/>
        <w:right w:val="none" w:sz="0" w:space="0" w:color="auto"/>
      </w:divBdr>
    </w:div>
    <w:div w:id="688064659">
      <w:bodyDiv w:val="1"/>
      <w:marLeft w:val="0"/>
      <w:marRight w:val="0"/>
      <w:marTop w:val="0"/>
      <w:marBottom w:val="0"/>
      <w:divBdr>
        <w:top w:val="none" w:sz="0" w:space="0" w:color="auto"/>
        <w:left w:val="none" w:sz="0" w:space="0" w:color="auto"/>
        <w:bottom w:val="none" w:sz="0" w:space="0" w:color="auto"/>
        <w:right w:val="none" w:sz="0" w:space="0" w:color="auto"/>
      </w:divBdr>
    </w:div>
    <w:div w:id="688334926">
      <w:bodyDiv w:val="1"/>
      <w:marLeft w:val="0"/>
      <w:marRight w:val="0"/>
      <w:marTop w:val="0"/>
      <w:marBottom w:val="0"/>
      <w:divBdr>
        <w:top w:val="none" w:sz="0" w:space="0" w:color="auto"/>
        <w:left w:val="none" w:sz="0" w:space="0" w:color="auto"/>
        <w:bottom w:val="none" w:sz="0" w:space="0" w:color="auto"/>
        <w:right w:val="none" w:sz="0" w:space="0" w:color="auto"/>
      </w:divBdr>
    </w:div>
    <w:div w:id="698164026">
      <w:bodyDiv w:val="1"/>
      <w:marLeft w:val="0"/>
      <w:marRight w:val="0"/>
      <w:marTop w:val="0"/>
      <w:marBottom w:val="0"/>
      <w:divBdr>
        <w:top w:val="none" w:sz="0" w:space="0" w:color="auto"/>
        <w:left w:val="none" w:sz="0" w:space="0" w:color="auto"/>
        <w:bottom w:val="none" w:sz="0" w:space="0" w:color="auto"/>
        <w:right w:val="none" w:sz="0" w:space="0" w:color="auto"/>
      </w:divBdr>
    </w:div>
    <w:div w:id="704523389">
      <w:bodyDiv w:val="1"/>
      <w:marLeft w:val="0"/>
      <w:marRight w:val="0"/>
      <w:marTop w:val="0"/>
      <w:marBottom w:val="0"/>
      <w:divBdr>
        <w:top w:val="none" w:sz="0" w:space="0" w:color="auto"/>
        <w:left w:val="none" w:sz="0" w:space="0" w:color="auto"/>
        <w:bottom w:val="none" w:sz="0" w:space="0" w:color="auto"/>
        <w:right w:val="none" w:sz="0" w:space="0" w:color="auto"/>
      </w:divBdr>
    </w:div>
    <w:div w:id="722749024">
      <w:bodyDiv w:val="1"/>
      <w:marLeft w:val="0"/>
      <w:marRight w:val="0"/>
      <w:marTop w:val="0"/>
      <w:marBottom w:val="0"/>
      <w:divBdr>
        <w:top w:val="none" w:sz="0" w:space="0" w:color="auto"/>
        <w:left w:val="none" w:sz="0" w:space="0" w:color="auto"/>
        <w:bottom w:val="none" w:sz="0" w:space="0" w:color="auto"/>
        <w:right w:val="none" w:sz="0" w:space="0" w:color="auto"/>
      </w:divBdr>
    </w:div>
    <w:div w:id="729305266">
      <w:bodyDiv w:val="1"/>
      <w:marLeft w:val="0"/>
      <w:marRight w:val="0"/>
      <w:marTop w:val="0"/>
      <w:marBottom w:val="0"/>
      <w:divBdr>
        <w:top w:val="none" w:sz="0" w:space="0" w:color="auto"/>
        <w:left w:val="none" w:sz="0" w:space="0" w:color="auto"/>
        <w:bottom w:val="none" w:sz="0" w:space="0" w:color="auto"/>
        <w:right w:val="none" w:sz="0" w:space="0" w:color="auto"/>
      </w:divBdr>
    </w:div>
    <w:div w:id="732703843">
      <w:bodyDiv w:val="1"/>
      <w:marLeft w:val="0"/>
      <w:marRight w:val="0"/>
      <w:marTop w:val="0"/>
      <w:marBottom w:val="0"/>
      <w:divBdr>
        <w:top w:val="none" w:sz="0" w:space="0" w:color="auto"/>
        <w:left w:val="none" w:sz="0" w:space="0" w:color="auto"/>
        <w:bottom w:val="none" w:sz="0" w:space="0" w:color="auto"/>
        <w:right w:val="none" w:sz="0" w:space="0" w:color="auto"/>
      </w:divBdr>
    </w:div>
    <w:div w:id="749892979">
      <w:bodyDiv w:val="1"/>
      <w:marLeft w:val="0"/>
      <w:marRight w:val="0"/>
      <w:marTop w:val="0"/>
      <w:marBottom w:val="0"/>
      <w:divBdr>
        <w:top w:val="none" w:sz="0" w:space="0" w:color="auto"/>
        <w:left w:val="none" w:sz="0" w:space="0" w:color="auto"/>
        <w:bottom w:val="none" w:sz="0" w:space="0" w:color="auto"/>
        <w:right w:val="none" w:sz="0" w:space="0" w:color="auto"/>
      </w:divBdr>
    </w:div>
    <w:div w:id="754127579">
      <w:bodyDiv w:val="1"/>
      <w:marLeft w:val="0"/>
      <w:marRight w:val="0"/>
      <w:marTop w:val="0"/>
      <w:marBottom w:val="0"/>
      <w:divBdr>
        <w:top w:val="none" w:sz="0" w:space="0" w:color="auto"/>
        <w:left w:val="none" w:sz="0" w:space="0" w:color="auto"/>
        <w:bottom w:val="none" w:sz="0" w:space="0" w:color="auto"/>
        <w:right w:val="none" w:sz="0" w:space="0" w:color="auto"/>
      </w:divBdr>
    </w:div>
    <w:div w:id="768428528">
      <w:bodyDiv w:val="1"/>
      <w:marLeft w:val="0"/>
      <w:marRight w:val="0"/>
      <w:marTop w:val="0"/>
      <w:marBottom w:val="0"/>
      <w:divBdr>
        <w:top w:val="none" w:sz="0" w:space="0" w:color="auto"/>
        <w:left w:val="none" w:sz="0" w:space="0" w:color="auto"/>
        <w:bottom w:val="none" w:sz="0" w:space="0" w:color="auto"/>
        <w:right w:val="none" w:sz="0" w:space="0" w:color="auto"/>
      </w:divBdr>
    </w:div>
    <w:div w:id="771822915">
      <w:bodyDiv w:val="1"/>
      <w:marLeft w:val="0"/>
      <w:marRight w:val="0"/>
      <w:marTop w:val="0"/>
      <w:marBottom w:val="0"/>
      <w:divBdr>
        <w:top w:val="none" w:sz="0" w:space="0" w:color="auto"/>
        <w:left w:val="none" w:sz="0" w:space="0" w:color="auto"/>
        <w:bottom w:val="none" w:sz="0" w:space="0" w:color="auto"/>
        <w:right w:val="none" w:sz="0" w:space="0" w:color="auto"/>
      </w:divBdr>
    </w:div>
    <w:div w:id="784271734">
      <w:bodyDiv w:val="1"/>
      <w:marLeft w:val="0"/>
      <w:marRight w:val="0"/>
      <w:marTop w:val="0"/>
      <w:marBottom w:val="0"/>
      <w:divBdr>
        <w:top w:val="none" w:sz="0" w:space="0" w:color="auto"/>
        <w:left w:val="none" w:sz="0" w:space="0" w:color="auto"/>
        <w:bottom w:val="none" w:sz="0" w:space="0" w:color="auto"/>
        <w:right w:val="none" w:sz="0" w:space="0" w:color="auto"/>
      </w:divBdr>
    </w:div>
    <w:div w:id="799803234">
      <w:bodyDiv w:val="1"/>
      <w:marLeft w:val="0"/>
      <w:marRight w:val="0"/>
      <w:marTop w:val="0"/>
      <w:marBottom w:val="0"/>
      <w:divBdr>
        <w:top w:val="none" w:sz="0" w:space="0" w:color="auto"/>
        <w:left w:val="none" w:sz="0" w:space="0" w:color="auto"/>
        <w:bottom w:val="none" w:sz="0" w:space="0" w:color="auto"/>
        <w:right w:val="none" w:sz="0" w:space="0" w:color="auto"/>
      </w:divBdr>
    </w:div>
    <w:div w:id="80238503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8938659">
      <w:bodyDiv w:val="1"/>
      <w:marLeft w:val="0"/>
      <w:marRight w:val="0"/>
      <w:marTop w:val="0"/>
      <w:marBottom w:val="0"/>
      <w:divBdr>
        <w:top w:val="none" w:sz="0" w:space="0" w:color="auto"/>
        <w:left w:val="none" w:sz="0" w:space="0" w:color="auto"/>
        <w:bottom w:val="none" w:sz="0" w:space="0" w:color="auto"/>
        <w:right w:val="none" w:sz="0" w:space="0" w:color="auto"/>
      </w:divBdr>
    </w:div>
    <w:div w:id="811363578">
      <w:bodyDiv w:val="1"/>
      <w:marLeft w:val="0"/>
      <w:marRight w:val="0"/>
      <w:marTop w:val="0"/>
      <w:marBottom w:val="0"/>
      <w:divBdr>
        <w:top w:val="none" w:sz="0" w:space="0" w:color="auto"/>
        <w:left w:val="none" w:sz="0" w:space="0" w:color="auto"/>
        <w:bottom w:val="none" w:sz="0" w:space="0" w:color="auto"/>
        <w:right w:val="none" w:sz="0" w:space="0" w:color="auto"/>
      </w:divBdr>
    </w:div>
    <w:div w:id="836926203">
      <w:bodyDiv w:val="1"/>
      <w:marLeft w:val="0"/>
      <w:marRight w:val="0"/>
      <w:marTop w:val="0"/>
      <w:marBottom w:val="0"/>
      <w:divBdr>
        <w:top w:val="none" w:sz="0" w:space="0" w:color="auto"/>
        <w:left w:val="none" w:sz="0" w:space="0" w:color="auto"/>
        <w:bottom w:val="none" w:sz="0" w:space="0" w:color="auto"/>
        <w:right w:val="none" w:sz="0" w:space="0" w:color="auto"/>
      </w:divBdr>
    </w:div>
    <w:div w:id="844171362">
      <w:bodyDiv w:val="1"/>
      <w:marLeft w:val="0"/>
      <w:marRight w:val="0"/>
      <w:marTop w:val="0"/>
      <w:marBottom w:val="0"/>
      <w:divBdr>
        <w:top w:val="none" w:sz="0" w:space="0" w:color="auto"/>
        <w:left w:val="none" w:sz="0" w:space="0" w:color="auto"/>
        <w:bottom w:val="none" w:sz="0" w:space="0" w:color="auto"/>
        <w:right w:val="none" w:sz="0" w:space="0" w:color="auto"/>
      </w:divBdr>
    </w:div>
    <w:div w:id="856701700">
      <w:bodyDiv w:val="1"/>
      <w:marLeft w:val="0"/>
      <w:marRight w:val="0"/>
      <w:marTop w:val="0"/>
      <w:marBottom w:val="0"/>
      <w:divBdr>
        <w:top w:val="none" w:sz="0" w:space="0" w:color="auto"/>
        <w:left w:val="none" w:sz="0" w:space="0" w:color="auto"/>
        <w:bottom w:val="none" w:sz="0" w:space="0" w:color="auto"/>
        <w:right w:val="none" w:sz="0" w:space="0" w:color="auto"/>
      </w:divBdr>
    </w:div>
    <w:div w:id="857088253">
      <w:bodyDiv w:val="1"/>
      <w:marLeft w:val="0"/>
      <w:marRight w:val="0"/>
      <w:marTop w:val="0"/>
      <w:marBottom w:val="0"/>
      <w:divBdr>
        <w:top w:val="none" w:sz="0" w:space="0" w:color="auto"/>
        <w:left w:val="none" w:sz="0" w:space="0" w:color="auto"/>
        <w:bottom w:val="none" w:sz="0" w:space="0" w:color="auto"/>
        <w:right w:val="none" w:sz="0" w:space="0" w:color="auto"/>
      </w:divBdr>
    </w:div>
    <w:div w:id="867789944">
      <w:bodyDiv w:val="1"/>
      <w:marLeft w:val="0"/>
      <w:marRight w:val="0"/>
      <w:marTop w:val="0"/>
      <w:marBottom w:val="0"/>
      <w:divBdr>
        <w:top w:val="none" w:sz="0" w:space="0" w:color="auto"/>
        <w:left w:val="none" w:sz="0" w:space="0" w:color="auto"/>
        <w:bottom w:val="none" w:sz="0" w:space="0" w:color="auto"/>
        <w:right w:val="none" w:sz="0" w:space="0" w:color="auto"/>
      </w:divBdr>
    </w:div>
    <w:div w:id="869681240">
      <w:bodyDiv w:val="1"/>
      <w:marLeft w:val="0"/>
      <w:marRight w:val="0"/>
      <w:marTop w:val="0"/>
      <w:marBottom w:val="0"/>
      <w:divBdr>
        <w:top w:val="none" w:sz="0" w:space="0" w:color="auto"/>
        <w:left w:val="none" w:sz="0" w:space="0" w:color="auto"/>
        <w:bottom w:val="none" w:sz="0" w:space="0" w:color="auto"/>
        <w:right w:val="none" w:sz="0" w:space="0" w:color="auto"/>
      </w:divBdr>
    </w:div>
    <w:div w:id="871765937">
      <w:bodyDiv w:val="1"/>
      <w:marLeft w:val="0"/>
      <w:marRight w:val="0"/>
      <w:marTop w:val="0"/>
      <w:marBottom w:val="0"/>
      <w:divBdr>
        <w:top w:val="none" w:sz="0" w:space="0" w:color="auto"/>
        <w:left w:val="none" w:sz="0" w:space="0" w:color="auto"/>
        <w:bottom w:val="none" w:sz="0" w:space="0" w:color="auto"/>
        <w:right w:val="none" w:sz="0" w:space="0" w:color="auto"/>
      </w:divBdr>
    </w:div>
    <w:div w:id="872231896">
      <w:bodyDiv w:val="1"/>
      <w:marLeft w:val="0"/>
      <w:marRight w:val="0"/>
      <w:marTop w:val="0"/>
      <w:marBottom w:val="0"/>
      <w:divBdr>
        <w:top w:val="none" w:sz="0" w:space="0" w:color="auto"/>
        <w:left w:val="none" w:sz="0" w:space="0" w:color="auto"/>
        <w:bottom w:val="none" w:sz="0" w:space="0" w:color="auto"/>
        <w:right w:val="none" w:sz="0" w:space="0" w:color="auto"/>
      </w:divBdr>
    </w:div>
    <w:div w:id="883178672">
      <w:bodyDiv w:val="1"/>
      <w:marLeft w:val="0"/>
      <w:marRight w:val="0"/>
      <w:marTop w:val="0"/>
      <w:marBottom w:val="0"/>
      <w:divBdr>
        <w:top w:val="none" w:sz="0" w:space="0" w:color="auto"/>
        <w:left w:val="none" w:sz="0" w:space="0" w:color="auto"/>
        <w:bottom w:val="none" w:sz="0" w:space="0" w:color="auto"/>
        <w:right w:val="none" w:sz="0" w:space="0" w:color="auto"/>
      </w:divBdr>
    </w:div>
    <w:div w:id="887691777">
      <w:bodyDiv w:val="1"/>
      <w:marLeft w:val="0"/>
      <w:marRight w:val="0"/>
      <w:marTop w:val="0"/>
      <w:marBottom w:val="0"/>
      <w:divBdr>
        <w:top w:val="none" w:sz="0" w:space="0" w:color="auto"/>
        <w:left w:val="none" w:sz="0" w:space="0" w:color="auto"/>
        <w:bottom w:val="none" w:sz="0" w:space="0" w:color="auto"/>
        <w:right w:val="none" w:sz="0" w:space="0" w:color="auto"/>
      </w:divBdr>
    </w:div>
    <w:div w:id="893807533">
      <w:bodyDiv w:val="1"/>
      <w:marLeft w:val="0"/>
      <w:marRight w:val="0"/>
      <w:marTop w:val="0"/>
      <w:marBottom w:val="0"/>
      <w:divBdr>
        <w:top w:val="none" w:sz="0" w:space="0" w:color="auto"/>
        <w:left w:val="none" w:sz="0" w:space="0" w:color="auto"/>
        <w:bottom w:val="none" w:sz="0" w:space="0" w:color="auto"/>
        <w:right w:val="none" w:sz="0" w:space="0" w:color="auto"/>
      </w:divBdr>
    </w:div>
    <w:div w:id="898441588">
      <w:bodyDiv w:val="1"/>
      <w:marLeft w:val="0"/>
      <w:marRight w:val="0"/>
      <w:marTop w:val="0"/>
      <w:marBottom w:val="0"/>
      <w:divBdr>
        <w:top w:val="none" w:sz="0" w:space="0" w:color="auto"/>
        <w:left w:val="none" w:sz="0" w:space="0" w:color="auto"/>
        <w:bottom w:val="none" w:sz="0" w:space="0" w:color="auto"/>
        <w:right w:val="none" w:sz="0" w:space="0" w:color="auto"/>
      </w:divBdr>
    </w:div>
    <w:div w:id="909849725">
      <w:bodyDiv w:val="1"/>
      <w:marLeft w:val="0"/>
      <w:marRight w:val="0"/>
      <w:marTop w:val="0"/>
      <w:marBottom w:val="0"/>
      <w:divBdr>
        <w:top w:val="none" w:sz="0" w:space="0" w:color="auto"/>
        <w:left w:val="none" w:sz="0" w:space="0" w:color="auto"/>
        <w:bottom w:val="none" w:sz="0" w:space="0" w:color="auto"/>
        <w:right w:val="none" w:sz="0" w:space="0" w:color="auto"/>
      </w:divBdr>
    </w:div>
    <w:div w:id="942609448">
      <w:bodyDiv w:val="1"/>
      <w:marLeft w:val="0"/>
      <w:marRight w:val="0"/>
      <w:marTop w:val="0"/>
      <w:marBottom w:val="0"/>
      <w:divBdr>
        <w:top w:val="none" w:sz="0" w:space="0" w:color="auto"/>
        <w:left w:val="none" w:sz="0" w:space="0" w:color="auto"/>
        <w:bottom w:val="none" w:sz="0" w:space="0" w:color="auto"/>
        <w:right w:val="none" w:sz="0" w:space="0" w:color="auto"/>
      </w:divBdr>
    </w:div>
    <w:div w:id="954872477">
      <w:bodyDiv w:val="1"/>
      <w:marLeft w:val="0"/>
      <w:marRight w:val="0"/>
      <w:marTop w:val="0"/>
      <w:marBottom w:val="0"/>
      <w:divBdr>
        <w:top w:val="none" w:sz="0" w:space="0" w:color="auto"/>
        <w:left w:val="none" w:sz="0" w:space="0" w:color="auto"/>
        <w:bottom w:val="none" w:sz="0" w:space="0" w:color="auto"/>
        <w:right w:val="none" w:sz="0" w:space="0" w:color="auto"/>
      </w:divBdr>
    </w:div>
    <w:div w:id="957296987">
      <w:bodyDiv w:val="1"/>
      <w:marLeft w:val="0"/>
      <w:marRight w:val="0"/>
      <w:marTop w:val="0"/>
      <w:marBottom w:val="0"/>
      <w:divBdr>
        <w:top w:val="none" w:sz="0" w:space="0" w:color="auto"/>
        <w:left w:val="none" w:sz="0" w:space="0" w:color="auto"/>
        <w:bottom w:val="none" w:sz="0" w:space="0" w:color="auto"/>
        <w:right w:val="none" w:sz="0" w:space="0" w:color="auto"/>
      </w:divBdr>
    </w:div>
    <w:div w:id="977683852">
      <w:bodyDiv w:val="1"/>
      <w:marLeft w:val="0"/>
      <w:marRight w:val="0"/>
      <w:marTop w:val="0"/>
      <w:marBottom w:val="0"/>
      <w:divBdr>
        <w:top w:val="none" w:sz="0" w:space="0" w:color="auto"/>
        <w:left w:val="none" w:sz="0" w:space="0" w:color="auto"/>
        <w:bottom w:val="none" w:sz="0" w:space="0" w:color="auto"/>
        <w:right w:val="none" w:sz="0" w:space="0" w:color="auto"/>
      </w:divBdr>
    </w:div>
    <w:div w:id="989557185">
      <w:bodyDiv w:val="1"/>
      <w:marLeft w:val="0"/>
      <w:marRight w:val="0"/>
      <w:marTop w:val="0"/>
      <w:marBottom w:val="0"/>
      <w:divBdr>
        <w:top w:val="none" w:sz="0" w:space="0" w:color="auto"/>
        <w:left w:val="none" w:sz="0" w:space="0" w:color="auto"/>
        <w:bottom w:val="none" w:sz="0" w:space="0" w:color="auto"/>
        <w:right w:val="none" w:sz="0" w:space="0" w:color="auto"/>
      </w:divBdr>
    </w:div>
    <w:div w:id="1005671571">
      <w:bodyDiv w:val="1"/>
      <w:marLeft w:val="0"/>
      <w:marRight w:val="0"/>
      <w:marTop w:val="0"/>
      <w:marBottom w:val="0"/>
      <w:divBdr>
        <w:top w:val="none" w:sz="0" w:space="0" w:color="auto"/>
        <w:left w:val="none" w:sz="0" w:space="0" w:color="auto"/>
        <w:bottom w:val="none" w:sz="0" w:space="0" w:color="auto"/>
        <w:right w:val="none" w:sz="0" w:space="0" w:color="auto"/>
      </w:divBdr>
    </w:div>
    <w:div w:id="1009062125">
      <w:bodyDiv w:val="1"/>
      <w:marLeft w:val="0"/>
      <w:marRight w:val="0"/>
      <w:marTop w:val="0"/>
      <w:marBottom w:val="0"/>
      <w:divBdr>
        <w:top w:val="none" w:sz="0" w:space="0" w:color="auto"/>
        <w:left w:val="none" w:sz="0" w:space="0" w:color="auto"/>
        <w:bottom w:val="none" w:sz="0" w:space="0" w:color="auto"/>
        <w:right w:val="none" w:sz="0" w:space="0" w:color="auto"/>
      </w:divBdr>
    </w:div>
    <w:div w:id="1009794736">
      <w:bodyDiv w:val="1"/>
      <w:marLeft w:val="0"/>
      <w:marRight w:val="0"/>
      <w:marTop w:val="0"/>
      <w:marBottom w:val="0"/>
      <w:divBdr>
        <w:top w:val="none" w:sz="0" w:space="0" w:color="auto"/>
        <w:left w:val="none" w:sz="0" w:space="0" w:color="auto"/>
        <w:bottom w:val="none" w:sz="0" w:space="0" w:color="auto"/>
        <w:right w:val="none" w:sz="0" w:space="0" w:color="auto"/>
      </w:divBdr>
    </w:div>
    <w:div w:id="1014455419">
      <w:bodyDiv w:val="1"/>
      <w:marLeft w:val="0"/>
      <w:marRight w:val="0"/>
      <w:marTop w:val="0"/>
      <w:marBottom w:val="0"/>
      <w:divBdr>
        <w:top w:val="none" w:sz="0" w:space="0" w:color="auto"/>
        <w:left w:val="none" w:sz="0" w:space="0" w:color="auto"/>
        <w:bottom w:val="none" w:sz="0" w:space="0" w:color="auto"/>
        <w:right w:val="none" w:sz="0" w:space="0" w:color="auto"/>
      </w:divBdr>
    </w:div>
    <w:div w:id="1036737830">
      <w:bodyDiv w:val="1"/>
      <w:marLeft w:val="0"/>
      <w:marRight w:val="0"/>
      <w:marTop w:val="0"/>
      <w:marBottom w:val="0"/>
      <w:divBdr>
        <w:top w:val="none" w:sz="0" w:space="0" w:color="auto"/>
        <w:left w:val="none" w:sz="0" w:space="0" w:color="auto"/>
        <w:bottom w:val="none" w:sz="0" w:space="0" w:color="auto"/>
        <w:right w:val="none" w:sz="0" w:space="0" w:color="auto"/>
      </w:divBdr>
    </w:div>
    <w:div w:id="1038899463">
      <w:bodyDiv w:val="1"/>
      <w:marLeft w:val="0"/>
      <w:marRight w:val="0"/>
      <w:marTop w:val="0"/>
      <w:marBottom w:val="0"/>
      <w:divBdr>
        <w:top w:val="none" w:sz="0" w:space="0" w:color="auto"/>
        <w:left w:val="none" w:sz="0" w:space="0" w:color="auto"/>
        <w:bottom w:val="none" w:sz="0" w:space="0" w:color="auto"/>
        <w:right w:val="none" w:sz="0" w:space="0" w:color="auto"/>
      </w:divBdr>
    </w:div>
    <w:div w:id="1049454897">
      <w:bodyDiv w:val="1"/>
      <w:marLeft w:val="0"/>
      <w:marRight w:val="0"/>
      <w:marTop w:val="0"/>
      <w:marBottom w:val="0"/>
      <w:divBdr>
        <w:top w:val="none" w:sz="0" w:space="0" w:color="auto"/>
        <w:left w:val="none" w:sz="0" w:space="0" w:color="auto"/>
        <w:bottom w:val="none" w:sz="0" w:space="0" w:color="auto"/>
        <w:right w:val="none" w:sz="0" w:space="0" w:color="auto"/>
      </w:divBdr>
    </w:div>
    <w:div w:id="1066950439">
      <w:bodyDiv w:val="1"/>
      <w:marLeft w:val="0"/>
      <w:marRight w:val="0"/>
      <w:marTop w:val="0"/>
      <w:marBottom w:val="0"/>
      <w:divBdr>
        <w:top w:val="none" w:sz="0" w:space="0" w:color="auto"/>
        <w:left w:val="none" w:sz="0" w:space="0" w:color="auto"/>
        <w:bottom w:val="none" w:sz="0" w:space="0" w:color="auto"/>
        <w:right w:val="none" w:sz="0" w:space="0" w:color="auto"/>
      </w:divBdr>
    </w:div>
    <w:div w:id="1071587917">
      <w:bodyDiv w:val="1"/>
      <w:marLeft w:val="0"/>
      <w:marRight w:val="0"/>
      <w:marTop w:val="0"/>
      <w:marBottom w:val="0"/>
      <w:divBdr>
        <w:top w:val="none" w:sz="0" w:space="0" w:color="auto"/>
        <w:left w:val="none" w:sz="0" w:space="0" w:color="auto"/>
        <w:bottom w:val="none" w:sz="0" w:space="0" w:color="auto"/>
        <w:right w:val="none" w:sz="0" w:space="0" w:color="auto"/>
      </w:divBdr>
    </w:div>
    <w:div w:id="1077753709">
      <w:bodyDiv w:val="1"/>
      <w:marLeft w:val="0"/>
      <w:marRight w:val="0"/>
      <w:marTop w:val="0"/>
      <w:marBottom w:val="0"/>
      <w:divBdr>
        <w:top w:val="none" w:sz="0" w:space="0" w:color="auto"/>
        <w:left w:val="none" w:sz="0" w:space="0" w:color="auto"/>
        <w:bottom w:val="none" w:sz="0" w:space="0" w:color="auto"/>
        <w:right w:val="none" w:sz="0" w:space="0" w:color="auto"/>
      </w:divBdr>
    </w:div>
    <w:div w:id="1079979981">
      <w:bodyDiv w:val="1"/>
      <w:marLeft w:val="0"/>
      <w:marRight w:val="0"/>
      <w:marTop w:val="0"/>
      <w:marBottom w:val="0"/>
      <w:divBdr>
        <w:top w:val="none" w:sz="0" w:space="0" w:color="auto"/>
        <w:left w:val="none" w:sz="0" w:space="0" w:color="auto"/>
        <w:bottom w:val="none" w:sz="0" w:space="0" w:color="auto"/>
        <w:right w:val="none" w:sz="0" w:space="0" w:color="auto"/>
      </w:divBdr>
    </w:div>
    <w:div w:id="1080711549">
      <w:bodyDiv w:val="1"/>
      <w:marLeft w:val="0"/>
      <w:marRight w:val="0"/>
      <w:marTop w:val="0"/>
      <w:marBottom w:val="0"/>
      <w:divBdr>
        <w:top w:val="none" w:sz="0" w:space="0" w:color="auto"/>
        <w:left w:val="none" w:sz="0" w:space="0" w:color="auto"/>
        <w:bottom w:val="none" w:sz="0" w:space="0" w:color="auto"/>
        <w:right w:val="none" w:sz="0" w:space="0" w:color="auto"/>
      </w:divBdr>
    </w:div>
    <w:div w:id="1083646182">
      <w:bodyDiv w:val="1"/>
      <w:marLeft w:val="0"/>
      <w:marRight w:val="0"/>
      <w:marTop w:val="0"/>
      <w:marBottom w:val="0"/>
      <w:divBdr>
        <w:top w:val="none" w:sz="0" w:space="0" w:color="auto"/>
        <w:left w:val="none" w:sz="0" w:space="0" w:color="auto"/>
        <w:bottom w:val="none" w:sz="0" w:space="0" w:color="auto"/>
        <w:right w:val="none" w:sz="0" w:space="0" w:color="auto"/>
      </w:divBdr>
    </w:div>
    <w:div w:id="1090471242">
      <w:bodyDiv w:val="1"/>
      <w:marLeft w:val="0"/>
      <w:marRight w:val="0"/>
      <w:marTop w:val="0"/>
      <w:marBottom w:val="0"/>
      <w:divBdr>
        <w:top w:val="none" w:sz="0" w:space="0" w:color="auto"/>
        <w:left w:val="none" w:sz="0" w:space="0" w:color="auto"/>
        <w:bottom w:val="none" w:sz="0" w:space="0" w:color="auto"/>
        <w:right w:val="none" w:sz="0" w:space="0" w:color="auto"/>
      </w:divBdr>
    </w:div>
    <w:div w:id="1090932796">
      <w:bodyDiv w:val="1"/>
      <w:marLeft w:val="0"/>
      <w:marRight w:val="0"/>
      <w:marTop w:val="0"/>
      <w:marBottom w:val="0"/>
      <w:divBdr>
        <w:top w:val="none" w:sz="0" w:space="0" w:color="auto"/>
        <w:left w:val="none" w:sz="0" w:space="0" w:color="auto"/>
        <w:bottom w:val="none" w:sz="0" w:space="0" w:color="auto"/>
        <w:right w:val="none" w:sz="0" w:space="0" w:color="auto"/>
      </w:divBdr>
    </w:div>
    <w:div w:id="1124619155">
      <w:bodyDiv w:val="1"/>
      <w:marLeft w:val="0"/>
      <w:marRight w:val="0"/>
      <w:marTop w:val="0"/>
      <w:marBottom w:val="0"/>
      <w:divBdr>
        <w:top w:val="none" w:sz="0" w:space="0" w:color="auto"/>
        <w:left w:val="none" w:sz="0" w:space="0" w:color="auto"/>
        <w:bottom w:val="none" w:sz="0" w:space="0" w:color="auto"/>
        <w:right w:val="none" w:sz="0" w:space="0" w:color="auto"/>
      </w:divBdr>
    </w:div>
    <w:div w:id="1130443449">
      <w:bodyDiv w:val="1"/>
      <w:marLeft w:val="0"/>
      <w:marRight w:val="0"/>
      <w:marTop w:val="0"/>
      <w:marBottom w:val="0"/>
      <w:divBdr>
        <w:top w:val="none" w:sz="0" w:space="0" w:color="auto"/>
        <w:left w:val="none" w:sz="0" w:space="0" w:color="auto"/>
        <w:bottom w:val="none" w:sz="0" w:space="0" w:color="auto"/>
        <w:right w:val="none" w:sz="0" w:space="0" w:color="auto"/>
      </w:divBdr>
    </w:div>
    <w:div w:id="1133668212">
      <w:bodyDiv w:val="1"/>
      <w:marLeft w:val="0"/>
      <w:marRight w:val="0"/>
      <w:marTop w:val="0"/>
      <w:marBottom w:val="0"/>
      <w:divBdr>
        <w:top w:val="none" w:sz="0" w:space="0" w:color="auto"/>
        <w:left w:val="none" w:sz="0" w:space="0" w:color="auto"/>
        <w:bottom w:val="none" w:sz="0" w:space="0" w:color="auto"/>
        <w:right w:val="none" w:sz="0" w:space="0" w:color="auto"/>
      </w:divBdr>
    </w:div>
    <w:div w:id="1146623210">
      <w:bodyDiv w:val="1"/>
      <w:marLeft w:val="0"/>
      <w:marRight w:val="0"/>
      <w:marTop w:val="0"/>
      <w:marBottom w:val="0"/>
      <w:divBdr>
        <w:top w:val="none" w:sz="0" w:space="0" w:color="auto"/>
        <w:left w:val="none" w:sz="0" w:space="0" w:color="auto"/>
        <w:bottom w:val="none" w:sz="0" w:space="0" w:color="auto"/>
        <w:right w:val="none" w:sz="0" w:space="0" w:color="auto"/>
      </w:divBdr>
    </w:div>
    <w:div w:id="1149639972">
      <w:bodyDiv w:val="1"/>
      <w:marLeft w:val="0"/>
      <w:marRight w:val="0"/>
      <w:marTop w:val="0"/>
      <w:marBottom w:val="0"/>
      <w:divBdr>
        <w:top w:val="none" w:sz="0" w:space="0" w:color="auto"/>
        <w:left w:val="none" w:sz="0" w:space="0" w:color="auto"/>
        <w:bottom w:val="none" w:sz="0" w:space="0" w:color="auto"/>
        <w:right w:val="none" w:sz="0" w:space="0" w:color="auto"/>
      </w:divBdr>
    </w:div>
    <w:div w:id="1158380363">
      <w:bodyDiv w:val="1"/>
      <w:marLeft w:val="0"/>
      <w:marRight w:val="0"/>
      <w:marTop w:val="0"/>
      <w:marBottom w:val="0"/>
      <w:divBdr>
        <w:top w:val="none" w:sz="0" w:space="0" w:color="auto"/>
        <w:left w:val="none" w:sz="0" w:space="0" w:color="auto"/>
        <w:bottom w:val="none" w:sz="0" w:space="0" w:color="auto"/>
        <w:right w:val="none" w:sz="0" w:space="0" w:color="auto"/>
      </w:divBdr>
    </w:div>
    <w:div w:id="1191603559">
      <w:bodyDiv w:val="1"/>
      <w:marLeft w:val="0"/>
      <w:marRight w:val="0"/>
      <w:marTop w:val="0"/>
      <w:marBottom w:val="0"/>
      <w:divBdr>
        <w:top w:val="none" w:sz="0" w:space="0" w:color="auto"/>
        <w:left w:val="none" w:sz="0" w:space="0" w:color="auto"/>
        <w:bottom w:val="none" w:sz="0" w:space="0" w:color="auto"/>
        <w:right w:val="none" w:sz="0" w:space="0" w:color="auto"/>
      </w:divBdr>
    </w:div>
    <w:div w:id="1212764687">
      <w:bodyDiv w:val="1"/>
      <w:marLeft w:val="0"/>
      <w:marRight w:val="0"/>
      <w:marTop w:val="0"/>
      <w:marBottom w:val="0"/>
      <w:divBdr>
        <w:top w:val="none" w:sz="0" w:space="0" w:color="auto"/>
        <w:left w:val="none" w:sz="0" w:space="0" w:color="auto"/>
        <w:bottom w:val="none" w:sz="0" w:space="0" w:color="auto"/>
        <w:right w:val="none" w:sz="0" w:space="0" w:color="auto"/>
      </w:divBdr>
    </w:div>
    <w:div w:id="1229851474">
      <w:bodyDiv w:val="1"/>
      <w:marLeft w:val="0"/>
      <w:marRight w:val="0"/>
      <w:marTop w:val="0"/>
      <w:marBottom w:val="0"/>
      <w:divBdr>
        <w:top w:val="none" w:sz="0" w:space="0" w:color="auto"/>
        <w:left w:val="none" w:sz="0" w:space="0" w:color="auto"/>
        <w:bottom w:val="none" w:sz="0" w:space="0" w:color="auto"/>
        <w:right w:val="none" w:sz="0" w:space="0" w:color="auto"/>
      </w:divBdr>
    </w:div>
    <w:div w:id="1236934705">
      <w:bodyDiv w:val="1"/>
      <w:marLeft w:val="0"/>
      <w:marRight w:val="0"/>
      <w:marTop w:val="0"/>
      <w:marBottom w:val="0"/>
      <w:divBdr>
        <w:top w:val="none" w:sz="0" w:space="0" w:color="auto"/>
        <w:left w:val="none" w:sz="0" w:space="0" w:color="auto"/>
        <w:bottom w:val="none" w:sz="0" w:space="0" w:color="auto"/>
        <w:right w:val="none" w:sz="0" w:space="0" w:color="auto"/>
      </w:divBdr>
    </w:div>
    <w:div w:id="1243946731">
      <w:bodyDiv w:val="1"/>
      <w:marLeft w:val="0"/>
      <w:marRight w:val="0"/>
      <w:marTop w:val="0"/>
      <w:marBottom w:val="0"/>
      <w:divBdr>
        <w:top w:val="none" w:sz="0" w:space="0" w:color="auto"/>
        <w:left w:val="none" w:sz="0" w:space="0" w:color="auto"/>
        <w:bottom w:val="none" w:sz="0" w:space="0" w:color="auto"/>
        <w:right w:val="none" w:sz="0" w:space="0" w:color="auto"/>
      </w:divBdr>
    </w:div>
    <w:div w:id="1246961230">
      <w:bodyDiv w:val="1"/>
      <w:marLeft w:val="0"/>
      <w:marRight w:val="0"/>
      <w:marTop w:val="0"/>
      <w:marBottom w:val="0"/>
      <w:divBdr>
        <w:top w:val="none" w:sz="0" w:space="0" w:color="auto"/>
        <w:left w:val="none" w:sz="0" w:space="0" w:color="auto"/>
        <w:bottom w:val="none" w:sz="0" w:space="0" w:color="auto"/>
        <w:right w:val="none" w:sz="0" w:space="0" w:color="auto"/>
      </w:divBdr>
    </w:div>
    <w:div w:id="1248881799">
      <w:bodyDiv w:val="1"/>
      <w:marLeft w:val="0"/>
      <w:marRight w:val="0"/>
      <w:marTop w:val="0"/>
      <w:marBottom w:val="0"/>
      <w:divBdr>
        <w:top w:val="none" w:sz="0" w:space="0" w:color="auto"/>
        <w:left w:val="none" w:sz="0" w:space="0" w:color="auto"/>
        <w:bottom w:val="none" w:sz="0" w:space="0" w:color="auto"/>
        <w:right w:val="none" w:sz="0" w:space="0" w:color="auto"/>
      </w:divBdr>
    </w:div>
    <w:div w:id="1249000347">
      <w:bodyDiv w:val="1"/>
      <w:marLeft w:val="0"/>
      <w:marRight w:val="0"/>
      <w:marTop w:val="0"/>
      <w:marBottom w:val="0"/>
      <w:divBdr>
        <w:top w:val="none" w:sz="0" w:space="0" w:color="auto"/>
        <w:left w:val="none" w:sz="0" w:space="0" w:color="auto"/>
        <w:bottom w:val="none" w:sz="0" w:space="0" w:color="auto"/>
        <w:right w:val="none" w:sz="0" w:space="0" w:color="auto"/>
      </w:divBdr>
    </w:div>
    <w:div w:id="1249266332">
      <w:bodyDiv w:val="1"/>
      <w:marLeft w:val="0"/>
      <w:marRight w:val="0"/>
      <w:marTop w:val="0"/>
      <w:marBottom w:val="0"/>
      <w:divBdr>
        <w:top w:val="none" w:sz="0" w:space="0" w:color="auto"/>
        <w:left w:val="none" w:sz="0" w:space="0" w:color="auto"/>
        <w:bottom w:val="none" w:sz="0" w:space="0" w:color="auto"/>
        <w:right w:val="none" w:sz="0" w:space="0" w:color="auto"/>
      </w:divBdr>
    </w:div>
    <w:div w:id="1256982132">
      <w:bodyDiv w:val="1"/>
      <w:marLeft w:val="0"/>
      <w:marRight w:val="0"/>
      <w:marTop w:val="0"/>
      <w:marBottom w:val="0"/>
      <w:divBdr>
        <w:top w:val="none" w:sz="0" w:space="0" w:color="auto"/>
        <w:left w:val="none" w:sz="0" w:space="0" w:color="auto"/>
        <w:bottom w:val="none" w:sz="0" w:space="0" w:color="auto"/>
        <w:right w:val="none" w:sz="0" w:space="0" w:color="auto"/>
      </w:divBdr>
    </w:div>
    <w:div w:id="1262840298">
      <w:bodyDiv w:val="1"/>
      <w:marLeft w:val="0"/>
      <w:marRight w:val="0"/>
      <w:marTop w:val="0"/>
      <w:marBottom w:val="0"/>
      <w:divBdr>
        <w:top w:val="none" w:sz="0" w:space="0" w:color="auto"/>
        <w:left w:val="none" w:sz="0" w:space="0" w:color="auto"/>
        <w:bottom w:val="none" w:sz="0" w:space="0" w:color="auto"/>
        <w:right w:val="none" w:sz="0" w:space="0" w:color="auto"/>
      </w:divBdr>
    </w:div>
    <w:div w:id="1285770897">
      <w:bodyDiv w:val="1"/>
      <w:marLeft w:val="0"/>
      <w:marRight w:val="0"/>
      <w:marTop w:val="0"/>
      <w:marBottom w:val="0"/>
      <w:divBdr>
        <w:top w:val="none" w:sz="0" w:space="0" w:color="auto"/>
        <w:left w:val="none" w:sz="0" w:space="0" w:color="auto"/>
        <w:bottom w:val="none" w:sz="0" w:space="0" w:color="auto"/>
        <w:right w:val="none" w:sz="0" w:space="0" w:color="auto"/>
      </w:divBdr>
    </w:div>
    <w:div w:id="1287734756">
      <w:bodyDiv w:val="1"/>
      <w:marLeft w:val="0"/>
      <w:marRight w:val="0"/>
      <w:marTop w:val="0"/>
      <w:marBottom w:val="0"/>
      <w:divBdr>
        <w:top w:val="none" w:sz="0" w:space="0" w:color="auto"/>
        <w:left w:val="none" w:sz="0" w:space="0" w:color="auto"/>
        <w:bottom w:val="none" w:sz="0" w:space="0" w:color="auto"/>
        <w:right w:val="none" w:sz="0" w:space="0" w:color="auto"/>
      </w:divBdr>
    </w:div>
    <w:div w:id="1293250865">
      <w:bodyDiv w:val="1"/>
      <w:marLeft w:val="0"/>
      <w:marRight w:val="0"/>
      <w:marTop w:val="0"/>
      <w:marBottom w:val="0"/>
      <w:divBdr>
        <w:top w:val="none" w:sz="0" w:space="0" w:color="auto"/>
        <w:left w:val="none" w:sz="0" w:space="0" w:color="auto"/>
        <w:bottom w:val="none" w:sz="0" w:space="0" w:color="auto"/>
        <w:right w:val="none" w:sz="0" w:space="0" w:color="auto"/>
      </w:divBdr>
    </w:div>
    <w:div w:id="1316757467">
      <w:bodyDiv w:val="1"/>
      <w:marLeft w:val="0"/>
      <w:marRight w:val="0"/>
      <w:marTop w:val="0"/>
      <w:marBottom w:val="0"/>
      <w:divBdr>
        <w:top w:val="none" w:sz="0" w:space="0" w:color="auto"/>
        <w:left w:val="none" w:sz="0" w:space="0" w:color="auto"/>
        <w:bottom w:val="none" w:sz="0" w:space="0" w:color="auto"/>
        <w:right w:val="none" w:sz="0" w:space="0" w:color="auto"/>
      </w:divBdr>
    </w:div>
    <w:div w:id="1327705678">
      <w:bodyDiv w:val="1"/>
      <w:marLeft w:val="0"/>
      <w:marRight w:val="0"/>
      <w:marTop w:val="0"/>
      <w:marBottom w:val="0"/>
      <w:divBdr>
        <w:top w:val="none" w:sz="0" w:space="0" w:color="auto"/>
        <w:left w:val="none" w:sz="0" w:space="0" w:color="auto"/>
        <w:bottom w:val="none" w:sz="0" w:space="0" w:color="auto"/>
        <w:right w:val="none" w:sz="0" w:space="0" w:color="auto"/>
      </w:divBdr>
    </w:div>
    <w:div w:id="1333877026">
      <w:bodyDiv w:val="1"/>
      <w:marLeft w:val="0"/>
      <w:marRight w:val="0"/>
      <w:marTop w:val="0"/>
      <w:marBottom w:val="0"/>
      <w:divBdr>
        <w:top w:val="none" w:sz="0" w:space="0" w:color="auto"/>
        <w:left w:val="none" w:sz="0" w:space="0" w:color="auto"/>
        <w:bottom w:val="none" w:sz="0" w:space="0" w:color="auto"/>
        <w:right w:val="none" w:sz="0" w:space="0" w:color="auto"/>
      </w:divBdr>
    </w:div>
    <w:div w:id="1338533470">
      <w:bodyDiv w:val="1"/>
      <w:marLeft w:val="0"/>
      <w:marRight w:val="0"/>
      <w:marTop w:val="0"/>
      <w:marBottom w:val="0"/>
      <w:divBdr>
        <w:top w:val="none" w:sz="0" w:space="0" w:color="auto"/>
        <w:left w:val="none" w:sz="0" w:space="0" w:color="auto"/>
        <w:bottom w:val="none" w:sz="0" w:space="0" w:color="auto"/>
        <w:right w:val="none" w:sz="0" w:space="0" w:color="auto"/>
      </w:divBdr>
    </w:div>
    <w:div w:id="1385134807">
      <w:bodyDiv w:val="1"/>
      <w:marLeft w:val="0"/>
      <w:marRight w:val="0"/>
      <w:marTop w:val="0"/>
      <w:marBottom w:val="0"/>
      <w:divBdr>
        <w:top w:val="none" w:sz="0" w:space="0" w:color="auto"/>
        <w:left w:val="none" w:sz="0" w:space="0" w:color="auto"/>
        <w:bottom w:val="none" w:sz="0" w:space="0" w:color="auto"/>
        <w:right w:val="none" w:sz="0" w:space="0" w:color="auto"/>
      </w:divBdr>
    </w:div>
    <w:div w:id="1406993630">
      <w:bodyDiv w:val="1"/>
      <w:marLeft w:val="0"/>
      <w:marRight w:val="0"/>
      <w:marTop w:val="0"/>
      <w:marBottom w:val="0"/>
      <w:divBdr>
        <w:top w:val="none" w:sz="0" w:space="0" w:color="auto"/>
        <w:left w:val="none" w:sz="0" w:space="0" w:color="auto"/>
        <w:bottom w:val="none" w:sz="0" w:space="0" w:color="auto"/>
        <w:right w:val="none" w:sz="0" w:space="0" w:color="auto"/>
      </w:divBdr>
    </w:div>
    <w:div w:id="1431469262">
      <w:bodyDiv w:val="1"/>
      <w:marLeft w:val="0"/>
      <w:marRight w:val="0"/>
      <w:marTop w:val="0"/>
      <w:marBottom w:val="0"/>
      <w:divBdr>
        <w:top w:val="none" w:sz="0" w:space="0" w:color="auto"/>
        <w:left w:val="none" w:sz="0" w:space="0" w:color="auto"/>
        <w:bottom w:val="none" w:sz="0" w:space="0" w:color="auto"/>
        <w:right w:val="none" w:sz="0" w:space="0" w:color="auto"/>
      </w:divBdr>
    </w:div>
    <w:div w:id="1433624385">
      <w:bodyDiv w:val="1"/>
      <w:marLeft w:val="0"/>
      <w:marRight w:val="0"/>
      <w:marTop w:val="0"/>
      <w:marBottom w:val="0"/>
      <w:divBdr>
        <w:top w:val="none" w:sz="0" w:space="0" w:color="auto"/>
        <w:left w:val="none" w:sz="0" w:space="0" w:color="auto"/>
        <w:bottom w:val="none" w:sz="0" w:space="0" w:color="auto"/>
        <w:right w:val="none" w:sz="0" w:space="0" w:color="auto"/>
      </w:divBdr>
    </w:div>
    <w:div w:id="1459298295">
      <w:bodyDiv w:val="1"/>
      <w:marLeft w:val="0"/>
      <w:marRight w:val="0"/>
      <w:marTop w:val="0"/>
      <w:marBottom w:val="0"/>
      <w:divBdr>
        <w:top w:val="none" w:sz="0" w:space="0" w:color="auto"/>
        <w:left w:val="none" w:sz="0" w:space="0" w:color="auto"/>
        <w:bottom w:val="none" w:sz="0" w:space="0" w:color="auto"/>
        <w:right w:val="none" w:sz="0" w:space="0" w:color="auto"/>
      </w:divBdr>
    </w:div>
    <w:div w:id="1475877619">
      <w:bodyDiv w:val="1"/>
      <w:marLeft w:val="0"/>
      <w:marRight w:val="0"/>
      <w:marTop w:val="0"/>
      <w:marBottom w:val="0"/>
      <w:divBdr>
        <w:top w:val="none" w:sz="0" w:space="0" w:color="auto"/>
        <w:left w:val="none" w:sz="0" w:space="0" w:color="auto"/>
        <w:bottom w:val="none" w:sz="0" w:space="0" w:color="auto"/>
        <w:right w:val="none" w:sz="0" w:space="0" w:color="auto"/>
      </w:divBdr>
    </w:div>
    <w:div w:id="1476028738">
      <w:bodyDiv w:val="1"/>
      <w:marLeft w:val="0"/>
      <w:marRight w:val="0"/>
      <w:marTop w:val="0"/>
      <w:marBottom w:val="0"/>
      <w:divBdr>
        <w:top w:val="none" w:sz="0" w:space="0" w:color="auto"/>
        <w:left w:val="none" w:sz="0" w:space="0" w:color="auto"/>
        <w:bottom w:val="none" w:sz="0" w:space="0" w:color="auto"/>
        <w:right w:val="none" w:sz="0" w:space="0" w:color="auto"/>
      </w:divBdr>
    </w:div>
    <w:div w:id="1478064087">
      <w:bodyDiv w:val="1"/>
      <w:marLeft w:val="0"/>
      <w:marRight w:val="0"/>
      <w:marTop w:val="0"/>
      <w:marBottom w:val="0"/>
      <w:divBdr>
        <w:top w:val="none" w:sz="0" w:space="0" w:color="auto"/>
        <w:left w:val="none" w:sz="0" w:space="0" w:color="auto"/>
        <w:bottom w:val="none" w:sz="0" w:space="0" w:color="auto"/>
        <w:right w:val="none" w:sz="0" w:space="0" w:color="auto"/>
      </w:divBdr>
    </w:div>
    <w:div w:id="1484925162">
      <w:bodyDiv w:val="1"/>
      <w:marLeft w:val="0"/>
      <w:marRight w:val="0"/>
      <w:marTop w:val="0"/>
      <w:marBottom w:val="0"/>
      <w:divBdr>
        <w:top w:val="none" w:sz="0" w:space="0" w:color="auto"/>
        <w:left w:val="none" w:sz="0" w:space="0" w:color="auto"/>
        <w:bottom w:val="none" w:sz="0" w:space="0" w:color="auto"/>
        <w:right w:val="none" w:sz="0" w:space="0" w:color="auto"/>
      </w:divBdr>
    </w:div>
    <w:div w:id="1501581905">
      <w:bodyDiv w:val="1"/>
      <w:marLeft w:val="0"/>
      <w:marRight w:val="0"/>
      <w:marTop w:val="0"/>
      <w:marBottom w:val="0"/>
      <w:divBdr>
        <w:top w:val="none" w:sz="0" w:space="0" w:color="auto"/>
        <w:left w:val="none" w:sz="0" w:space="0" w:color="auto"/>
        <w:bottom w:val="none" w:sz="0" w:space="0" w:color="auto"/>
        <w:right w:val="none" w:sz="0" w:space="0" w:color="auto"/>
      </w:divBdr>
    </w:div>
    <w:div w:id="1523859508">
      <w:bodyDiv w:val="1"/>
      <w:marLeft w:val="0"/>
      <w:marRight w:val="0"/>
      <w:marTop w:val="0"/>
      <w:marBottom w:val="0"/>
      <w:divBdr>
        <w:top w:val="none" w:sz="0" w:space="0" w:color="auto"/>
        <w:left w:val="none" w:sz="0" w:space="0" w:color="auto"/>
        <w:bottom w:val="none" w:sz="0" w:space="0" w:color="auto"/>
        <w:right w:val="none" w:sz="0" w:space="0" w:color="auto"/>
      </w:divBdr>
    </w:div>
    <w:div w:id="1525940915">
      <w:bodyDiv w:val="1"/>
      <w:marLeft w:val="0"/>
      <w:marRight w:val="0"/>
      <w:marTop w:val="0"/>
      <w:marBottom w:val="0"/>
      <w:divBdr>
        <w:top w:val="none" w:sz="0" w:space="0" w:color="auto"/>
        <w:left w:val="none" w:sz="0" w:space="0" w:color="auto"/>
        <w:bottom w:val="none" w:sz="0" w:space="0" w:color="auto"/>
        <w:right w:val="none" w:sz="0" w:space="0" w:color="auto"/>
      </w:divBdr>
    </w:div>
    <w:div w:id="1531608297">
      <w:bodyDiv w:val="1"/>
      <w:marLeft w:val="0"/>
      <w:marRight w:val="0"/>
      <w:marTop w:val="0"/>
      <w:marBottom w:val="0"/>
      <w:divBdr>
        <w:top w:val="none" w:sz="0" w:space="0" w:color="auto"/>
        <w:left w:val="none" w:sz="0" w:space="0" w:color="auto"/>
        <w:bottom w:val="none" w:sz="0" w:space="0" w:color="auto"/>
        <w:right w:val="none" w:sz="0" w:space="0" w:color="auto"/>
      </w:divBdr>
    </w:div>
    <w:div w:id="1538469304">
      <w:bodyDiv w:val="1"/>
      <w:marLeft w:val="0"/>
      <w:marRight w:val="0"/>
      <w:marTop w:val="0"/>
      <w:marBottom w:val="0"/>
      <w:divBdr>
        <w:top w:val="none" w:sz="0" w:space="0" w:color="auto"/>
        <w:left w:val="none" w:sz="0" w:space="0" w:color="auto"/>
        <w:bottom w:val="none" w:sz="0" w:space="0" w:color="auto"/>
        <w:right w:val="none" w:sz="0" w:space="0" w:color="auto"/>
      </w:divBdr>
    </w:div>
    <w:div w:id="1546137089">
      <w:bodyDiv w:val="1"/>
      <w:marLeft w:val="0"/>
      <w:marRight w:val="0"/>
      <w:marTop w:val="0"/>
      <w:marBottom w:val="0"/>
      <w:divBdr>
        <w:top w:val="none" w:sz="0" w:space="0" w:color="auto"/>
        <w:left w:val="none" w:sz="0" w:space="0" w:color="auto"/>
        <w:bottom w:val="none" w:sz="0" w:space="0" w:color="auto"/>
        <w:right w:val="none" w:sz="0" w:space="0" w:color="auto"/>
      </w:divBdr>
    </w:div>
    <w:div w:id="1548109033">
      <w:bodyDiv w:val="1"/>
      <w:marLeft w:val="0"/>
      <w:marRight w:val="0"/>
      <w:marTop w:val="0"/>
      <w:marBottom w:val="0"/>
      <w:divBdr>
        <w:top w:val="none" w:sz="0" w:space="0" w:color="auto"/>
        <w:left w:val="none" w:sz="0" w:space="0" w:color="auto"/>
        <w:bottom w:val="none" w:sz="0" w:space="0" w:color="auto"/>
        <w:right w:val="none" w:sz="0" w:space="0" w:color="auto"/>
      </w:divBdr>
    </w:div>
    <w:div w:id="1549490290">
      <w:bodyDiv w:val="1"/>
      <w:marLeft w:val="0"/>
      <w:marRight w:val="0"/>
      <w:marTop w:val="0"/>
      <w:marBottom w:val="0"/>
      <w:divBdr>
        <w:top w:val="none" w:sz="0" w:space="0" w:color="auto"/>
        <w:left w:val="none" w:sz="0" w:space="0" w:color="auto"/>
        <w:bottom w:val="none" w:sz="0" w:space="0" w:color="auto"/>
        <w:right w:val="none" w:sz="0" w:space="0" w:color="auto"/>
      </w:divBdr>
    </w:div>
    <w:div w:id="1552113412">
      <w:bodyDiv w:val="1"/>
      <w:marLeft w:val="0"/>
      <w:marRight w:val="0"/>
      <w:marTop w:val="0"/>
      <w:marBottom w:val="0"/>
      <w:divBdr>
        <w:top w:val="none" w:sz="0" w:space="0" w:color="auto"/>
        <w:left w:val="none" w:sz="0" w:space="0" w:color="auto"/>
        <w:bottom w:val="none" w:sz="0" w:space="0" w:color="auto"/>
        <w:right w:val="none" w:sz="0" w:space="0" w:color="auto"/>
      </w:divBdr>
    </w:div>
    <w:div w:id="1562864768">
      <w:bodyDiv w:val="1"/>
      <w:marLeft w:val="0"/>
      <w:marRight w:val="0"/>
      <w:marTop w:val="0"/>
      <w:marBottom w:val="0"/>
      <w:divBdr>
        <w:top w:val="none" w:sz="0" w:space="0" w:color="auto"/>
        <w:left w:val="none" w:sz="0" w:space="0" w:color="auto"/>
        <w:bottom w:val="none" w:sz="0" w:space="0" w:color="auto"/>
        <w:right w:val="none" w:sz="0" w:space="0" w:color="auto"/>
      </w:divBdr>
    </w:div>
    <w:div w:id="1564297163">
      <w:bodyDiv w:val="1"/>
      <w:marLeft w:val="0"/>
      <w:marRight w:val="0"/>
      <w:marTop w:val="0"/>
      <w:marBottom w:val="0"/>
      <w:divBdr>
        <w:top w:val="none" w:sz="0" w:space="0" w:color="auto"/>
        <w:left w:val="none" w:sz="0" w:space="0" w:color="auto"/>
        <w:bottom w:val="none" w:sz="0" w:space="0" w:color="auto"/>
        <w:right w:val="none" w:sz="0" w:space="0" w:color="auto"/>
      </w:divBdr>
    </w:div>
    <w:div w:id="1568807795">
      <w:bodyDiv w:val="1"/>
      <w:marLeft w:val="0"/>
      <w:marRight w:val="0"/>
      <w:marTop w:val="0"/>
      <w:marBottom w:val="0"/>
      <w:divBdr>
        <w:top w:val="none" w:sz="0" w:space="0" w:color="auto"/>
        <w:left w:val="none" w:sz="0" w:space="0" w:color="auto"/>
        <w:bottom w:val="none" w:sz="0" w:space="0" w:color="auto"/>
        <w:right w:val="none" w:sz="0" w:space="0" w:color="auto"/>
      </w:divBdr>
    </w:div>
    <w:div w:id="1582254155">
      <w:bodyDiv w:val="1"/>
      <w:marLeft w:val="0"/>
      <w:marRight w:val="0"/>
      <w:marTop w:val="0"/>
      <w:marBottom w:val="0"/>
      <w:divBdr>
        <w:top w:val="none" w:sz="0" w:space="0" w:color="auto"/>
        <w:left w:val="none" w:sz="0" w:space="0" w:color="auto"/>
        <w:bottom w:val="none" w:sz="0" w:space="0" w:color="auto"/>
        <w:right w:val="none" w:sz="0" w:space="0" w:color="auto"/>
      </w:divBdr>
    </w:div>
    <w:div w:id="1596786603">
      <w:bodyDiv w:val="1"/>
      <w:marLeft w:val="0"/>
      <w:marRight w:val="0"/>
      <w:marTop w:val="0"/>
      <w:marBottom w:val="0"/>
      <w:divBdr>
        <w:top w:val="none" w:sz="0" w:space="0" w:color="auto"/>
        <w:left w:val="none" w:sz="0" w:space="0" w:color="auto"/>
        <w:bottom w:val="none" w:sz="0" w:space="0" w:color="auto"/>
        <w:right w:val="none" w:sz="0" w:space="0" w:color="auto"/>
      </w:divBdr>
    </w:div>
    <w:div w:id="1603948395">
      <w:bodyDiv w:val="1"/>
      <w:marLeft w:val="0"/>
      <w:marRight w:val="0"/>
      <w:marTop w:val="0"/>
      <w:marBottom w:val="0"/>
      <w:divBdr>
        <w:top w:val="none" w:sz="0" w:space="0" w:color="auto"/>
        <w:left w:val="none" w:sz="0" w:space="0" w:color="auto"/>
        <w:bottom w:val="none" w:sz="0" w:space="0" w:color="auto"/>
        <w:right w:val="none" w:sz="0" w:space="0" w:color="auto"/>
      </w:divBdr>
    </w:div>
    <w:div w:id="1618101718">
      <w:bodyDiv w:val="1"/>
      <w:marLeft w:val="0"/>
      <w:marRight w:val="0"/>
      <w:marTop w:val="0"/>
      <w:marBottom w:val="0"/>
      <w:divBdr>
        <w:top w:val="none" w:sz="0" w:space="0" w:color="auto"/>
        <w:left w:val="none" w:sz="0" w:space="0" w:color="auto"/>
        <w:bottom w:val="none" w:sz="0" w:space="0" w:color="auto"/>
        <w:right w:val="none" w:sz="0" w:space="0" w:color="auto"/>
      </w:divBdr>
    </w:div>
    <w:div w:id="1627927321">
      <w:bodyDiv w:val="1"/>
      <w:marLeft w:val="0"/>
      <w:marRight w:val="0"/>
      <w:marTop w:val="0"/>
      <w:marBottom w:val="0"/>
      <w:divBdr>
        <w:top w:val="none" w:sz="0" w:space="0" w:color="auto"/>
        <w:left w:val="none" w:sz="0" w:space="0" w:color="auto"/>
        <w:bottom w:val="none" w:sz="0" w:space="0" w:color="auto"/>
        <w:right w:val="none" w:sz="0" w:space="0" w:color="auto"/>
      </w:divBdr>
    </w:div>
    <w:div w:id="1631545783">
      <w:bodyDiv w:val="1"/>
      <w:marLeft w:val="0"/>
      <w:marRight w:val="0"/>
      <w:marTop w:val="0"/>
      <w:marBottom w:val="0"/>
      <w:divBdr>
        <w:top w:val="none" w:sz="0" w:space="0" w:color="auto"/>
        <w:left w:val="none" w:sz="0" w:space="0" w:color="auto"/>
        <w:bottom w:val="none" w:sz="0" w:space="0" w:color="auto"/>
        <w:right w:val="none" w:sz="0" w:space="0" w:color="auto"/>
      </w:divBdr>
    </w:div>
    <w:div w:id="1634557098">
      <w:bodyDiv w:val="1"/>
      <w:marLeft w:val="0"/>
      <w:marRight w:val="0"/>
      <w:marTop w:val="0"/>
      <w:marBottom w:val="0"/>
      <w:divBdr>
        <w:top w:val="none" w:sz="0" w:space="0" w:color="auto"/>
        <w:left w:val="none" w:sz="0" w:space="0" w:color="auto"/>
        <w:bottom w:val="none" w:sz="0" w:space="0" w:color="auto"/>
        <w:right w:val="none" w:sz="0" w:space="0" w:color="auto"/>
      </w:divBdr>
    </w:div>
    <w:div w:id="1637711690">
      <w:bodyDiv w:val="1"/>
      <w:marLeft w:val="0"/>
      <w:marRight w:val="0"/>
      <w:marTop w:val="0"/>
      <w:marBottom w:val="0"/>
      <w:divBdr>
        <w:top w:val="none" w:sz="0" w:space="0" w:color="auto"/>
        <w:left w:val="none" w:sz="0" w:space="0" w:color="auto"/>
        <w:bottom w:val="none" w:sz="0" w:space="0" w:color="auto"/>
        <w:right w:val="none" w:sz="0" w:space="0" w:color="auto"/>
      </w:divBdr>
    </w:div>
    <w:div w:id="1640961532">
      <w:bodyDiv w:val="1"/>
      <w:marLeft w:val="0"/>
      <w:marRight w:val="0"/>
      <w:marTop w:val="0"/>
      <w:marBottom w:val="0"/>
      <w:divBdr>
        <w:top w:val="none" w:sz="0" w:space="0" w:color="auto"/>
        <w:left w:val="none" w:sz="0" w:space="0" w:color="auto"/>
        <w:bottom w:val="none" w:sz="0" w:space="0" w:color="auto"/>
        <w:right w:val="none" w:sz="0" w:space="0" w:color="auto"/>
      </w:divBdr>
    </w:div>
    <w:div w:id="1656564163">
      <w:bodyDiv w:val="1"/>
      <w:marLeft w:val="0"/>
      <w:marRight w:val="0"/>
      <w:marTop w:val="0"/>
      <w:marBottom w:val="0"/>
      <w:divBdr>
        <w:top w:val="none" w:sz="0" w:space="0" w:color="auto"/>
        <w:left w:val="none" w:sz="0" w:space="0" w:color="auto"/>
        <w:bottom w:val="none" w:sz="0" w:space="0" w:color="auto"/>
        <w:right w:val="none" w:sz="0" w:space="0" w:color="auto"/>
      </w:divBdr>
    </w:div>
    <w:div w:id="1672028436">
      <w:bodyDiv w:val="1"/>
      <w:marLeft w:val="0"/>
      <w:marRight w:val="0"/>
      <w:marTop w:val="0"/>
      <w:marBottom w:val="0"/>
      <w:divBdr>
        <w:top w:val="none" w:sz="0" w:space="0" w:color="auto"/>
        <w:left w:val="none" w:sz="0" w:space="0" w:color="auto"/>
        <w:bottom w:val="none" w:sz="0" w:space="0" w:color="auto"/>
        <w:right w:val="none" w:sz="0" w:space="0" w:color="auto"/>
      </w:divBdr>
    </w:div>
    <w:div w:id="1673797180">
      <w:bodyDiv w:val="1"/>
      <w:marLeft w:val="0"/>
      <w:marRight w:val="0"/>
      <w:marTop w:val="0"/>
      <w:marBottom w:val="0"/>
      <w:divBdr>
        <w:top w:val="none" w:sz="0" w:space="0" w:color="auto"/>
        <w:left w:val="none" w:sz="0" w:space="0" w:color="auto"/>
        <w:bottom w:val="none" w:sz="0" w:space="0" w:color="auto"/>
        <w:right w:val="none" w:sz="0" w:space="0" w:color="auto"/>
      </w:divBdr>
    </w:div>
    <w:div w:id="1674407521">
      <w:bodyDiv w:val="1"/>
      <w:marLeft w:val="0"/>
      <w:marRight w:val="0"/>
      <w:marTop w:val="0"/>
      <w:marBottom w:val="0"/>
      <w:divBdr>
        <w:top w:val="none" w:sz="0" w:space="0" w:color="auto"/>
        <w:left w:val="none" w:sz="0" w:space="0" w:color="auto"/>
        <w:bottom w:val="none" w:sz="0" w:space="0" w:color="auto"/>
        <w:right w:val="none" w:sz="0" w:space="0" w:color="auto"/>
      </w:divBdr>
    </w:div>
    <w:div w:id="1676688199">
      <w:bodyDiv w:val="1"/>
      <w:marLeft w:val="0"/>
      <w:marRight w:val="0"/>
      <w:marTop w:val="0"/>
      <w:marBottom w:val="0"/>
      <w:divBdr>
        <w:top w:val="none" w:sz="0" w:space="0" w:color="auto"/>
        <w:left w:val="none" w:sz="0" w:space="0" w:color="auto"/>
        <w:bottom w:val="none" w:sz="0" w:space="0" w:color="auto"/>
        <w:right w:val="none" w:sz="0" w:space="0" w:color="auto"/>
      </w:divBdr>
    </w:div>
    <w:div w:id="1677685337">
      <w:bodyDiv w:val="1"/>
      <w:marLeft w:val="0"/>
      <w:marRight w:val="0"/>
      <w:marTop w:val="0"/>
      <w:marBottom w:val="0"/>
      <w:divBdr>
        <w:top w:val="none" w:sz="0" w:space="0" w:color="auto"/>
        <w:left w:val="none" w:sz="0" w:space="0" w:color="auto"/>
        <w:bottom w:val="none" w:sz="0" w:space="0" w:color="auto"/>
        <w:right w:val="none" w:sz="0" w:space="0" w:color="auto"/>
      </w:divBdr>
    </w:div>
    <w:div w:id="1709332883">
      <w:bodyDiv w:val="1"/>
      <w:marLeft w:val="0"/>
      <w:marRight w:val="0"/>
      <w:marTop w:val="0"/>
      <w:marBottom w:val="0"/>
      <w:divBdr>
        <w:top w:val="none" w:sz="0" w:space="0" w:color="auto"/>
        <w:left w:val="none" w:sz="0" w:space="0" w:color="auto"/>
        <w:bottom w:val="none" w:sz="0" w:space="0" w:color="auto"/>
        <w:right w:val="none" w:sz="0" w:space="0" w:color="auto"/>
      </w:divBdr>
    </w:div>
    <w:div w:id="1719354653">
      <w:bodyDiv w:val="1"/>
      <w:marLeft w:val="0"/>
      <w:marRight w:val="0"/>
      <w:marTop w:val="0"/>
      <w:marBottom w:val="0"/>
      <w:divBdr>
        <w:top w:val="none" w:sz="0" w:space="0" w:color="auto"/>
        <w:left w:val="none" w:sz="0" w:space="0" w:color="auto"/>
        <w:bottom w:val="none" w:sz="0" w:space="0" w:color="auto"/>
        <w:right w:val="none" w:sz="0" w:space="0" w:color="auto"/>
      </w:divBdr>
    </w:div>
    <w:div w:id="1756245465">
      <w:bodyDiv w:val="1"/>
      <w:marLeft w:val="0"/>
      <w:marRight w:val="0"/>
      <w:marTop w:val="0"/>
      <w:marBottom w:val="0"/>
      <w:divBdr>
        <w:top w:val="none" w:sz="0" w:space="0" w:color="auto"/>
        <w:left w:val="none" w:sz="0" w:space="0" w:color="auto"/>
        <w:bottom w:val="none" w:sz="0" w:space="0" w:color="auto"/>
        <w:right w:val="none" w:sz="0" w:space="0" w:color="auto"/>
      </w:divBdr>
    </w:div>
    <w:div w:id="1778788616">
      <w:bodyDiv w:val="1"/>
      <w:marLeft w:val="0"/>
      <w:marRight w:val="0"/>
      <w:marTop w:val="0"/>
      <w:marBottom w:val="0"/>
      <w:divBdr>
        <w:top w:val="none" w:sz="0" w:space="0" w:color="auto"/>
        <w:left w:val="none" w:sz="0" w:space="0" w:color="auto"/>
        <w:bottom w:val="none" w:sz="0" w:space="0" w:color="auto"/>
        <w:right w:val="none" w:sz="0" w:space="0" w:color="auto"/>
      </w:divBdr>
    </w:div>
    <w:div w:id="1826318325">
      <w:bodyDiv w:val="1"/>
      <w:marLeft w:val="0"/>
      <w:marRight w:val="0"/>
      <w:marTop w:val="0"/>
      <w:marBottom w:val="0"/>
      <w:divBdr>
        <w:top w:val="none" w:sz="0" w:space="0" w:color="auto"/>
        <w:left w:val="none" w:sz="0" w:space="0" w:color="auto"/>
        <w:bottom w:val="none" w:sz="0" w:space="0" w:color="auto"/>
        <w:right w:val="none" w:sz="0" w:space="0" w:color="auto"/>
      </w:divBdr>
    </w:div>
    <w:div w:id="1867913095">
      <w:bodyDiv w:val="1"/>
      <w:marLeft w:val="0"/>
      <w:marRight w:val="0"/>
      <w:marTop w:val="0"/>
      <w:marBottom w:val="0"/>
      <w:divBdr>
        <w:top w:val="none" w:sz="0" w:space="0" w:color="auto"/>
        <w:left w:val="none" w:sz="0" w:space="0" w:color="auto"/>
        <w:bottom w:val="none" w:sz="0" w:space="0" w:color="auto"/>
        <w:right w:val="none" w:sz="0" w:space="0" w:color="auto"/>
      </w:divBdr>
    </w:div>
    <w:div w:id="1896500932">
      <w:bodyDiv w:val="1"/>
      <w:marLeft w:val="0"/>
      <w:marRight w:val="0"/>
      <w:marTop w:val="0"/>
      <w:marBottom w:val="0"/>
      <w:divBdr>
        <w:top w:val="none" w:sz="0" w:space="0" w:color="auto"/>
        <w:left w:val="none" w:sz="0" w:space="0" w:color="auto"/>
        <w:bottom w:val="none" w:sz="0" w:space="0" w:color="auto"/>
        <w:right w:val="none" w:sz="0" w:space="0" w:color="auto"/>
      </w:divBdr>
    </w:div>
    <w:div w:id="1911383636">
      <w:bodyDiv w:val="1"/>
      <w:marLeft w:val="0"/>
      <w:marRight w:val="0"/>
      <w:marTop w:val="0"/>
      <w:marBottom w:val="0"/>
      <w:divBdr>
        <w:top w:val="none" w:sz="0" w:space="0" w:color="auto"/>
        <w:left w:val="none" w:sz="0" w:space="0" w:color="auto"/>
        <w:bottom w:val="none" w:sz="0" w:space="0" w:color="auto"/>
        <w:right w:val="none" w:sz="0" w:space="0" w:color="auto"/>
      </w:divBdr>
    </w:div>
    <w:div w:id="1916934616">
      <w:bodyDiv w:val="1"/>
      <w:marLeft w:val="0"/>
      <w:marRight w:val="0"/>
      <w:marTop w:val="0"/>
      <w:marBottom w:val="0"/>
      <w:divBdr>
        <w:top w:val="none" w:sz="0" w:space="0" w:color="auto"/>
        <w:left w:val="none" w:sz="0" w:space="0" w:color="auto"/>
        <w:bottom w:val="none" w:sz="0" w:space="0" w:color="auto"/>
        <w:right w:val="none" w:sz="0" w:space="0" w:color="auto"/>
      </w:divBdr>
    </w:div>
    <w:div w:id="1926761757">
      <w:bodyDiv w:val="1"/>
      <w:marLeft w:val="0"/>
      <w:marRight w:val="0"/>
      <w:marTop w:val="0"/>
      <w:marBottom w:val="0"/>
      <w:divBdr>
        <w:top w:val="none" w:sz="0" w:space="0" w:color="auto"/>
        <w:left w:val="none" w:sz="0" w:space="0" w:color="auto"/>
        <w:bottom w:val="none" w:sz="0" w:space="0" w:color="auto"/>
        <w:right w:val="none" w:sz="0" w:space="0" w:color="auto"/>
      </w:divBdr>
    </w:div>
    <w:div w:id="1931699604">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68926426">
      <w:bodyDiv w:val="1"/>
      <w:marLeft w:val="0"/>
      <w:marRight w:val="0"/>
      <w:marTop w:val="0"/>
      <w:marBottom w:val="0"/>
      <w:divBdr>
        <w:top w:val="none" w:sz="0" w:space="0" w:color="auto"/>
        <w:left w:val="none" w:sz="0" w:space="0" w:color="auto"/>
        <w:bottom w:val="none" w:sz="0" w:space="0" w:color="auto"/>
        <w:right w:val="none" w:sz="0" w:space="0" w:color="auto"/>
      </w:divBdr>
    </w:div>
    <w:div w:id="1997950194">
      <w:bodyDiv w:val="1"/>
      <w:marLeft w:val="0"/>
      <w:marRight w:val="0"/>
      <w:marTop w:val="0"/>
      <w:marBottom w:val="0"/>
      <w:divBdr>
        <w:top w:val="none" w:sz="0" w:space="0" w:color="auto"/>
        <w:left w:val="none" w:sz="0" w:space="0" w:color="auto"/>
        <w:bottom w:val="none" w:sz="0" w:space="0" w:color="auto"/>
        <w:right w:val="none" w:sz="0" w:space="0" w:color="auto"/>
      </w:divBdr>
    </w:div>
    <w:div w:id="1998607440">
      <w:bodyDiv w:val="1"/>
      <w:marLeft w:val="0"/>
      <w:marRight w:val="0"/>
      <w:marTop w:val="0"/>
      <w:marBottom w:val="0"/>
      <w:divBdr>
        <w:top w:val="none" w:sz="0" w:space="0" w:color="auto"/>
        <w:left w:val="none" w:sz="0" w:space="0" w:color="auto"/>
        <w:bottom w:val="none" w:sz="0" w:space="0" w:color="auto"/>
        <w:right w:val="none" w:sz="0" w:space="0" w:color="auto"/>
      </w:divBdr>
    </w:div>
    <w:div w:id="2001495679">
      <w:bodyDiv w:val="1"/>
      <w:marLeft w:val="0"/>
      <w:marRight w:val="0"/>
      <w:marTop w:val="0"/>
      <w:marBottom w:val="0"/>
      <w:divBdr>
        <w:top w:val="none" w:sz="0" w:space="0" w:color="auto"/>
        <w:left w:val="none" w:sz="0" w:space="0" w:color="auto"/>
        <w:bottom w:val="none" w:sz="0" w:space="0" w:color="auto"/>
        <w:right w:val="none" w:sz="0" w:space="0" w:color="auto"/>
      </w:divBdr>
    </w:div>
    <w:div w:id="2001497880">
      <w:bodyDiv w:val="1"/>
      <w:marLeft w:val="0"/>
      <w:marRight w:val="0"/>
      <w:marTop w:val="0"/>
      <w:marBottom w:val="0"/>
      <w:divBdr>
        <w:top w:val="none" w:sz="0" w:space="0" w:color="auto"/>
        <w:left w:val="none" w:sz="0" w:space="0" w:color="auto"/>
        <w:bottom w:val="none" w:sz="0" w:space="0" w:color="auto"/>
        <w:right w:val="none" w:sz="0" w:space="0" w:color="auto"/>
      </w:divBdr>
    </w:div>
    <w:div w:id="2048682064">
      <w:bodyDiv w:val="1"/>
      <w:marLeft w:val="0"/>
      <w:marRight w:val="0"/>
      <w:marTop w:val="0"/>
      <w:marBottom w:val="0"/>
      <w:divBdr>
        <w:top w:val="none" w:sz="0" w:space="0" w:color="auto"/>
        <w:left w:val="none" w:sz="0" w:space="0" w:color="auto"/>
        <w:bottom w:val="none" w:sz="0" w:space="0" w:color="auto"/>
        <w:right w:val="none" w:sz="0" w:space="0" w:color="auto"/>
      </w:divBdr>
    </w:div>
    <w:div w:id="2050955186">
      <w:bodyDiv w:val="1"/>
      <w:marLeft w:val="0"/>
      <w:marRight w:val="0"/>
      <w:marTop w:val="0"/>
      <w:marBottom w:val="0"/>
      <w:divBdr>
        <w:top w:val="none" w:sz="0" w:space="0" w:color="auto"/>
        <w:left w:val="none" w:sz="0" w:space="0" w:color="auto"/>
        <w:bottom w:val="none" w:sz="0" w:space="0" w:color="auto"/>
        <w:right w:val="none" w:sz="0" w:space="0" w:color="auto"/>
      </w:divBdr>
    </w:div>
    <w:div w:id="2059894188">
      <w:bodyDiv w:val="1"/>
      <w:marLeft w:val="0"/>
      <w:marRight w:val="0"/>
      <w:marTop w:val="0"/>
      <w:marBottom w:val="0"/>
      <w:divBdr>
        <w:top w:val="none" w:sz="0" w:space="0" w:color="auto"/>
        <w:left w:val="none" w:sz="0" w:space="0" w:color="auto"/>
        <w:bottom w:val="none" w:sz="0" w:space="0" w:color="auto"/>
        <w:right w:val="none" w:sz="0" w:space="0" w:color="auto"/>
      </w:divBdr>
    </w:div>
    <w:div w:id="2067412914">
      <w:bodyDiv w:val="1"/>
      <w:marLeft w:val="0"/>
      <w:marRight w:val="0"/>
      <w:marTop w:val="0"/>
      <w:marBottom w:val="0"/>
      <w:divBdr>
        <w:top w:val="none" w:sz="0" w:space="0" w:color="auto"/>
        <w:left w:val="none" w:sz="0" w:space="0" w:color="auto"/>
        <w:bottom w:val="none" w:sz="0" w:space="0" w:color="auto"/>
        <w:right w:val="none" w:sz="0" w:space="0" w:color="auto"/>
      </w:divBdr>
    </w:div>
    <w:div w:id="2068843424">
      <w:bodyDiv w:val="1"/>
      <w:marLeft w:val="0"/>
      <w:marRight w:val="0"/>
      <w:marTop w:val="0"/>
      <w:marBottom w:val="0"/>
      <w:divBdr>
        <w:top w:val="none" w:sz="0" w:space="0" w:color="auto"/>
        <w:left w:val="none" w:sz="0" w:space="0" w:color="auto"/>
        <w:bottom w:val="none" w:sz="0" w:space="0" w:color="auto"/>
        <w:right w:val="none" w:sz="0" w:space="0" w:color="auto"/>
      </w:divBdr>
    </w:div>
    <w:div w:id="2095735875">
      <w:bodyDiv w:val="1"/>
      <w:marLeft w:val="0"/>
      <w:marRight w:val="0"/>
      <w:marTop w:val="0"/>
      <w:marBottom w:val="0"/>
      <w:divBdr>
        <w:top w:val="none" w:sz="0" w:space="0" w:color="auto"/>
        <w:left w:val="none" w:sz="0" w:space="0" w:color="auto"/>
        <w:bottom w:val="none" w:sz="0" w:space="0" w:color="auto"/>
        <w:right w:val="none" w:sz="0" w:space="0" w:color="auto"/>
      </w:divBdr>
    </w:div>
    <w:div w:id="2101025307">
      <w:bodyDiv w:val="1"/>
      <w:marLeft w:val="0"/>
      <w:marRight w:val="0"/>
      <w:marTop w:val="0"/>
      <w:marBottom w:val="0"/>
      <w:divBdr>
        <w:top w:val="none" w:sz="0" w:space="0" w:color="auto"/>
        <w:left w:val="none" w:sz="0" w:space="0" w:color="auto"/>
        <w:bottom w:val="none" w:sz="0" w:space="0" w:color="auto"/>
        <w:right w:val="none" w:sz="0" w:space="0" w:color="auto"/>
      </w:divBdr>
    </w:div>
    <w:div w:id="2110272875">
      <w:bodyDiv w:val="1"/>
      <w:marLeft w:val="0"/>
      <w:marRight w:val="0"/>
      <w:marTop w:val="0"/>
      <w:marBottom w:val="0"/>
      <w:divBdr>
        <w:top w:val="none" w:sz="0" w:space="0" w:color="auto"/>
        <w:left w:val="none" w:sz="0" w:space="0" w:color="auto"/>
        <w:bottom w:val="none" w:sz="0" w:space="0" w:color="auto"/>
        <w:right w:val="none" w:sz="0" w:space="0" w:color="auto"/>
      </w:divBdr>
    </w:div>
    <w:div w:id="2112162722">
      <w:bodyDiv w:val="1"/>
      <w:marLeft w:val="0"/>
      <w:marRight w:val="0"/>
      <w:marTop w:val="0"/>
      <w:marBottom w:val="0"/>
      <w:divBdr>
        <w:top w:val="none" w:sz="0" w:space="0" w:color="auto"/>
        <w:left w:val="none" w:sz="0" w:space="0" w:color="auto"/>
        <w:bottom w:val="none" w:sz="0" w:space="0" w:color="auto"/>
        <w:right w:val="none" w:sz="0" w:space="0" w:color="auto"/>
      </w:divBdr>
    </w:div>
    <w:div w:id="2119450010">
      <w:bodyDiv w:val="1"/>
      <w:marLeft w:val="0"/>
      <w:marRight w:val="0"/>
      <w:marTop w:val="0"/>
      <w:marBottom w:val="0"/>
      <w:divBdr>
        <w:top w:val="none" w:sz="0" w:space="0" w:color="auto"/>
        <w:left w:val="none" w:sz="0" w:space="0" w:color="auto"/>
        <w:bottom w:val="none" w:sz="0" w:space="0" w:color="auto"/>
        <w:right w:val="none" w:sz="0" w:space="0" w:color="auto"/>
      </w:divBdr>
    </w:div>
    <w:div w:id="2134052763">
      <w:bodyDiv w:val="1"/>
      <w:marLeft w:val="0"/>
      <w:marRight w:val="0"/>
      <w:marTop w:val="0"/>
      <w:marBottom w:val="0"/>
      <w:divBdr>
        <w:top w:val="none" w:sz="0" w:space="0" w:color="auto"/>
        <w:left w:val="none" w:sz="0" w:space="0" w:color="auto"/>
        <w:bottom w:val="none" w:sz="0" w:space="0" w:color="auto"/>
        <w:right w:val="none" w:sz="0" w:space="0" w:color="auto"/>
      </w:divBdr>
    </w:div>
    <w:div w:id="21387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67</ap:Pages>
  <ap:Words>20054</ap:Words>
  <ap:Characters>110302</ap:Characters>
  <ap:DocSecurity>4</ap:DocSecurity>
  <ap:Lines>919</ap:Lines>
  <ap:Paragraphs>260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2015-06-01T11:06:00.0000000Z</lastPrinted>
  <dcterms:created xsi:type="dcterms:W3CDTF">2015-06-01T15:51:00.0000000Z</dcterms:created>
  <dcterms:modified xsi:type="dcterms:W3CDTF">2015-06-01T15:51:00.0000000Z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0x0101002394C579B2BF72438FFD5DCE97224A3A</vt:lpwstr>
  </property>
</Properties>
</file>