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705E6" w:rsidR="00A705E6" w:rsidP="00A705E6" w:rsidRDefault="00A705E6">
      <w:pPr>
        <w:rPr>
          <w:rFonts w:ascii="Calibri" w:hAnsi="Calibri" w:eastAsia="Calibri"/>
          <w:sz w:val="22"/>
          <w:szCs w:val="22"/>
          <w:lang w:eastAsia="en-US"/>
        </w:rPr>
      </w:pPr>
      <w:r w:rsidRPr="00A705E6">
        <w:rPr>
          <w:rFonts w:ascii="Calibri" w:hAnsi="Calibri" w:eastAsia="Calibri"/>
          <w:sz w:val="22"/>
          <w:szCs w:val="22"/>
          <w:lang w:eastAsia="en-US"/>
        </w:rPr>
        <w:t>Geachte leden en plaatsvervangende leden van de vaste commissie voor Infrastructuur en Milieu,</w:t>
      </w:r>
    </w:p>
    <w:p w:rsidRPr="00A705E6" w:rsidR="00A705E6" w:rsidP="00A705E6" w:rsidRDefault="00A705E6">
      <w:pPr>
        <w:rPr>
          <w:rFonts w:ascii="Calibri" w:hAnsi="Calibri" w:eastAsia="Calibri"/>
          <w:sz w:val="22"/>
          <w:szCs w:val="22"/>
          <w:lang w:eastAsia="en-US"/>
        </w:rPr>
      </w:pPr>
    </w:p>
    <w:p w:rsidRPr="00A705E6" w:rsidR="00A705E6" w:rsidP="00A705E6" w:rsidRDefault="00A705E6">
      <w:pPr>
        <w:rPr>
          <w:rFonts w:ascii="Calibri" w:hAnsi="Calibri" w:eastAsia="Calibri"/>
          <w:sz w:val="22"/>
          <w:szCs w:val="22"/>
          <w:lang w:eastAsia="en-US"/>
        </w:rPr>
      </w:pPr>
      <w:r w:rsidRPr="00A705E6">
        <w:rPr>
          <w:rFonts w:ascii="Calibri" w:hAnsi="Calibri" w:eastAsia="Calibri"/>
          <w:sz w:val="22"/>
          <w:szCs w:val="22"/>
          <w:lang w:eastAsia="en-US"/>
        </w:rPr>
        <w:t xml:space="preserve">Ten behoeve van de procedurevergadering van woensdag 20 mei 2015 doe ik u bij dezen een nagekomen rondvraagpunt toekomen, ter bespreking tijdens de procedurevergadering naar aanleiding van agendapunt 16. </w:t>
      </w:r>
    </w:p>
    <w:p w:rsidRPr="00A705E6" w:rsidR="00A705E6" w:rsidP="00A705E6" w:rsidRDefault="00A705E6">
      <w:pPr>
        <w:rPr>
          <w:rFonts w:ascii="Calibri" w:hAnsi="Calibri" w:eastAsia="Calibri"/>
          <w:sz w:val="22"/>
          <w:szCs w:val="22"/>
          <w:lang w:eastAsia="en-US"/>
        </w:rPr>
      </w:pPr>
    </w:p>
    <w:p w:rsidRPr="00A705E6" w:rsidR="00A705E6" w:rsidP="00A705E6" w:rsidRDefault="00A705E6">
      <w:pPr>
        <w:rPr>
          <w:rFonts w:ascii="Calibri" w:hAnsi="Calibri" w:eastAsia="Calibri"/>
          <w:sz w:val="22"/>
          <w:szCs w:val="22"/>
          <w:lang w:eastAsia="en-US"/>
        </w:rPr>
      </w:pPr>
      <w:r w:rsidRPr="00A705E6">
        <w:rPr>
          <w:rFonts w:ascii="Calibri" w:hAnsi="Calibri" w:eastAsia="Calibri"/>
          <w:sz w:val="22"/>
          <w:szCs w:val="22"/>
          <w:lang w:eastAsia="en-US"/>
        </w:rPr>
        <w:t xml:space="preserve">De leden De Boer en Aukje de Vries (beiden VVD) en Jacobi (PvdA) stellen voor om een rondetafelgesprek te houden over de vaargeul </w:t>
      </w:r>
      <w:proofErr w:type="spellStart"/>
      <w:r w:rsidRPr="00A705E6">
        <w:rPr>
          <w:rFonts w:ascii="Calibri" w:hAnsi="Calibri" w:eastAsia="Calibri"/>
          <w:sz w:val="22"/>
          <w:szCs w:val="22"/>
          <w:lang w:eastAsia="en-US"/>
        </w:rPr>
        <w:t>Holwerd</w:t>
      </w:r>
      <w:proofErr w:type="spellEnd"/>
      <w:r w:rsidRPr="00A705E6">
        <w:rPr>
          <w:rFonts w:ascii="Calibri" w:hAnsi="Calibri" w:eastAsia="Calibri"/>
          <w:sz w:val="22"/>
          <w:szCs w:val="22"/>
          <w:lang w:eastAsia="en-US"/>
        </w:rPr>
        <w:t>-Nes en daar optredende vertraging van de veerverbinding met Ameland. Dit rondetafelgesprek zou kunnen plaatsvinden op donderdag 18 juni van 14.00 uur tot 15.30 uur.</w:t>
      </w:r>
    </w:p>
    <w:p w:rsidRPr="00A705E6" w:rsidR="00A705E6" w:rsidP="00A705E6" w:rsidRDefault="00A705E6">
      <w:pPr>
        <w:rPr>
          <w:rFonts w:ascii="Calibri" w:hAnsi="Calibri" w:eastAsia="Calibri"/>
          <w:sz w:val="22"/>
          <w:szCs w:val="22"/>
          <w:lang w:eastAsia="en-US"/>
        </w:rPr>
      </w:pPr>
    </w:p>
    <w:p w:rsidRPr="00A705E6" w:rsidR="00A705E6" w:rsidP="00A705E6" w:rsidRDefault="00A705E6">
      <w:pPr>
        <w:rPr>
          <w:rFonts w:ascii="Calibri" w:hAnsi="Calibri" w:eastAsia="Calibri"/>
          <w:sz w:val="22"/>
          <w:szCs w:val="22"/>
          <w:lang w:eastAsia="en-US"/>
        </w:rPr>
      </w:pPr>
      <w:r w:rsidRPr="00A705E6">
        <w:rPr>
          <w:rFonts w:ascii="Calibri" w:hAnsi="Calibri" w:eastAsia="Calibri"/>
          <w:sz w:val="22"/>
          <w:szCs w:val="22"/>
          <w:lang w:eastAsia="en-US"/>
        </w:rPr>
        <w:t xml:space="preserve">U hoeft niet op deze mail te reageren; het bovenstaande voorstel zal worden besproken tijdens de procedurevergadering van woensdag 20 mei 2015 van 10.15 uur tot 11.15 uur. </w:t>
      </w:r>
    </w:p>
    <w:p w:rsidRPr="00A705E6" w:rsidR="00A705E6" w:rsidP="00A705E6" w:rsidRDefault="00A705E6">
      <w:pPr>
        <w:rPr>
          <w:rFonts w:ascii="Calibri" w:hAnsi="Calibri" w:eastAsia="Calibri"/>
          <w:sz w:val="22"/>
          <w:szCs w:val="22"/>
          <w:lang w:eastAsia="en-US"/>
        </w:rPr>
      </w:pPr>
    </w:p>
    <w:p w:rsidRPr="00A705E6" w:rsidR="00A705E6" w:rsidP="00A705E6" w:rsidRDefault="00A705E6">
      <w:pPr>
        <w:spacing w:after="240"/>
        <w:rPr>
          <w:rFonts w:ascii="Verdana" w:hAnsi="Verdana" w:eastAsia="Calibri"/>
          <w:color w:val="323296"/>
          <w:sz w:val="20"/>
          <w:szCs w:val="20"/>
        </w:rPr>
      </w:pPr>
      <w:r w:rsidRPr="00A705E6">
        <w:rPr>
          <w:rFonts w:ascii="Verdana" w:hAnsi="Verdana" w:eastAsia="Calibri"/>
          <w:color w:val="323296"/>
          <w:sz w:val="20"/>
          <w:szCs w:val="20"/>
        </w:rPr>
        <w:t>Met vriendelijke groet,</w:t>
      </w:r>
    </w:p>
    <w:p w:rsidR="009317CC" w:rsidP="00A705E6" w:rsidRDefault="00A705E6">
      <w:pPr>
        <w:rPr>
          <w:rFonts w:ascii="Verdana" w:hAnsi="Verdana" w:eastAsia="Calibri"/>
          <w:color w:val="323296"/>
          <w:sz w:val="20"/>
          <w:szCs w:val="20"/>
        </w:rPr>
      </w:pPr>
      <w:r w:rsidRPr="00A705E6">
        <w:rPr>
          <w:rFonts w:ascii="Verdana" w:hAnsi="Verdana" w:eastAsia="Calibri"/>
          <w:color w:val="323296"/>
          <w:sz w:val="20"/>
          <w:szCs w:val="20"/>
        </w:rPr>
        <w:t>Benjamin Koerselman</w:t>
      </w:r>
    </w:p>
    <w:p w:rsidR="00A705E6" w:rsidP="00A705E6" w:rsidRDefault="00A705E6">
      <w:pPr>
        <w:rPr>
          <w:rFonts w:ascii="Verdana" w:hAnsi="Verdana" w:eastAsia="Calibri"/>
          <w:color w:val="323296"/>
          <w:sz w:val="20"/>
          <w:szCs w:val="20"/>
        </w:rPr>
      </w:pPr>
    </w:p>
    <w:p w:rsidR="00A705E6" w:rsidRDefault="00A705E6">
      <w:pPr>
        <w:rPr>
          <w:rFonts w:ascii="Verdana" w:hAnsi="Verdana" w:eastAsia="Calibri"/>
          <w:color w:val="323296"/>
          <w:sz w:val="20"/>
          <w:szCs w:val="20"/>
        </w:rPr>
      </w:pPr>
      <w:r>
        <w:rPr>
          <w:rFonts w:ascii="Verdana" w:hAnsi="Verdana" w:eastAsia="Calibri"/>
          <w:color w:val="323296"/>
          <w:sz w:val="20"/>
          <w:szCs w:val="20"/>
        </w:rPr>
        <w:br w:type="page"/>
      </w:r>
    </w:p>
    <w:p w:rsidR="00A705E6" w:rsidP="00A705E6" w:rsidRDefault="00A705E6">
      <w:pPr>
        <w:rPr>
          <w:rFonts w:ascii="Verdana" w:hAnsi="Verdana" w:eastAsia="Calibri"/>
          <w:color w:val="323296"/>
          <w:sz w:val="20"/>
          <w:szCs w:val="20"/>
        </w:rPr>
      </w:pPr>
      <w:bookmarkStart w:name="_GoBack" w:id="0"/>
      <w:bookmarkEnd w:id="0"/>
    </w:p>
    <w:p w:rsidR="00A705E6" w:rsidP="00A705E6" w:rsidRDefault="00A705E6">
      <w:pPr>
        <w:rPr>
          <w:rFonts w:ascii="Verdana" w:hAnsi="Verdana" w:eastAsia="Calibri"/>
          <w:color w:val="323296"/>
          <w:sz w:val="20"/>
          <w:szCs w:val="20"/>
        </w:rPr>
      </w:pPr>
    </w:p>
    <w:p w:rsidRPr="00A705E6" w:rsidR="00A705E6" w:rsidP="00A705E6" w:rsidRDefault="00A705E6">
      <w:r w:rsidRPr="00A705E6">
        <w:rPr>
          <w:b/>
        </w:rPr>
        <w:t>INITIATIEF RONDETAFELGESPREK / HOORZITTING</w:t>
      </w:r>
    </w:p>
    <w:p w:rsidRPr="00A705E6" w:rsidR="00A705E6" w:rsidP="00A705E6" w:rsidRDefault="00A705E6"/>
    <w:tbl>
      <w:tblPr>
        <w:tblW w:w="15856" w:type="dxa"/>
        <w:tblLook w:val="01E0" w:firstRow="1" w:lastRow="1" w:firstColumn="1" w:lastColumn="1" w:noHBand="0" w:noVBand="0"/>
      </w:tblPr>
      <w:tblGrid>
        <w:gridCol w:w="2684"/>
        <w:gridCol w:w="6846"/>
        <w:gridCol w:w="6326"/>
      </w:tblGrid>
      <w:tr w:rsidRPr="00A705E6" w:rsidR="00A705E6" w:rsidTr="009C65DC">
        <w:tc>
          <w:tcPr>
            <w:tcW w:w="9039" w:type="dxa"/>
            <w:gridSpan w:val="2"/>
            <w:shd w:val="clear" w:color="auto" w:fill="auto"/>
          </w:tcPr>
          <w:p w:rsidRPr="00A705E6" w:rsidR="00A705E6" w:rsidP="00A705E6" w:rsidRDefault="00A705E6">
            <w:pPr>
              <w:numPr>
                <w:ilvl w:val="0"/>
                <w:numId w:val="1"/>
              </w:numPr>
              <w:rPr>
                <w:b/>
                <w:iCs/>
              </w:rPr>
            </w:pPr>
            <w:r w:rsidRPr="00A705E6">
              <w:rPr>
                <w:b/>
                <w:iCs/>
              </w:rPr>
              <w:t xml:space="preserve">Initiatiefnemer: </w:t>
            </w:r>
            <w:r w:rsidRPr="00A705E6">
              <w:rPr>
                <w:iCs/>
              </w:rPr>
              <w:t>Jacobi (PvdA), Betty de Boer (VVD) en Aukje de Vries (VVD)</w:t>
            </w: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b/>
                <w:iCs/>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numPr>
                <w:ilvl w:val="0"/>
                <w:numId w:val="1"/>
              </w:numPr>
              <w:rPr>
                <w:b/>
                <w:iCs/>
              </w:rPr>
            </w:pPr>
            <w:r w:rsidRPr="00A705E6">
              <w:rPr>
                <w:b/>
                <w:iCs/>
              </w:rPr>
              <w:t xml:space="preserve">Rondetafelgesprek of hoorzitting? </w:t>
            </w:r>
            <w:r w:rsidRPr="00A705E6">
              <w:rPr>
                <w:iCs/>
              </w:rPr>
              <w:t>Rondetafelgesprek</w:t>
            </w: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b/>
                <w:iCs/>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numPr>
                <w:ilvl w:val="0"/>
                <w:numId w:val="1"/>
              </w:numPr>
              <w:rPr>
                <w:b/>
                <w:iCs/>
              </w:rPr>
            </w:pPr>
            <w:r w:rsidRPr="00A705E6">
              <w:rPr>
                <w:b/>
                <w:iCs/>
              </w:rPr>
              <w:t xml:space="preserve">Openbaar of besloten? </w:t>
            </w:r>
            <w:r w:rsidRPr="00A705E6">
              <w:rPr>
                <w:iCs/>
              </w:rPr>
              <w:t>Openbaar</w:t>
            </w: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b/>
                <w:iCs/>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numPr>
                <w:ilvl w:val="0"/>
                <w:numId w:val="1"/>
              </w:numPr>
              <w:rPr>
                <w:b/>
                <w:iCs/>
              </w:rPr>
            </w:pPr>
            <w:r w:rsidRPr="00A705E6">
              <w:rPr>
                <w:b/>
                <w:iCs/>
              </w:rPr>
              <w:t xml:space="preserve">Onderwerp: </w:t>
            </w:r>
            <w:r w:rsidRPr="00A705E6">
              <w:rPr>
                <w:iCs/>
              </w:rPr>
              <w:t>Vaargeul Ameland (</w:t>
            </w:r>
            <w:proofErr w:type="spellStart"/>
            <w:r w:rsidRPr="00A705E6">
              <w:rPr>
                <w:iCs/>
              </w:rPr>
              <w:t>Holwerd</w:t>
            </w:r>
            <w:proofErr w:type="spellEnd"/>
            <w:r w:rsidRPr="00A705E6">
              <w:rPr>
                <w:iCs/>
              </w:rPr>
              <w:t>-Nes)</w:t>
            </w: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b/>
                <w:iCs/>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numPr>
                <w:ilvl w:val="0"/>
                <w:numId w:val="1"/>
              </w:numPr>
              <w:rPr>
                <w:b/>
                <w:iCs/>
              </w:rPr>
            </w:pPr>
            <w:r w:rsidRPr="00A705E6">
              <w:rPr>
                <w:b/>
                <w:iCs/>
              </w:rPr>
              <w:t xml:space="preserve">Deelvragen en doel: </w:t>
            </w:r>
          </w:p>
          <w:p w:rsidRPr="00A705E6" w:rsidR="00A705E6" w:rsidP="00A705E6" w:rsidRDefault="00A705E6">
            <w:pPr>
              <w:rPr>
                <w:iCs/>
              </w:rPr>
            </w:pPr>
          </w:p>
          <w:p w:rsidRPr="00A705E6" w:rsidR="00A705E6" w:rsidP="00A705E6" w:rsidRDefault="00A705E6">
            <w:pPr>
              <w:rPr>
                <w:iCs/>
              </w:rPr>
            </w:pPr>
            <w:r w:rsidRPr="00A705E6">
              <w:rPr>
                <w:iCs/>
              </w:rPr>
              <w:t xml:space="preserve">Doel is om meer zicht te krijgen op de problemen en oorzaken hiervan met betrekking tot de vaargeul </w:t>
            </w:r>
            <w:proofErr w:type="spellStart"/>
            <w:r w:rsidRPr="00A705E6">
              <w:rPr>
                <w:iCs/>
              </w:rPr>
              <w:t>Holwerd</w:t>
            </w:r>
            <w:proofErr w:type="spellEnd"/>
            <w:r w:rsidRPr="00A705E6">
              <w:rPr>
                <w:iCs/>
              </w:rPr>
              <w:t xml:space="preserve">-Nes en de daardoor optredende vertragingen van de veerverbinding naar Ameland en om een antwoord te vinden op de vraag welke realistische oplossingen (korte en lange termijn) er mogelijk zijn om structureel minder </w:t>
            </w:r>
            <w:r w:rsidRPr="00A705E6">
              <w:t xml:space="preserve">vertragingen te krijgen op de verbinding tussen Ameland en de vaste wal. </w:t>
            </w:r>
          </w:p>
          <w:p w:rsidRPr="00A705E6" w:rsidR="00A705E6" w:rsidP="00A705E6" w:rsidRDefault="00A705E6">
            <w:pPr>
              <w:rPr>
                <w:b/>
                <w:iCs/>
              </w:rPr>
            </w:pPr>
          </w:p>
          <w:p w:rsidRPr="00A705E6" w:rsidR="00A705E6" w:rsidP="00A705E6" w:rsidRDefault="00A705E6">
            <w:pPr>
              <w:numPr>
                <w:ilvl w:val="0"/>
                <w:numId w:val="1"/>
              </w:numPr>
              <w:rPr>
                <w:b/>
                <w:iCs/>
              </w:rPr>
            </w:pPr>
            <w:r w:rsidRPr="00A705E6">
              <w:rPr>
                <w:b/>
                <w:iCs/>
              </w:rPr>
              <w:t xml:space="preserve">Termijn plaatsvinden: </w:t>
            </w:r>
            <w:r w:rsidRPr="00A705E6">
              <w:rPr>
                <w:iCs/>
              </w:rPr>
              <w:t>uiterlijk juni 2015</w:t>
            </w:r>
          </w:p>
        </w:tc>
        <w:tc>
          <w:tcPr>
            <w:tcW w:w="6817" w:type="dxa"/>
            <w:shd w:val="clear" w:color="auto" w:fill="auto"/>
          </w:tcPr>
          <w:p w:rsidRPr="00A705E6" w:rsidR="00A705E6" w:rsidP="00A705E6" w:rsidRDefault="00A705E6">
            <w:pPr>
              <w:rPr>
                <w:iCs/>
              </w:rPr>
            </w:pPr>
          </w:p>
          <w:p w:rsidRPr="00A705E6" w:rsidR="00A705E6" w:rsidP="00A705E6" w:rsidRDefault="00A705E6">
            <w:pPr>
              <w:rPr>
                <w:iCs/>
              </w:rPr>
            </w:pPr>
          </w:p>
          <w:p w:rsidRPr="00A705E6" w:rsidR="00A705E6" w:rsidP="00A705E6" w:rsidRDefault="00A705E6">
            <w:pPr>
              <w:rPr>
                <w:iCs/>
              </w:rPr>
            </w:pPr>
          </w:p>
          <w:p w:rsidRPr="00A705E6" w:rsidR="00A705E6" w:rsidP="00A705E6" w:rsidRDefault="00A705E6">
            <w:pPr>
              <w:rPr>
                <w:iCs/>
              </w:rPr>
            </w:pPr>
          </w:p>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b/>
              </w:rPr>
            </w:pPr>
          </w:p>
        </w:tc>
        <w:tc>
          <w:tcPr>
            <w:tcW w:w="6817" w:type="dxa"/>
            <w:shd w:val="clear" w:color="auto" w:fill="auto"/>
          </w:tcPr>
          <w:p w:rsidRPr="00A705E6" w:rsidR="00A705E6" w:rsidP="00A705E6" w:rsidRDefault="00A705E6">
            <w:pPr>
              <w:rPr>
                <w:iCs/>
              </w:rPr>
            </w:pPr>
          </w:p>
        </w:tc>
      </w:tr>
      <w:tr w:rsidRPr="00A705E6" w:rsidR="00A705E6" w:rsidTr="009C65DC">
        <w:trPr>
          <w:gridAfter w:val="1"/>
          <w:wAfter w:w="6817" w:type="dxa"/>
        </w:trPr>
        <w:tc>
          <w:tcPr>
            <w:tcW w:w="1809" w:type="dxa"/>
            <w:shd w:val="clear" w:color="auto" w:fill="auto"/>
          </w:tcPr>
          <w:p w:rsidRPr="00A705E6" w:rsidR="00A705E6" w:rsidP="00A705E6" w:rsidRDefault="00A705E6">
            <w:pPr>
              <w:numPr>
                <w:ilvl w:val="0"/>
                <w:numId w:val="1"/>
              </w:numPr>
              <w:rPr>
                <w:b/>
                <w:iCs/>
              </w:rPr>
            </w:pPr>
            <w:r w:rsidRPr="00A705E6">
              <w:rPr>
                <w:b/>
              </w:rPr>
              <w:t>Blokindeling:</w:t>
            </w:r>
          </w:p>
        </w:tc>
        <w:tc>
          <w:tcPr>
            <w:tcW w:w="7230" w:type="dxa"/>
            <w:shd w:val="clear" w:color="auto" w:fill="auto"/>
          </w:tcPr>
          <w:p w:rsidRPr="00A705E6" w:rsidR="00A705E6" w:rsidP="00A705E6" w:rsidRDefault="00A705E6">
            <w:pPr>
              <w:rPr>
                <w:iCs/>
              </w:rPr>
            </w:pPr>
            <w:r w:rsidRPr="00A705E6">
              <w:rPr>
                <w:iCs/>
              </w:rPr>
              <w:t>1. Betrokken partijen, zoals college van B&amp;W Ameland, Wagenborg Passagiersdiensten, Hoofd RWS Wadden.</w:t>
            </w:r>
          </w:p>
          <w:p w:rsidRPr="00A705E6" w:rsidR="00A705E6" w:rsidP="00A705E6" w:rsidRDefault="00A705E6">
            <w:pPr>
              <w:rPr>
                <w:iCs/>
              </w:rPr>
            </w:pPr>
            <w:r w:rsidRPr="00A705E6">
              <w:rPr>
                <w:iCs/>
              </w:rPr>
              <w:t>2. Experts, zoals een baggerdeskundige.</w:t>
            </w:r>
          </w:p>
        </w:tc>
      </w:tr>
      <w:tr w:rsidRPr="00A705E6" w:rsidR="00A705E6" w:rsidTr="009C65DC">
        <w:tc>
          <w:tcPr>
            <w:tcW w:w="9039" w:type="dxa"/>
            <w:gridSpan w:val="2"/>
            <w:shd w:val="clear" w:color="auto" w:fill="auto"/>
          </w:tcPr>
          <w:p w:rsidRPr="00A705E6" w:rsidR="00A705E6" w:rsidP="00A705E6" w:rsidRDefault="00A705E6">
            <w:pPr>
              <w:rPr>
                <w:b/>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b/>
              </w:rPr>
            </w:pPr>
            <w:r w:rsidRPr="00A705E6">
              <w:rPr>
                <w:b/>
              </w:rPr>
              <w:t>(Het aangegeven van de eventuele blokken is voldoende. Het is niet nodig om suggesties voor namen van genodigden hier al in te invullen. Nadat de commissie heeft ingestemd met het voorstel tot het houden van een rondetafelgesprek/hoorzitting, zal via een separate emailprocedure de fracties worden verzocht om suggesties voor genodigden aan te leveren)</w:t>
            </w:r>
          </w:p>
          <w:p w:rsidRPr="00A705E6" w:rsidR="00A705E6" w:rsidP="00A705E6" w:rsidRDefault="00A705E6">
            <w:pPr>
              <w:rPr>
                <w:b/>
              </w:rPr>
            </w:pPr>
          </w:p>
          <w:p w:rsidRPr="00A705E6" w:rsidR="00A705E6" w:rsidP="00A705E6" w:rsidRDefault="00A705E6">
            <w:pPr>
              <w:rPr>
                <w:b/>
              </w:rPr>
            </w:pPr>
          </w:p>
          <w:p w:rsidRPr="00A705E6" w:rsidR="00A705E6" w:rsidP="00A705E6" w:rsidRDefault="00A705E6">
            <w:pPr>
              <w:numPr>
                <w:ilvl w:val="0"/>
                <w:numId w:val="1"/>
              </w:numPr>
              <w:rPr>
                <w:b/>
                <w:iCs/>
              </w:rPr>
            </w:pPr>
            <w:r w:rsidRPr="00A705E6">
              <w:rPr>
                <w:b/>
              </w:rPr>
              <w:t xml:space="preserve">Maximaal aantal genodigden (per blok): </w:t>
            </w:r>
            <w:r w:rsidRPr="00A705E6">
              <w:t>3</w:t>
            </w:r>
          </w:p>
        </w:tc>
        <w:tc>
          <w:tcPr>
            <w:tcW w:w="6817" w:type="dxa"/>
            <w:shd w:val="clear" w:color="auto" w:fill="auto"/>
          </w:tcPr>
          <w:p w:rsidRPr="00A705E6" w:rsidR="00A705E6" w:rsidP="00A705E6" w:rsidRDefault="00A705E6">
            <w:pPr>
              <w:rPr>
                <w:i/>
                <w:iCs/>
              </w:rPr>
            </w:pPr>
          </w:p>
        </w:tc>
      </w:tr>
      <w:tr w:rsidRPr="00A705E6" w:rsidR="00A705E6" w:rsidTr="009C65DC">
        <w:tc>
          <w:tcPr>
            <w:tcW w:w="9039" w:type="dxa"/>
            <w:gridSpan w:val="2"/>
            <w:shd w:val="clear" w:color="auto" w:fill="auto"/>
          </w:tcPr>
          <w:p w:rsidRPr="00A705E6" w:rsidR="00A705E6" w:rsidP="00A705E6" w:rsidRDefault="00A705E6">
            <w:pPr>
              <w:rPr>
                <w:b/>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numPr>
                <w:ilvl w:val="0"/>
                <w:numId w:val="1"/>
              </w:numPr>
              <w:rPr>
                <w:b/>
                <w:iCs/>
              </w:rPr>
            </w:pPr>
            <w:r w:rsidRPr="00A705E6">
              <w:rPr>
                <w:b/>
              </w:rPr>
              <w:t xml:space="preserve">Tijdsduur per blok: </w:t>
            </w:r>
            <w:r w:rsidRPr="00A705E6">
              <w:t>45 minuten</w:t>
            </w:r>
          </w:p>
          <w:p w:rsidRPr="00A705E6" w:rsidR="00A705E6" w:rsidP="00A705E6" w:rsidRDefault="00A705E6">
            <w:pPr>
              <w:rPr>
                <w:b/>
              </w:rPr>
            </w:pPr>
          </w:p>
          <w:p w:rsidRPr="00A705E6" w:rsidR="00A705E6" w:rsidP="00A705E6" w:rsidRDefault="00A705E6">
            <w:pPr>
              <w:numPr>
                <w:ilvl w:val="0"/>
                <w:numId w:val="1"/>
              </w:numPr>
              <w:rPr>
                <w:b/>
                <w:iCs/>
              </w:rPr>
            </w:pPr>
            <w:r w:rsidRPr="00A705E6">
              <w:rPr>
                <w:b/>
              </w:rPr>
              <w:t xml:space="preserve"> Gebruik van een wetenschappelijke netwerkverkenning? (duurt in de regel 1 à 2 weken)? </w:t>
            </w:r>
            <w:r w:rsidRPr="00A705E6">
              <w:t>Nee</w:t>
            </w:r>
          </w:p>
        </w:tc>
        <w:tc>
          <w:tcPr>
            <w:tcW w:w="6817" w:type="dxa"/>
            <w:shd w:val="clear" w:color="auto" w:fill="auto"/>
          </w:tcPr>
          <w:p w:rsidRPr="00A705E6" w:rsidR="00A705E6" w:rsidP="00A705E6" w:rsidRDefault="00A705E6">
            <w:pPr>
              <w:rPr>
                <w:i/>
                <w:iCs/>
              </w:rPr>
            </w:pPr>
          </w:p>
        </w:tc>
      </w:tr>
      <w:tr w:rsidRPr="00A705E6" w:rsidR="00A705E6" w:rsidTr="009C65DC">
        <w:tc>
          <w:tcPr>
            <w:tcW w:w="9039" w:type="dxa"/>
            <w:gridSpan w:val="2"/>
            <w:shd w:val="clear" w:color="auto" w:fill="auto"/>
          </w:tcPr>
          <w:p w:rsidRPr="00A705E6" w:rsidR="00A705E6" w:rsidP="00A705E6" w:rsidRDefault="00A705E6">
            <w:pPr>
              <w:rPr>
                <w:b/>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iCs/>
              </w:rPr>
            </w:pPr>
          </w:p>
        </w:tc>
        <w:tc>
          <w:tcPr>
            <w:tcW w:w="6817" w:type="dxa"/>
            <w:shd w:val="clear" w:color="auto" w:fill="auto"/>
          </w:tcPr>
          <w:p w:rsidRPr="00A705E6" w:rsidR="00A705E6" w:rsidP="00A705E6" w:rsidRDefault="00A705E6">
            <w:pPr>
              <w:rPr>
                <w:iCs/>
              </w:rPr>
            </w:pPr>
          </w:p>
        </w:tc>
      </w:tr>
      <w:tr w:rsidRPr="00A705E6" w:rsidR="00A705E6" w:rsidTr="009C65DC">
        <w:tc>
          <w:tcPr>
            <w:tcW w:w="9039" w:type="dxa"/>
            <w:gridSpan w:val="2"/>
            <w:shd w:val="clear" w:color="auto" w:fill="auto"/>
          </w:tcPr>
          <w:p w:rsidRPr="00A705E6" w:rsidR="00A705E6" w:rsidP="00A705E6" w:rsidRDefault="00A705E6">
            <w:pPr>
              <w:rPr>
                <w:b/>
                <w:iCs/>
              </w:rPr>
            </w:pPr>
          </w:p>
        </w:tc>
        <w:tc>
          <w:tcPr>
            <w:tcW w:w="6817" w:type="dxa"/>
            <w:shd w:val="clear" w:color="auto" w:fill="auto"/>
          </w:tcPr>
          <w:p w:rsidRPr="00A705E6" w:rsidR="00A705E6" w:rsidP="00A705E6" w:rsidRDefault="00A705E6">
            <w:pPr>
              <w:rPr>
                <w:iCs/>
              </w:rPr>
            </w:pPr>
          </w:p>
        </w:tc>
      </w:tr>
    </w:tbl>
    <w:p w:rsidRPr="00A705E6" w:rsidR="00A705E6" w:rsidP="00A705E6" w:rsidRDefault="00A705E6">
      <w:pPr>
        <w:rPr>
          <w:b/>
          <w:iCs/>
        </w:rPr>
      </w:pPr>
    </w:p>
    <w:p w:rsidRPr="00A705E6" w:rsidR="00A705E6" w:rsidP="00A705E6" w:rsidRDefault="00A705E6"/>
    <w:sectPr w:rsidRPr="00A705E6" w:rsidR="00A705E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E6"/>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705E6"/>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60175">
      <w:bodyDiv w:val="1"/>
      <w:marLeft w:val="0"/>
      <w:marRight w:val="0"/>
      <w:marTop w:val="0"/>
      <w:marBottom w:val="0"/>
      <w:divBdr>
        <w:top w:val="none" w:sz="0" w:space="0" w:color="auto"/>
        <w:left w:val="none" w:sz="0" w:space="0" w:color="auto"/>
        <w:bottom w:val="none" w:sz="0" w:space="0" w:color="auto"/>
        <w:right w:val="none" w:sz="0" w:space="0" w:color="auto"/>
      </w:divBdr>
    </w:div>
    <w:div w:id="177177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329</ap:Words>
  <ap:Characters>1932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2015-05-18T14:14:00.0000000Z</dcterms:created>
  <dcterms:modified xsi:type="dcterms:W3CDTF">2015-05-18T14:16:00.0000000Z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0x01010097686E84B08A254A86357C99A4475D59</vt:lpwstr>
  </property>
</Properties>
</file>