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F4AEB" w:rsidR="0090088E" w:rsidP="0090088E" w:rsidRDefault="001F4AEB">
      <w:pPr>
        <w:rPr>
          <w:b/>
          <w:sz w:val="24"/>
          <w:szCs w:val="24"/>
          <w:lang w:val="nl-NL"/>
        </w:rPr>
      </w:pPr>
      <w:bookmarkStart w:name="_GoBack" w:id="0"/>
      <w:bookmarkEnd w:id="0"/>
      <w:r>
        <w:rPr>
          <w:b/>
          <w:sz w:val="24"/>
          <w:szCs w:val="24"/>
          <w:lang w:val="nl-NL"/>
        </w:rPr>
        <w:t xml:space="preserve">Annex A. </w:t>
      </w:r>
      <w:r w:rsidRPr="001F4AEB" w:rsidR="00DE5486">
        <w:rPr>
          <w:b/>
          <w:sz w:val="24"/>
          <w:szCs w:val="24"/>
          <w:lang w:val="nl-NL"/>
        </w:rPr>
        <w:t xml:space="preserve">Beleidsdoorlichting van het OS-beleid voor energie en ontwikkelingssamenwerking </w:t>
      </w:r>
    </w:p>
    <w:p w:rsidRPr="00BD3C1E" w:rsidR="00BD3C1E" w:rsidP="00BD3C1E" w:rsidRDefault="001F4AEB">
      <w:pPr>
        <w:rPr>
          <w:bCs/>
          <w:lang w:val="nl-NL"/>
        </w:rPr>
      </w:pPr>
      <w:r>
        <w:rPr>
          <w:i/>
          <w:szCs w:val="18"/>
          <w:lang w:val="nl-NL"/>
        </w:rPr>
        <w:t>Achtergrond en afbakening</w:t>
      </w:r>
      <w:r w:rsidRPr="00F00C6A">
        <w:rPr>
          <w:szCs w:val="18"/>
          <w:lang w:val="nl-NL"/>
        </w:rPr>
        <w:t xml:space="preserve"> </w:t>
      </w:r>
      <w:r>
        <w:rPr>
          <w:szCs w:val="18"/>
          <w:lang w:val="nl-NL"/>
        </w:rPr>
        <w:br/>
      </w:r>
      <w:r w:rsidR="00E96C4B">
        <w:rPr>
          <w:lang w:val="nl-NL"/>
        </w:rPr>
        <w:t>Deze beleidsdoorlichting b</w:t>
      </w:r>
      <w:r w:rsidRPr="00DE5486" w:rsidR="00DE5486">
        <w:rPr>
          <w:lang w:val="nl-NL"/>
        </w:rPr>
        <w:t xml:space="preserve">etreft </w:t>
      </w:r>
      <w:r w:rsidR="001B4E74">
        <w:rPr>
          <w:lang w:val="nl-NL"/>
        </w:rPr>
        <w:t xml:space="preserve">tot aan </w:t>
      </w:r>
      <w:r w:rsidR="00DE5486">
        <w:rPr>
          <w:lang w:val="nl-NL"/>
        </w:rPr>
        <w:t xml:space="preserve">2011 </w:t>
      </w:r>
      <w:r w:rsidRPr="00DE5486" w:rsidR="00DE5486">
        <w:rPr>
          <w:lang w:val="nl-NL"/>
        </w:rPr>
        <w:t xml:space="preserve">begrotingsartikel 6 </w:t>
      </w:r>
      <w:r w:rsidR="00E96C4B">
        <w:rPr>
          <w:lang w:val="nl-NL"/>
        </w:rPr>
        <w:t xml:space="preserve">van </w:t>
      </w:r>
      <w:r w:rsidRPr="00DE5486" w:rsidR="00DE5486">
        <w:rPr>
          <w:lang w:val="nl-NL"/>
        </w:rPr>
        <w:t xml:space="preserve">hoofdstuk V </w:t>
      </w:r>
      <w:r w:rsidRPr="00DE5486" w:rsidR="00E96C4B">
        <w:rPr>
          <w:lang w:val="nl-NL"/>
        </w:rPr>
        <w:t xml:space="preserve">van de Rijksbegroting </w:t>
      </w:r>
      <w:r w:rsidRPr="00DE5486" w:rsidR="00DE5486">
        <w:rPr>
          <w:lang w:val="nl-NL"/>
        </w:rPr>
        <w:t>(Ministerie van Buitenlandse Zaken)</w:t>
      </w:r>
      <w:r w:rsidR="00DE5486">
        <w:rPr>
          <w:lang w:val="nl-NL"/>
        </w:rPr>
        <w:t>,</w:t>
      </w:r>
      <w:r w:rsidRPr="00DE5486" w:rsidR="00DE5486">
        <w:rPr>
          <w:lang w:val="nl-NL"/>
        </w:rPr>
        <w:t xml:space="preserve"> operationele doelstelling 6.1: </w:t>
      </w:r>
      <w:r w:rsidRPr="00DE5486" w:rsidR="00DE5486">
        <w:rPr>
          <w:i/>
          <w:lang w:val="nl-NL"/>
        </w:rPr>
        <w:t>Bescherming en duurzaam gebruik van milieu in de mondiale context en de nationale context in ontwikkelingslanden</w:t>
      </w:r>
      <w:r w:rsidRPr="00DE5486" w:rsidR="00DE5486">
        <w:rPr>
          <w:i/>
          <w:vertAlign w:val="superscript"/>
          <w:lang w:val="nl-NL"/>
        </w:rPr>
        <w:footnoteReference w:id="1"/>
      </w:r>
      <w:r w:rsidR="00B22E72">
        <w:rPr>
          <w:i/>
          <w:lang w:val="nl-NL"/>
        </w:rPr>
        <w:t>.</w:t>
      </w:r>
      <w:r w:rsidR="001B4E74">
        <w:rPr>
          <w:i/>
          <w:lang w:val="nl-NL"/>
        </w:rPr>
        <w:t xml:space="preserve"> </w:t>
      </w:r>
      <w:r w:rsidRPr="001B4E74" w:rsidR="000959DD">
        <w:rPr>
          <w:bCs/>
          <w:lang w:val="nl-NL"/>
        </w:rPr>
        <w:t>Vanaf 2012 is de duiding van beleidsartikel 6 aangepast naar</w:t>
      </w:r>
      <w:r w:rsidRPr="000959DD" w:rsidR="000959DD">
        <w:rPr>
          <w:bCs/>
          <w:i/>
          <w:lang w:val="nl-NL"/>
        </w:rPr>
        <w:t xml:space="preserve"> ‘duurzaam water- en milieubeheer’</w:t>
      </w:r>
      <w:r w:rsidR="000959DD">
        <w:rPr>
          <w:bCs/>
          <w:i/>
          <w:lang w:val="nl-NL"/>
        </w:rPr>
        <w:t xml:space="preserve"> </w:t>
      </w:r>
      <w:r w:rsidRPr="001B4E74" w:rsidR="000959DD">
        <w:rPr>
          <w:bCs/>
          <w:lang w:val="nl-NL"/>
        </w:rPr>
        <w:t xml:space="preserve">en de </w:t>
      </w:r>
      <w:r w:rsidR="00E96C4B">
        <w:rPr>
          <w:bCs/>
          <w:lang w:val="nl-NL"/>
        </w:rPr>
        <w:t>beleids</w:t>
      </w:r>
      <w:r w:rsidRPr="001B4E74" w:rsidR="000959DD">
        <w:rPr>
          <w:bCs/>
          <w:lang w:val="nl-NL"/>
        </w:rPr>
        <w:t xml:space="preserve">doelstelling </w:t>
      </w:r>
      <w:r w:rsidRPr="001B4E74" w:rsidR="001B4E74">
        <w:rPr>
          <w:bCs/>
          <w:lang w:val="nl-NL"/>
        </w:rPr>
        <w:t xml:space="preserve">6.1 </w:t>
      </w:r>
      <w:proofErr w:type="gramStart"/>
      <w:r w:rsidRPr="001B4E74" w:rsidR="000959DD">
        <w:rPr>
          <w:bCs/>
          <w:lang w:val="nl-NL"/>
        </w:rPr>
        <w:t>luid</w:t>
      </w:r>
      <w:r w:rsidR="00E96C4B">
        <w:rPr>
          <w:bCs/>
          <w:lang w:val="nl-NL"/>
        </w:rPr>
        <w:t>de</w:t>
      </w:r>
      <w:proofErr w:type="gramEnd"/>
      <w:r w:rsidRPr="000959DD" w:rsidR="000959DD">
        <w:rPr>
          <w:bCs/>
          <w:i/>
          <w:lang w:val="nl-NL"/>
        </w:rPr>
        <w:t xml:space="preserve"> ‘Milieu en water’ (‘Duurzaam milieugebruik wereldwijd’)</w:t>
      </w:r>
      <w:r w:rsidRPr="00DE5486" w:rsidR="00DE5486">
        <w:rPr>
          <w:i/>
          <w:lang w:val="nl-NL"/>
        </w:rPr>
        <w:t>.</w:t>
      </w:r>
      <w:r w:rsidR="000959DD">
        <w:rPr>
          <w:i/>
          <w:lang w:val="nl-NL"/>
        </w:rPr>
        <w:t xml:space="preserve"> </w:t>
      </w:r>
      <w:r w:rsidRPr="00E96C4B" w:rsidR="00E96C4B">
        <w:rPr>
          <w:lang w:val="nl-NL"/>
        </w:rPr>
        <w:t>Sinds 2014 betreft het beleidsdoelstelling 2.3</w:t>
      </w:r>
      <w:r w:rsidR="00E96C4B">
        <w:rPr>
          <w:i/>
          <w:lang w:val="nl-NL"/>
        </w:rPr>
        <w:t xml:space="preserve"> ‘</w:t>
      </w:r>
      <w:r w:rsidRPr="00E96C4B" w:rsidR="00E96C4B">
        <w:rPr>
          <w:i/>
          <w:lang w:val="nl-NL"/>
        </w:rPr>
        <w:t>Duurzaam gebruik natuurlijke hulpbronnen, tegengaan van klimaatverandering en vergrote weerbaarheid van de bevolking tegen onafwendbare klimaatverandering</w:t>
      </w:r>
      <w:r w:rsidR="00E96C4B">
        <w:rPr>
          <w:i/>
          <w:lang w:val="nl-NL"/>
        </w:rPr>
        <w:t xml:space="preserve">”. </w:t>
      </w:r>
      <w:r w:rsidRPr="00DE5486" w:rsidR="00DE5486">
        <w:rPr>
          <w:bCs/>
          <w:lang w:val="nl-NL"/>
        </w:rPr>
        <w:t xml:space="preserve">Deze </w:t>
      </w:r>
      <w:r w:rsidR="00E96C4B">
        <w:rPr>
          <w:bCs/>
          <w:lang w:val="nl-NL"/>
        </w:rPr>
        <w:t>beleids</w:t>
      </w:r>
      <w:r w:rsidRPr="00DE5486" w:rsidR="00DE5486">
        <w:rPr>
          <w:bCs/>
          <w:lang w:val="nl-NL"/>
        </w:rPr>
        <w:t>doelstelling</w:t>
      </w:r>
      <w:r w:rsidR="000959DD">
        <w:rPr>
          <w:bCs/>
          <w:lang w:val="nl-NL"/>
        </w:rPr>
        <w:t xml:space="preserve"> is</w:t>
      </w:r>
      <w:r w:rsidRPr="00DE5486" w:rsidR="00DE5486">
        <w:rPr>
          <w:bCs/>
          <w:lang w:val="nl-NL"/>
        </w:rPr>
        <w:t xml:space="preserve"> nog niet eerder aan een b</w:t>
      </w:r>
      <w:r w:rsidR="000959DD">
        <w:rPr>
          <w:bCs/>
          <w:lang w:val="nl-NL"/>
        </w:rPr>
        <w:t xml:space="preserve">eleidsdoorlichting onderworpen. </w:t>
      </w:r>
      <w:r w:rsidR="00E96C4B">
        <w:rPr>
          <w:bCs/>
          <w:lang w:val="nl-NL"/>
        </w:rPr>
        <w:br/>
      </w:r>
      <w:r w:rsidR="000959DD">
        <w:rPr>
          <w:bCs/>
          <w:lang w:val="nl-NL"/>
        </w:rPr>
        <w:t xml:space="preserve">De beleidsdoorlichting </w:t>
      </w:r>
      <w:r w:rsidR="006823BE">
        <w:rPr>
          <w:bCs/>
          <w:lang w:val="nl-NL"/>
        </w:rPr>
        <w:t>omvat de periode 2004-2013</w:t>
      </w:r>
      <w:r w:rsidR="00E21C57">
        <w:rPr>
          <w:rStyle w:val="FootnoteReference"/>
          <w:bCs/>
          <w:lang w:val="nl-NL"/>
        </w:rPr>
        <w:footnoteReference w:id="2"/>
      </w:r>
      <w:r w:rsidR="00920DEE">
        <w:rPr>
          <w:bCs/>
          <w:lang w:val="nl-NL"/>
        </w:rPr>
        <w:t xml:space="preserve"> en is de eerste over dit onderwerp.</w:t>
      </w:r>
      <w:r w:rsidR="00E21C57">
        <w:rPr>
          <w:bCs/>
          <w:lang w:val="nl-NL"/>
        </w:rPr>
        <w:t xml:space="preserve"> </w:t>
      </w:r>
      <w:r w:rsidR="00E829E0">
        <w:rPr>
          <w:bCs/>
          <w:lang w:val="nl-NL"/>
        </w:rPr>
        <w:t>De periode lijkt lang</w:t>
      </w:r>
      <w:r w:rsidR="0091085F">
        <w:rPr>
          <w:bCs/>
          <w:lang w:val="nl-NL"/>
        </w:rPr>
        <w:t xml:space="preserve">, maar de </w:t>
      </w:r>
      <w:r w:rsidRPr="006B1345" w:rsidR="006B1345">
        <w:rPr>
          <w:lang w:val="nl-NL"/>
        </w:rPr>
        <w:t>Regeling Periodiek Evaluatieonderzoek</w:t>
      </w:r>
      <w:r w:rsidR="0091085F">
        <w:rPr>
          <w:bCs/>
          <w:lang w:val="nl-NL"/>
        </w:rPr>
        <w:t xml:space="preserve"> is pas in 2006</w:t>
      </w:r>
      <w:r w:rsidR="00E829E0">
        <w:rPr>
          <w:bCs/>
          <w:lang w:val="nl-NL"/>
        </w:rPr>
        <w:t xml:space="preserve"> ingesteld. Om pas vanaf d</w:t>
      </w:r>
      <w:r w:rsidR="0091085F">
        <w:rPr>
          <w:bCs/>
          <w:lang w:val="nl-NL"/>
        </w:rPr>
        <w:t>a</w:t>
      </w:r>
      <w:r w:rsidR="00E829E0">
        <w:rPr>
          <w:bCs/>
          <w:lang w:val="nl-NL"/>
        </w:rPr>
        <w:t xml:space="preserve">t jaar de doorlichting te starten was onlogisch. Overigens is de oplevering vertraagd omdat deelonderzoek over moest vanwege de kwaliteit. </w:t>
      </w:r>
      <w:r w:rsidRPr="001B4E74" w:rsidR="001B4E74">
        <w:rPr>
          <w:bCs/>
          <w:lang w:val="nl-NL"/>
        </w:rPr>
        <w:t xml:space="preserve">Aan de uitvoering van het beleidsartikel is in 2008 een extra impuls gegeven door het Promoting </w:t>
      </w:r>
      <w:proofErr w:type="spellStart"/>
      <w:r w:rsidRPr="001B4E74" w:rsidR="001B4E74">
        <w:rPr>
          <w:bCs/>
          <w:lang w:val="nl-NL"/>
        </w:rPr>
        <w:t>Renewable</w:t>
      </w:r>
      <w:proofErr w:type="spellEnd"/>
      <w:r w:rsidRPr="001B4E74" w:rsidR="001B4E74">
        <w:rPr>
          <w:bCs/>
          <w:lang w:val="nl-NL"/>
        </w:rPr>
        <w:t xml:space="preserve"> Energy </w:t>
      </w:r>
      <w:proofErr w:type="spellStart"/>
      <w:r w:rsidRPr="001B4E74" w:rsidR="001B4E74">
        <w:rPr>
          <w:bCs/>
          <w:lang w:val="nl-NL"/>
        </w:rPr>
        <w:t>Programme</w:t>
      </w:r>
      <w:proofErr w:type="spellEnd"/>
      <w:r w:rsidRPr="001B4E74" w:rsidR="001B4E74">
        <w:rPr>
          <w:bCs/>
          <w:lang w:val="nl-NL"/>
        </w:rPr>
        <w:t xml:space="preserve"> waarvoor € 500 miljoen werd gereserveerd</w:t>
      </w:r>
      <w:r w:rsidR="001B4E74">
        <w:rPr>
          <w:bCs/>
          <w:lang w:val="nl-NL"/>
        </w:rPr>
        <w:t xml:space="preserve">. </w:t>
      </w:r>
      <w:r w:rsidR="006823BE">
        <w:rPr>
          <w:bCs/>
          <w:lang w:val="nl-NL"/>
        </w:rPr>
        <w:t xml:space="preserve">De beleidsdoorlichting </w:t>
      </w:r>
      <w:r w:rsidR="001B4E74">
        <w:rPr>
          <w:bCs/>
          <w:lang w:val="nl-NL"/>
        </w:rPr>
        <w:t>spitst zich toe</w:t>
      </w:r>
      <w:r w:rsidR="000959DD">
        <w:rPr>
          <w:bCs/>
          <w:lang w:val="nl-NL"/>
        </w:rPr>
        <w:t xml:space="preserve"> op het </w:t>
      </w:r>
      <w:r w:rsidRPr="001B4E74" w:rsidR="006B1345">
        <w:rPr>
          <w:bCs/>
          <w:lang w:val="nl-NL"/>
        </w:rPr>
        <w:t xml:space="preserve">Promoting </w:t>
      </w:r>
      <w:proofErr w:type="spellStart"/>
      <w:r w:rsidRPr="001B4E74" w:rsidR="006B1345">
        <w:rPr>
          <w:bCs/>
          <w:lang w:val="nl-NL"/>
        </w:rPr>
        <w:t>Renewable</w:t>
      </w:r>
      <w:proofErr w:type="spellEnd"/>
      <w:r w:rsidRPr="001B4E74" w:rsidR="006B1345">
        <w:rPr>
          <w:bCs/>
          <w:lang w:val="nl-NL"/>
        </w:rPr>
        <w:t xml:space="preserve"> Energy </w:t>
      </w:r>
      <w:proofErr w:type="spellStart"/>
      <w:r w:rsidRPr="001B4E74" w:rsidR="006B1345">
        <w:rPr>
          <w:bCs/>
          <w:lang w:val="nl-NL"/>
        </w:rPr>
        <w:t>Programme</w:t>
      </w:r>
      <w:proofErr w:type="spellEnd"/>
      <w:r w:rsidR="001B4E74">
        <w:rPr>
          <w:bCs/>
          <w:lang w:val="nl-NL"/>
        </w:rPr>
        <w:t>.</w:t>
      </w:r>
      <w:r w:rsidR="00BD3C1E">
        <w:rPr>
          <w:bCs/>
          <w:lang w:val="nl-NL"/>
        </w:rPr>
        <w:t xml:space="preserve"> </w:t>
      </w:r>
    </w:p>
    <w:p w:rsidRPr="00720235" w:rsidR="00BD3C1E" w:rsidP="00BD3C1E" w:rsidRDefault="0090088E">
      <w:pPr>
        <w:rPr>
          <w:szCs w:val="18"/>
          <w:lang w:val="nl-NL"/>
        </w:rPr>
      </w:pPr>
      <w:r w:rsidRPr="0090088E">
        <w:rPr>
          <w:i/>
          <w:iCs/>
          <w:lang w:val="nl-NL"/>
        </w:rPr>
        <w:t>Onderzoeksvragen</w:t>
      </w:r>
      <w:r w:rsidR="001F4AEB">
        <w:rPr>
          <w:i/>
          <w:iCs/>
          <w:lang w:val="nl-NL"/>
        </w:rPr>
        <w:br/>
      </w:r>
      <w:r w:rsidRPr="006D2455" w:rsidR="00BD3C1E">
        <w:rPr>
          <w:lang w:val="nl-NL"/>
        </w:rPr>
        <w:t xml:space="preserve">Op basis van de Regeling Periodiek Evaluatieonderzoek </w:t>
      </w:r>
      <w:r w:rsidRPr="006D2455" w:rsidR="00610139">
        <w:rPr>
          <w:lang w:val="nl-NL"/>
        </w:rPr>
        <w:t>zijn de volgende onderzoeksvragen gesteld:</w:t>
      </w:r>
      <w:r w:rsidR="001F4AEB">
        <w:rPr>
          <w:lang w:val="nl-NL"/>
        </w:rPr>
        <w:br/>
      </w:r>
      <w:r w:rsidRPr="0091085F" w:rsidR="00610139">
        <w:rPr>
          <w:szCs w:val="18"/>
          <w:lang w:val="nl-NL"/>
        </w:rPr>
        <w:t>A</w:t>
      </w:r>
      <w:r w:rsidRPr="0091085F" w:rsidR="00BD3C1E">
        <w:rPr>
          <w:szCs w:val="18"/>
          <w:lang w:val="nl-NL"/>
        </w:rPr>
        <w:t xml:space="preserve">nalyse van het probleem dat </w:t>
      </w:r>
      <w:r w:rsidRPr="0091085F" w:rsidR="00BD3C1E">
        <w:rPr>
          <w:i/>
          <w:szCs w:val="18"/>
          <w:lang w:val="nl-NL"/>
        </w:rPr>
        <w:t>aanleiding</w:t>
      </w:r>
      <w:r w:rsidRPr="0091085F" w:rsidR="00BD3C1E">
        <w:rPr>
          <w:szCs w:val="18"/>
          <w:lang w:val="nl-NL"/>
        </w:rPr>
        <w:t xml:space="preserve"> was voor het beleid, en de motivering van de rol van de overheid</w:t>
      </w:r>
      <w:r w:rsidRPr="00720235" w:rsidR="006D2455">
        <w:rPr>
          <w:szCs w:val="18"/>
          <w:lang w:val="nl-NL"/>
        </w:rPr>
        <w:t xml:space="preserve">, </w:t>
      </w:r>
      <w:proofErr w:type="gramStart"/>
      <w:r w:rsidRPr="00720235" w:rsidR="006D2455">
        <w:rPr>
          <w:szCs w:val="18"/>
          <w:lang w:val="nl-NL"/>
        </w:rPr>
        <w:t>alsmede</w:t>
      </w:r>
      <w:proofErr w:type="gramEnd"/>
      <w:r w:rsidRPr="00720235" w:rsidR="00610139">
        <w:rPr>
          <w:szCs w:val="18"/>
          <w:lang w:val="nl-NL"/>
        </w:rPr>
        <w:t xml:space="preserve"> de aanleiding tot afbouw van het beleid.</w:t>
      </w:r>
    </w:p>
    <w:p w:rsidRPr="00720235" w:rsidR="00610139" w:rsidP="001F4AEB" w:rsidRDefault="00610139">
      <w:pPr>
        <w:spacing w:after="0"/>
        <w:rPr>
          <w:szCs w:val="18"/>
          <w:lang w:val="nl-NL"/>
        </w:rPr>
      </w:pPr>
      <w:r w:rsidRPr="00720235">
        <w:rPr>
          <w:szCs w:val="18"/>
          <w:lang w:val="nl-NL"/>
        </w:rPr>
        <w:t>De d</w:t>
      </w:r>
      <w:r w:rsidRPr="00720235" w:rsidR="00BD3C1E">
        <w:rPr>
          <w:szCs w:val="18"/>
          <w:lang w:val="nl-NL"/>
        </w:rPr>
        <w:t xml:space="preserve">oeltreffendheid </w:t>
      </w:r>
      <w:r w:rsidRPr="00720235">
        <w:rPr>
          <w:szCs w:val="18"/>
          <w:lang w:val="nl-NL"/>
        </w:rPr>
        <w:t xml:space="preserve">van het gevoerde beleid </w:t>
      </w:r>
      <w:r w:rsidRPr="00720235" w:rsidR="0091085F">
        <w:rPr>
          <w:szCs w:val="18"/>
          <w:lang w:val="nl-NL"/>
        </w:rPr>
        <w:t xml:space="preserve">wordt onderzocht </w:t>
      </w:r>
      <w:r w:rsidRPr="00720235">
        <w:rPr>
          <w:szCs w:val="18"/>
          <w:lang w:val="nl-NL"/>
        </w:rPr>
        <w:t>voor wat betreft</w:t>
      </w:r>
      <w:r w:rsidRPr="00720235" w:rsidR="001F4AEB">
        <w:rPr>
          <w:szCs w:val="18"/>
          <w:lang w:val="nl-NL"/>
        </w:rPr>
        <w:t>:</w:t>
      </w:r>
    </w:p>
    <w:p w:rsidRPr="00720235" w:rsidR="00610139" w:rsidP="00720235" w:rsidRDefault="006D2455">
      <w:pPr>
        <w:pStyle w:val="ListParagraph"/>
        <w:numPr>
          <w:ilvl w:val="0"/>
          <w:numId w:val="6"/>
        </w:numPr>
        <w:rPr>
          <w:rFonts w:ascii="Verdana" w:hAnsi="Verdana"/>
          <w:sz w:val="18"/>
          <w:szCs w:val="18"/>
        </w:rPr>
      </w:pPr>
      <w:r w:rsidRPr="00720235">
        <w:rPr>
          <w:rFonts w:ascii="Verdana" w:hAnsi="Verdana"/>
          <w:sz w:val="18"/>
          <w:szCs w:val="18"/>
        </w:rPr>
        <w:t>D</w:t>
      </w:r>
      <w:r w:rsidRPr="00720235" w:rsidR="00BD3C1E">
        <w:rPr>
          <w:rFonts w:ascii="Verdana" w:hAnsi="Verdana"/>
          <w:sz w:val="18"/>
          <w:szCs w:val="18"/>
        </w:rPr>
        <w:t>e levensomstandigheden van de doelgroepen van de energie</w:t>
      </w:r>
      <w:r w:rsidRPr="00720235" w:rsidR="00204DE4">
        <w:rPr>
          <w:rFonts w:ascii="Verdana" w:hAnsi="Verdana"/>
          <w:sz w:val="18"/>
          <w:szCs w:val="18"/>
        </w:rPr>
        <w:t>-</w:t>
      </w:r>
      <w:r w:rsidRPr="00720235" w:rsidR="00BD3C1E">
        <w:rPr>
          <w:rFonts w:ascii="Verdana" w:hAnsi="Verdana"/>
          <w:sz w:val="18"/>
          <w:szCs w:val="18"/>
        </w:rPr>
        <w:t xml:space="preserve"> en ontwikkelingsprogramma’s en </w:t>
      </w:r>
      <w:r w:rsidRPr="00720235" w:rsidR="00204DE4">
        <w:rPr>
          <w:rFonts w:ascii="Verdana" w:hAnsi="Verdana"/>
          <w:sz w:val="18"/>
          <w:szCs w:val="18"/>
        </w:rPr>
        <w:t>-</w:t>
      </w:r>
      <w:r w:rsidRPr="00720235" w:rsidR="00BD3C1E">
        <w:rPr>
          <w:rFonts w:ascii="Verdana" w:hAnsi="Verdana"/>
          <w:sz w:val="18"/>
          <w:szCs w:val="18"/>
        </w:rPr>
        <w:t>projecten</w:t>
      </w:r>
      <w:r w:rsidRPr="00720235" w:rsidR="00B22E72">
        <w:rPr>
          <w:rFonts w:ascii="Verdana" w:hAnsi="Verdana"/>
          <w:sz w:val="18"/>
          <w:szCs w:val="18"/>
        </w:rPr>
        <w:t>.</w:t>
      </w:r>
      <w:r w:rsidRPr="00720235" w:rsidR="00BD3C1E">
        <w:rPr>
          <w:rFonts w:ascii="Verdana" w:hAnsi="Verdana"/>
          <w:sz w:val="18"/>
          <w:szCs w:val="18"/>
        </w:rPr>
        <w:t xml:space="preserve"> </w:t>
      </w:r>
    </w:p>
    <w:p w:rsidR="00610139" w:rsidP="006D2455" w:rsidRDefault="00610139">
      <w:pPr>
        <w:pStyle w:val="ListParagraph"/>
        <w:numPr>
          <w:ilvl w:val="0"/>
          <w:numId w:val="6"/>
        </w:numPr>
        <w:rPr>
          <w:rFonts w:ascii="Verdana" w:hAnsi="Verdana"/>
          <w:sz w:val="18"/>
          <w:szCs w:val="18"/>
        </w:rPr>
      </w:pPr>
      <w:r w:rsidRPr="006D2455">
        <w:rPr>
          <w:rFonts w:ascii="Verdana" w:hAnsi="Verdana"/>
          <w:sz w:val="18"/>
          <w:szCs w:val="18"/>
        </w:rPr>
        <w:t>De invloed van</w:t>
      </w:r>
      <w:r w:rsidRPr="006D2455" w:rsidR="00BD3C1E">
        <w:rPr>
          <w:rFonts w:ascii="Verdana" w:hAnsi="Verdana"/>
          <w:sz w:val="18"/>
          <w:szCs w:val="18"/>
        </w:rPr>
        <w:t xml:space="preserve"> het Nederlandse energiebeleid op hetzij het beleid</w:t>
      </w:r>
      <w:r w:rsidR="00204DE4">
        <w:rPr>
          <w:rFonts w:ascii="Verdana" w:hAnsi="Verdana"/>
          <w:sz w:val="18"/>
          <w:szCs w:val="18"/>
        </w:rPr>
        <w:t>,</w:t>
      </w:r>
      <w:r w:rsidRPr="006D2455" w:rsidR="00BD3C1E">
        <w:rPr>
          <w:rFonts w:ascii="Verdana" w:hAnsi="Verdana"/>
          <w:sz w:val="18"/>
          <w:szCs w:val="18"/>
        </w:rPr>
        <w:t xml:space="preserve"> hetzij de uitvoering van programma’s van internationale organisaties of landen waarmee Nederland op deze onderwerpen samenwerkt (beleidsbeïnvloeding)</w:t>
      </w:r>
      <w:r w:rsidRPr="006D2455">
        <w:rPr>
          <w:rFonts w:ascii="Verdana" w:hAnsi="Verdana"/>
          <w:sz w:val="18"/>
          <w:szCs w:val="18"/>
        </w:rPr>
        <w:t>.</w:t>
      </w:r>
    </w:p>
    <w:p w:rsidRPr="006D2455" w:rsidR="001F4AEB" w:rsidP="001F4AEB" w:rsidRDefault="001F4AEB">
      <w:pPr>
        <w:pStyle w:val="ListParagraph"/>
        <w:ind w:left="360"/>
        <w:rPr>
          <w:rFonts w:ascii="Verdana" w:hAnsi="Verdana"/>
          <w:sz w:val="18"/>
          <w:szCs w:val="18"/>
        </w:rPr>
      </w:pPr>
    </w:p>
    <w:p w:rsidRPr="001F4AEB" w:rsidR="00610139" w:rsidP="001F4AEB" w:rsidRDefault="00610139">
      <w:pPr>
        <w:spacing w:after="0"/>
        <w:rPr>
          <w:lang w:val="nl-NL"/>
        </w:rPr>
      </w:pPr>
      <w:r w:rsidRPr="001F4AEB">
        <w:rPr>
          <w:lang w:val="nl-NL"/>
        </w:rPr>
        <w:t xml:space="preserve">De doelmatigheid van het gevoerde beleid voor wat betreft </w:t>
      </w:r>
    </w:p>
    <w:p w:rsidRPr="006D2455" w:rsidR="00610139" w:rsidP="006D2455" w:rsidRDefault="00B22E72">
      <w:pPr>
        <w:pStyle w:val="ListParagraph"/>
        <w:numPr>
          <w:ilvl w:val="0"/>
          <w:numId w:val="7"/>
        </w:numPr>
        <w:rPr>
          <w:rFonts w:ascii="Verdana" w:hAnsi="Verdana"/>
          <w:sz w:val="18"/>
          <w:szCs w:val="18"/>
        </w:rPr>
      </w:pPr>
      <w:r>
        <w:rPr>
          <w:rFonts w:ascii="Verdana" w:hAnsi="Verdana"/>
          <w:sz w:val="18"/>
          <w:szCs w:val="18"/>
        </w:rPr>
        <w:t>D</w:t>
      </w:r>
      <w:r w:rsidRPr="006D2455" w:rsidR="00610139">
        <w:rPr>
          <w:rFonts w:ascii="Verdana" w:hAnsi="Verdana"/>
          <w:sz w:val="18"/>
          <w:szCs w:val="18"/>
        </w:rPr>
        <w:t xml:space="preserve">e kosten van de toegang tot energie (output) voor de doelgroepen en hoe </w:t>
      </w:r>
      <w:r>
        <w:rPr>
          <w:rFonts w:ascii="Verdana" w:hAnsi="Verdana"/>
          <w:sz w:val="18"/>
          <w:szCs w:val="18"/>
        </w:rPr>
        <w:t xml:space="preserve">deze zich </w:t>
      </w:r>
      <w:r w:rsidRPr="006D2455" w:rsidR="00610139">
        <w:rPr>
          <w:rFonts w:ascii="Verdana" w:hAnsi="Verdana"/>
          <w:sz w:val="18"/>
          <w:szCs w:val="18"/>
        </w:rPr>
        <w:t>verhouden tot vergelijkbare voorzieningen</w:t>
      </w:r>
      <w:r>
        <w:rPr>
          <w:rFonts w:ascii="Verdana" w:hAnsi="Verdana"/>
          <w:sz w:val="18"/>
          <w:szCs w:val="18"/>
        </w:rPr>
        <w:t>.</w:t>
      </w:r>
      <w:r w:rsidRPr="006D2455" w:rsidR="00610139">
        <w:rPr>
          <w:rFonts w:ascii="Verdana" w:hAnsi="Verdana"/>
          <w:sz w:val="18"/>
          <w:szCs w:val="18"/>
        </w:rPr>
        <w:t xml:space="preserve"> </w:t>
      </w:r>
    </w:p>
    <w:p w:rsidRPr="006D2455" w:rsidR="00610139" w:rsidP="006D2455" w:rsidRDefault="00B22E72">
      <w:pPr>
        <w:pStyle w:val="ListParagraph"/>
        <w:numPr>
          <w:ilvl w:val="0"/>
          <w:numId w:val="7"/>
        </w:numPr>
        <w:rPr>
          <w:rFonts w:ascii="Verdana" w:hAnsi="Verdana"/>
          <w:sz w:val="18"/>
          <w:szCs w:val="18"/>
        </w:rPr>
      </w:pPr>
      <w:r>
        <w:rPr>
          <w:rFonts w:ascii="Verdana" w:hAnsi="Verdana"/>
          <w:sz w:val="18"/>
          <w:szCs w:val="18"/>
        </w:rPr>
        <w:t>I</w:t>
      </w:r>
      <w:r w:rsidRPr="006D2455" w:rsidR="00610139">
        <w:rPr>
          <w:rFonts w:ascii="Verdana" w:hAnsi="Verdana"/>
          <w:sz w:val="18"/>
          <w:szCs w:val="18"/>
        </w:rPr>
        <w:t xml:space="preserve">nterne beleidsprocessen </w:t>
      </w:r>
      <w:r>
        <w:rPr>
          <w:rFonts w:ascii="Verdana" w:hAnsi="Verdana"/>
          <w:sz w:val="18"/>
          <w:szCs w:val="18"/>
        </w:rPr>
        <w:t xml:space="preserve">en </w:t>
      </w:r>
      <w:r w:rsidRPr="006D2455" w:rsidR="00610139">
        <w:rPr>
          <w:rFonts w:ascii="Verdana" w:hAnsi="Verdana"/>
          <w:sz w:val="18"/>
          <w:szCs w:val="18"/>
        </w:rPr>
        <w:t xml:space="preserve">factoren </w:t>
      </w:r>
      <w:r>
        <w:rPr>
          <w:rFonts w:ascii="Verdana" w:hAnsi="Verdana"/>
          <w:sz w:val="18"/>
          <w:szCs w:val="18"/>
        </w:rPr>
        <w:t xml:space="preserve">die </w:t>
      </w:r>
      <w:r w:rsidRPr="006D2455" w:rsidR="00610139">
        <w:rPr>
          <w:rFonts w:ascii="Verdana" w:hAnsi="Verdana"/>
          <w:sz w:val="18"/>
          <w:szCs w:val="18"/>
        </w:rPr>
        <w:t>op resulta</w:t>
      </w:r>
      <w:r>
        <w:rPr>
          <w:rFonts w:ascii="Verdana" w:hAnsi="Verdana"/>
          <w:sz w:val="18"/>
          <w:szCs w:val="18"/>
        </w:rPr>
        <w:t>a</w:t>
      </w:r>
      <w:r w:rsidRPr="006D2455" w:rsidR="00610139">
        <w:rPr>
          <w:rFonts w:ascii="Verdana" w:hAnsi="Verdana"/>
          <w:sz w:val="18"/>
          <w:szCs w:val="18"/>
        </w:rPr>
        <w:t xml:space="preserve">t gerichte uitvoering van beleid </w:t>
      </w:r>
      <w:r w:rsidR="00AD49D9">
        <w:rPr>
          <w:rFonts w:ascii="Verdana" w:hAnsi="Verdana"/>
          <w:sz w:val="18"/>
          <w:szCs w:val="18"/>
        </w:rPr>
        <w:t xml:space="preserve">hebben </w:t>
      </w:r>
      <w:r w:rsidRPr="006D2455" w:rsidR="00610139">
        <w:rPr>
          <w:rFonts w:ascii="Verdana" w:hAnsi="Verdana"/>
          <w:sz w:val="18"/>
          <w:szCs w:val="18"/>
        </w:rPr>
        <w:t>bevorderd dan wel ondermijnd</w:t>
      </w:r>
      <w:r w:rsidR="00AD49D9">
        <w:rPr>
          <w:rFonts w:ascii="Verdana" w:hAnsi="Verdana"/>
          <w:sz w:val="18"/>
          <w:szCs w:val="18"/>
        </w:rPr>
        <w:t>.</w:t>
      </w:r>
    </w:p>
    <w:p w:rsidR="00E96C4B" w:rsidP="001F4AEB" w:rsidRDefault="00E96C4B">
      <w:pPr>
        <w:spacing w:after="0"/>
        <w:rPr>
          <w:i/>
          <w:lang w:val="nl-NL"/>
        </w:rPr>
      </w:pPr>
    </w:p>
    <w:p w:rsidR="00BD3C1E" w:rsidP="001F4AEB" w:rsidRDefault="001B4E74">
      <w:pPr>
        <w:spacing w:after="0"/>
        <w:rPr>
          <w:i/>
          <w:lang w:val="nl-NL"/>
        </w:rPr>
      </w:pPr>
      <w:r w:rsidRPr="001B4E74">
        <w:rPr>
          <w:i/>
          <w:lang w:val="nl-NL"/>
        </w:rPr>
        <w:t>Onderzoeksmethoden</w:t>
      </w:r>
    </w:p>
    <w:p w:rsidR="006D2455" w:rsidP="001F4AEB" w:rsidRDefault="006D2455">
      <w:pPr>
        <w:spacing w:after="0"/>
        <w:rPr>
          <w:lang w:val="nl-NL"/>
        </w:rPr>
      </w:pPr>
      <w:r>
        <w:rPr>
          <w:lang w:val="nl-NL"/>
        </w:rPr>
        <w:t xml:space="preserve">Nadruk van deze evaluatie ligt op de meting van de </w:t>
      </w:r>
      <w:r w:rsidRPr="001B4E74" w:rsidR="001B4E74">
        <w:rPr>
          <w:lang w:val="nl-NL"/>
        </w:rPr>
        <w:t xml:space="preserve">effectiviteit en impact </w:t>
      </w:r>
      <w:r>
        <w:rPr>
          <w:lang w:val="nl-NL"/>
        </w:rPr>
        <w:t xml:space="preserve">van de uitgevoerde programma’s op de doelgroepen. </w:t>
      </w:r>
      <w:r w:rsidR="00920DEE">
        <w:rPr>
          <w:lang w:val="nl-NL"/>
        </w:rPr>
        <w:t>Naast twee kwalitatieve onderzoeken en systematisch literatuur onderzoek wordt d</w:t>
      </w:r>
      <w:r>
        <w:rPr>
          <w:lang w:val="nl-NL"/>
        </w:rPr>
        <w:t xml:space="preserve">e analyse </w:t>
      </w:r>
      <w:r w:rsidRPr="001B4E74" w:rsidR="001B4E74">
        <w:rPr>
          <w:lang w:val="nl-NL"/>
        </w:rPr>
        <w:t>onderbouwd door een achttal ‘</w:t>
      </w:r>
      <w:proofErr w:type="spellStart"/>
      <w:r w:rsidRPr="00E96C4B" w:rsidR="001B4E74">
        <w:rPr>
          <w:i/>
          <w:lang w:val="nl-NL"/>
        </w:rPr>
        <w:t>rigorous</w:t>
      </w:r>
      <w:proofErr w:type="spellEnd"/>
      <w:r w:rsidRPr="001B4E74" w:rsidR="001B4E74">
        <w:rPr>
          <w:lang w:val="nl-NL"/>
        </w:rPr>
        <w:t xml:space="preserve"> </w:t>
      </w:r>
      <w:r w:rsidRPr="004E2F4C" w:rsidR="001B4E74">
        <w:rPr>
          <w:i/>
          <w:lang w:val="nl-NL"/>
        </w:rPr>
        <w:t xml:space="preserve">impact </w:t>
      </w:r>
      <w:r w:rsidRPr="004E2F4C">
        <w:rPr>
          <w:i/>
          <w:lang w:val="nl-NL"/>
        </w:rPr>
        <w:t>studies</w:t>
      </w:r>
      <w:r w:rsidRPr="004E2F4C" w:rsidR="004E2F4C">
        <w:rPr>
          <w:i/>
          <w:lang w:val="nl-NL"/>
        </w:rPr>
        <w:t>’</w:t>
      </w:r>
      <w:r w:rsidR="006B1345">
        <w:rPr>
          <w:lang w:val="nl-NL"/>
        </w:rPr>
        <w:t xml:space="preserve"> (dit is een specifieke evaluatiemethode)</w:t>
      </w:r>
      <w:r w:rsidRPr="001B4E74" w:rsidR="001B4E74">
        <w:rPr>
          <w:lang w:val="nl-NL"/>
        </w:rPr>
        <w:t xml:space="preserve">, die </w:t>
      </w:r>
      <w:r>
        <w:rPr>
          <w:lang w:val="nl-NL"/>
        </w:rPr>
        <w:t>gedurende</w:t>
      </w:r>
      <w:r w:rsidRPr="001B4E74" w:rsidR="001B4E74">
        <w:rPr>
          <w:lang w:val="nl-NL"/>
        </w:rPr>
        <w:t xml:space="preserve"> de periode 2010-2013 zijn uitgevoerd</w:t>
      </w:r>
      <w:r w:rsidR="00920DEE">
        <w:rPr>
          <w:lang w:val="nl-NL"/>
        </w:rPr>
        <w:t xml:space="preserve">. </w:t>
      </w:r>
      <w:r>
        <w:rPr>
          <w:lang w:val="nl-NL"/>
        </w:rPr>
        <w:t xml:space="preserve">In dit kader zijn </w:t>
      </w:r>
      <w:proofErr w:type="gramStart"/>
      <w:r>
        <w:rPr>
          <w:lang w:val="nl-NL"/>
        </w:rPr>
        <w:t>inmiddels</w:t>
      </w:r>
      <w:proofErr w:type="gramEnd"/>
      <w:r>
        <w:rPr>
          <w:lang w:val="nl-NL"/>
        </w:rPr>
        <w:t xml:space="preserve"> </w:t>
      </w:r>
      <w:r w:rsidR="00556895">
        <w:rPr>
          <w:lang w:val="nl-NL"/>
        </w:rPr>
        <w:t xml:space="preserve">alle onderzoeken afgerond en </w:t>
      </w:r>
      <w:r>
        <w:rPr>
          <w:lang w:val="nl-NL"/>
        </w:rPr>
        <w:t>de volgende rapporten gepubliceerd:</w:t>
      </w:r>
    </w:p>
    <w:p w:rsidRPr="00AD49D9" w:rsidR="001B4E74" w:rsidP="00E21C57" w:rsidRDefault="00C27A45">
      <w:pPr>
        <w:pStyle w:val="ListParagraph"/>
        <w:numPr>
          <w:ilvl w:val="0"/>
          <w:numId w:val="9"/>
        </w:numPr>
        <w:rPr>
          <w:rFonts w:ascii="Verdana" w:hAnsi="Verdana"/>
          <w:sz w:val="18"/>
          <w:szCs w:val="18"/>
          <w:lang w:val="en-US"/>
        </w:rPr>
      </w:pPr>
      <w:r w:rsidRPr="001F4AEB">
        <w:rPr>
          <w:rFonts w:ascii="Verdana" w:hAnsi="Verdana"/>
          <w:sz w:val="18"/>
          <w:szCs w:val="18"/>
          <w:lang w:val="en-US"/>
        </w:rPr>
        <w:t>IOB Study no.</w:t>
      </w:r>
      <w:r w:rsidR="00D215C7">
        <w:rPr>
          <w:rFonts w:ascii="Verdana" w:hAnsi="Verdana"/>
          <w:sz w:val="18"/>
          <w:szCs w:val="18"/>
          <w:lang w:val="en-US"/>
        </w:rPr>
        <w:t xml:space="preserve"> </w:t>
      </w:r>
      <w:r w:rsidRPr="001F4AEB">
        <w:rPr>
          <w:rFonts w:ascii="Verdana" w:hAnsi="Verdana"/>
          <w:sz w:val="18"/>
          <w:szCs w:val="18"/>
          <w:lang w:val="en-US"/>
        </w:rPr>
        <w:t xml:space="preserve">376: Renewable Energy: Access and Impact. </w:t>
      </w:r>
      <w:r w:rsidRPr="00AD49D9">
        <w:rPr>
          <w:rFonts w:ascii="Verdana" w:hAnsi="Verdana"/>
          <w:sz w:val="18"/>
          <w:szCs w:val="18"/>
          <w:lang w:val="en-US"/>
        </w:rPr>
        <w:t>A systematic literature review of the impact on livelihoods of interventions providing access to renewable energy in developing countries.</w:t>
      </w:r>
      <w:r w:rsidRPr="00AD49D9" w:rsidR="001B4E74">
        <w:rPr>
          <w:rFonts w:ascii="Verdana" w:hAnsi="Verdana"/>
          <w:sz w:val="18"/>
          <w:szCs w:val="18"/>
          <w:lang w:val="en-US"/>
        </w:rPr>
        <w:t xml:space="preserve">  </w:t>
      </w:r>
    </w:p>
    <w:p w:rsidRPr="001F4AEB" w:rsidR="00C27A45" w:rsidP="00E21C57" w:rsidRDefault="00C27A45">
      <w:pPr>
        <w:pStyle w:val="ListParagraph"/>
        <w:numPr>
          <w:ilvl w:val="0"/>
          <w:numId w:val="9"/>
        </w:numPr>
        <w:rPr>
          <w:rFonts w:ascii="Verdana" w:hAnsi="Verdana"/>
          <w:sz w:val="18"/>
          <w:szCs w:val="18"/>
          <w:lang w:val="en-US"/>
        </w:rPr>
      </w:pPr>
      <w:r w:rsidRPr="001F4AEB">
        <w:rPr>
          <w:rFonts w:ascii="Verdana" w:hAnsi="Verdana"/>
          <w:sz w:val="18"/>
          <w:szCs w:val="18"/>
          <w:lang w:val="en-US"/>
        </w:rPr>
        <w:t>IOB Evaluation no</w:t>
      </w:r>
      <w:r w:rsidR="00D215C7">
        <w:rPr>
          <w:rFonts w:ascii="Verdana" w:hAnsi="Verdana"/>
          <w:sz w:val="18"/>
          <w:szCs w:val="18"/>
          <w:lang w:val="en-US"/>
        </w:rPr>
        <w:t>.</w:t>
      </w:r>
      <w:r w:rsidRPr="001F4AEB">
        <w:rPr>
          <w:rFonts w:ascii="Verdana" w:hAnsi="Verdana"/>
          <w:sz w:val="18"/>
          <w:szCs w:val="18"/>
          <w:lang w:val="en-US"/>
        </w:rPr>
        <w:t xml:space="preserve"> 388: Impact Evaluation of Improved Cooking Stoves in Burkina Faso.</w:t>
      </w:r>
    </w:p>
    <w:p w:rsidR="0090088E" w:rsidP="00E21C57" w:rsidRDefault="00C27A45">
      <w:pPr>
        <w:pStyle w:val="ListParagraph"/>
        <w:numPr>
          <w:ilvl w:val="0"/>
          <w:numId w:val="9"/>
        </w:numPr>
        <w:rPr>
          <w:rFonts w:ascii="Verdana" w:hAnsi="Verdana"/>
          <w:sz w:val="18"/>
          <w:szCs w:val="18"/>
          <w:lang w:val="en-US"/>
        </w:rPr>
      </w:pPr>
      <w:r w:rsidRPr="001F4AEB">
        <w:rPr>
          <w:rFonts w:ascii="Verdana" w:hAnsi="Verdana"/>
          <w:sz w:val="18"/>
          <w:szCs w:val="18"/>
          <w:lang w:val="en-US"/>
        </w:rPr>
        <w:t>IOB Evaluation no</w:t>
      </w:r>
      <w:r w:rsidR="00D215C7">
        <w:rPr>
          <w:rFonts w:ascii="Verdana" w:hAnsi="Verdana"/>
          <w:sz w:val="18"/>
          <w:szCs w:val="18"/>
          <w:lang w:val="en-US"/>
        </w:rPr>
        <w:t>.</w:t>
      </w:r>
      <w:r w:rsidRPr="001F4AEB">
        <w:rPr>
          <w:rFonts w:ascii="Verdana" w:hAnsi="Verdana"/>
          <w:sz w:val="18"/>
          <w:szCs w:val="18"/>
          <w:lang w:val="en-US"/>
        </w:rPr>
        <w:t xml:space="preserve"> 396: Access to Energy. Impact evaluation of activities supported by the Dutch Promoting Renewable Energy </w:t>
      </w:r>
      <w:proofErr w:type="spellStart"/>
      <w:r w:rsidRPr="001F4AEB">
        <w:rPr>
          <w:rFonts w:ascii="Verdana" w:hAnsi="Verdana"/>
          <w:sz w:val="18"/>
          <w:szCs w:val="18"/>
          <w:lang w:val="en-US"/>
        </w:rPr>
        <w:t>Programme</w:t>
      </w:r>
      <w:proofErr w:type="spellEnd"/>
      <w:r w:rsidRPr="001F4AEB">
        <w:rPr>
          <w:rFonts w:ascii="Verdana" w:hAnsi="Verdana"/>
          <w:sz w:val="18"/>
          <w:szCs w:val="18"/>
          <w:lang w:val="en-US"/>
        </w:rPr>
        <w:t>.</w:t>
      </w:r>
    </w:p>
    <w:p w:rsidR="00E96C4B" w:rsidP="00E96C4B" w:rsidRDefault="00E96C4B">
      <w:pPr>
        <w:contextualSpacing/>
        <w:rPr>
          <w:rFonts w:cstheme="minorHAnsi"/>
          <w:i/>
          <w:szCs w:val="18"/>
        </w:rPr>
      </w:pPr>
    </w:p>
    <w:p w:rsidRPr="00E96C4B" w:rsidR="00E96C4B" w:rsidP="00E96C4B" w:rsidRDefault="00E96C4B">
      <w:pPr>
        <w:contextualSpacing/>
        <w:rPr>
          <w:rFonts w:cstheme="minorHAnsi"/>
          <w:i/>
          <w:szCs w:val="18"/>
          <w:lang w:val="nl-NL"/>
        </w:rPr>
      </w:pPr>
      <w:r w:rsidRPr="00E96C4B">
        <w:rPr>
          <w:rFonts w:cstheme="minorHAnsi"/>
          <w:i/>
          <w:szCs w:val="18"/>
          <w:lang w:val="nl-NL"/>
        </w:rPr>
        <w:t>Onafhankelijkheid</w:t>
      </w:r>
    </w:p>
    <w:p w:rsidRPr="00E829E0" w:rsidR="00025572" w:rsidRDefault="00E96C4B">
      <w:pPr>
        <w:contextualSpacing/>
        <w:rPr>
          <w:rFonts w:cstheme="minorHAnsi"/>
          <w:szCs w:val="18"/>
          <w:lang w:val="nl-NL"/>
        </w:rPr>
      </w:pPr>
      <w:r w:rsidRPr="00E96C4B">
        <w:rPr>
          <w:rFonts w:cstheme="minorHAnsi"/>
          <w:szCs w:val="18"/>
          <w:lang w:val="nl-NL"/>
        </w:rPr>
        <w:t xml:space="preserve">Deze beleidsdoorlichting wordt uitgevoerd door IOB. </w:t>
      </w:r>
      <w:r w:rsidRPr="00025572">
        <w:rPr>
          <w:rFonts w:cstheme="minorHAnsi"/>
          <w:szCs w:val="18"/>
          <w:lang w:val="nl-NL"/>
        </w:rPr>
        <w:t xml:space="preserve">IOB heeft een onafhankelijke status (zie toelichting </w:t>
      </w:r>
      <w:r w:rsidRPr="006B1345" w:rsidR="006B1345">
        <w:rPr>
          <w:lang w:val="nl-NL"/>
        </w:rPr>
        <w:t>Regeling Periodiek Evaluatieonderzoek</w:t>
      </w:r>
      <w:r w:rsidRPr="00025572">
        <w:rPr>
          <w:rFonts w:cstheme="minorHAnsi"/>
          <w:szCs w:val="18"/>
          <w:lang w:val="nl-NL"/>
        </w:rPr>
        <w:t xml:space="preserve"> 2015 p.8).</w:t>
      </w:r>
      <w:r w:rsidR="00025572">
        <w:rPr>
          <w:szCs w:val="18"/>
          <w:lang w:val="nl-NL"/>
        </w:rPr>
        <w:br w:type="page"/>
      </w:r>
    </w:p>
    <w:p w:rsidRPr="00556895" w:rsidR="00025572" w:rsidP="004C09F6" w:rsidRDefault="00025572">
      <w:pPr>
        <w:rPr>
          <w:b/>
          <w:sz w:val="24"/>
          <w:szCs w:val="24"/>
          <w:lang w:val="nl-NL"/>
        </w:rPr>
      </w:pPr>
      <w:r w:rsidRPr="00556895">
        <w:rPr>
          <w:b/>
          <w:sz w:val="24"/>
          <w:szCs w:val="24"/>
          <w:lang w:val="nl-NL"/>
        </w:rPr>
        <w:lastRenderedPageBreak/>
        <w:t>Annex B. Beleidsdoorlichting Gendergelijkheid (2007-2013)</w:t>
      </w:r>
    </w:p>
    <w:p w:rsidRPr="00025572" w:rsidR="00025572" w:rsidP="009F698C" w:rsidRDefault="00556895">
      <w:pPr>
        <w:rPr>
          <w:szCs w:val="18"/>
          <w:lang w:val="nl-NL"/>
        </w:rPr>
      </w:pPr>
      <w:r>
        <w:rPr>
          <w:szCs w:val="18"/>
          <w:lang w:val="nl-NL"/>
        </w:rPr>
        <w:t>De beleidsdoorlichting betreft b</w:t>
      </w:r>
      <w:r w:rsidRPr="00025572" w:rsidR="00025572">
        <w:rPr>
          <w:szCs w:val="18"/>
          <w:lang w:val="nl-NL"/>
        </w:rPr>
        <w:t xml:space="preserve">eleidsdoelstelling 3.2 van de huidige begroting voor </w:t>
      </w:r>
      <w:r w:rsidR="00E829E0">
        <w:rPr>
          <w:szCs w:val="18"/>
          <w:lang w:val="nl-NL"/>
        </w:rPr>
        <w:t>Buitenlandse</w:t>
      </w:r>
      <w:r w:rsidRPr="00025572" w:rsidR="00025572">
        <w:rPr>
          <w:szCs w:val="18"/>
          <w:lang w:val="nl-NL"/>
        </w:rPr>
        <w:t xml:space="preserve"> Handel en Ontwikkelingssamenwerking d</w:t>
      </w:r>
      <w:r w:rsidR="004E2F4C">
        <w:rPr>
          <w:szCs w:val="18"/>
          <w:lang w:val="nl-NL"/>
        </w:rPr>
        <w:t>ie</w:t>
      </w:r>
      <w:r w:rsidRPr="00025572" w:rsidR="00025572">
        <w:rPr>
          <w:szCs w:val="18"/>
          <w:lang w:val="nl-NL"/>
        </w:rPr>
        <w:t xml:space="preserve"> zich richt op gelijke rechten en kansen voor vrouwen. Het daaraan gekoppelde budget was in 2013 EUR 51.6 miljoen. Daarnaast zal bij de beleidsdoorlichting aandacht worden besteed aan het opnemen van gender in de hoofdstroom van het Nederlandse buitenland beleid (‘gender </w:t>
      </w:r>
      <w:proofErr w:type="spellStart"/>
      <w:r w:rsidRPr="00025572" w:rsidR="00025572">
        <w:rPr>
          <w:szCs w:val="18"/>
          <w:lang w:val="nl-NL"/>
        </w:rPr>
        <w:t>mainstreaming</w:t>
      </w:r>
      <w:proofErr w:type="spellEnd"/>
      <w:r w:rsidRPr="00025572" w:rsidR="00025572">
        <w:rPr>
          <w:szCs w:val="18"/>
          <w:lang w:val="nl-NL"/>
        </w:rPr>
        <w:t>’).</w:t>
      </w:r>
      <w:r>
        <w:rPr>
          <w:szCs w:val="18"/>
          <w:lang w:val="nl-NL"/>
        </w:rPr>
        <w:t xml:space="preserve"> </w:t>
      </w:r>
    </w:p>
    <w:p w:rsidRPr="00025572" w:rsidR="00025572" w:rsidP="00556895" w:rsidRDefault="00025572">
      <w:pPr>
        <w:autoSpaceDE w:val="0"/>
        <w:autoSpaceDN w:val="0"/>
        <w:spacing w:after="0"/>
        <w:rPr>
          <w:szCs w:val="18"/>
          <w:lang w:val="nl-NL"/>
        </w:rPr>
      </w:pPr>
      <w:r w:rsidRPr="00025572">
        <w:rPr>
          <w:i/>
          <w:iCs/>
          <w:szCs w:val="18"/>
          <w:lang w:val="nl-NL"/>
        </w:rPr>
        <w:t>Onderzoeksvragen</w:t>
      </w:r>
      <w:r w:rsidR="00556895">
        <w:rPr>
          <w:i/>
          <w:iCs/>
          <w:szCs w:val="18"/>
          <w:lang w:val="nl-NL"/>
        </w:rPr>
        <w:br/>
      </w:r>
      <w:r w:rsidRPr="00025572">
        <w:rPr>
          <w:szCs w:val="18"/>
          <w:lang w:val="nl-NL"/>
        </w:rPr>
        <w:t>Hoofddoel van de beleidsdoorlichting is om een oordeel te geven over de relevantie, effectiviteit, efficiency en duurzaamheid van het genderbeleid zoals dat door het ministerie van Buitenlandse Zaken is gevoerd in de periode 2007-2013. De specifieke onderzoeksvragen die aan de beleidsdoorlichting ten grondslag liggen zijn:</w:t>
      </w:r>
    </w:p>
    <w:p w:rsidRPr="006D4EAA" w:rsidR="00025572" w:rsidP="006D4EAA" w:rsidRDefault="00025572">
      <w:pPr>
        <w:pStyle w:val="ListParagraph"/>
        <w:numPr>
          <w:ilvl w:val="0"/>
          <w:numId w:val="13"/>
        </w:numPr>
        <w:autoSpaceDE w:val="0"/>
        <w:autoSpaceDN w:val="0"/>
        <w:rPr>
          <w:rFonts w:ascii="Verdana" w:hAnsi="Verdana"/>
          <w:sz w:val="18"/>
          <w:szCs w:val="18"/>
        </w:rPr>
      </w:pPr>
      <w:r w:rsidRPr="006D4EAA">
        <w:rPr>
          <w:rFonts w:ascii="Verdana" w:hAnsi="Verdana"/>
          <w:sz w:val="18"/>
          <w:szCs w:val="18"/>
        </w:rPr>
        <w:t>Wat heeft de Nederlandse overheid gemotiveerd om een actieve, internationale rol te spelen op het gebied van gelijkheid van vrouwen en mannen?</w:t>
      </w:r>
    </w:p>
    <w:p w:rsidRPr="006D4EAA" w:rsidR="00025572" w:rsidP="006D4EAA" w:rsidRDefault="00025572">
      <w:pPr>
        <w:pStyle w:val="ListParagraph"/>
        <w:numPr>
          <w:ilvl w:val="0"/>
          <w:numId w:val="13"/>
        </w:numPr>
        <w:autoSpaceDE w:val="0"/>
        <w:autoSpaceDN w:val="0"/>
        <w:rPr>
          <w:rFonts w:ascii="Verdana" w:hAnsi="Verdana"/>
          <w:sz w:val="18"/>
          <w:szCs w:val="18"/>
        </w:rPr>
      </w:pPr>
      <w:r w:rsidRPr="006D4EAA">
        <w:rPr>
          <w:rFonts w:ascii="Verdana" w:hAnsi="Verdana"/>
          <w:sz w:val="18"/>
          <w:szCs w:val="18"/>
        </w:rPr>
        <w:t>Wat waren de doeleinden en voornaamste kenmerken van het internationale genderbeleid van het ministerie en van de strategieën die zijn gebruikt om die doeleinden te realiseren?</w:t>
      </w:r>
    </w:p>
    <w:p w:rsidRPr="006D4EAA" w:rsidR="00025572" w:rsidP="006D4EAA" w:rsidRDefault="00025572">
      <w:pPr>
        <w:pStyle w:val="ListParagraph"/>
        <w:numPr>
          <w:ilvl w:val="0"/>
          <w:numId w:val="13"/>
        </w:numPr>
        <w:autoSpaceDE w:val="0"/>
        <w:autoSpaceDN w:val="0"/>
        <w:rPr>
          <w:rFonts w:ascii="Verdana" w:hAnsi="Verdana"/>
          <w:sz w:val="18"/>
          <w:szCs w:val="18"/>
        </w:rPr>
      </w:pPr>
      <w:r w:rsidRPr="006D4EAA">
        <w:rPr>
          <w:rFonts w:ascii="Verdana" w:hAnsi="Verdana"/>
          <w:sz w:val="18"/>
          <w:szCs w:val="18"/>
        </w:rPr>
        <w:t>Was gelijkheid van mannen en vrouwen geïntegreerd in het beleid op landenniveau en in thematisch beleid, in concrete interventies en in de onderscheiden stadia van de beleidscyclus?</w:t>
      </w:r>
    </w:p>
    <w:p w:rsidRPr="006D4EAA" w:rsidR="00025572" w:rsidP="006D4EAA" w:rsidRDefault="00025572">
      <w:pPr>
        <w:pStyle w:val="ListParagraph"/>
        <w:numPr>
          <w:ilvl w:val="0"/>
          <w:numId w:val="13"/>
        </w:numPr>
        <w:autoSpaceDE w:val="0"/>
        <w:autoSpaceDN w:val="0"/>
        <w:rPr>
          <w:rFonts w:ascii="Verdana" w:hAnsi="Verdana"/>
          <w:sz w:val="18"/>
          <w:szCs w:val="18"/>
        </w:rPr>
      </w:pPr>
      <w:r w:rsidRPr="006D4EAA">
        <w:rPr>
          <w:rFonts w:ascii="Verdana" w:hAnsi="Verdana"/>
          <w:sz w:val="18"/>
          <w:szCs w:val="18"/>
        </w:rPr>
        <w:t>Wat waren de uitkomsten van het gevoerde beleid voor vrouwen in ontwikkelingslanden en hoe duurzaam zijn deze?</w:t>
      </w:r>
    </w:p>
    <w:p w:rsidRPr="006D4EAA" w:rsidR="00025572" w:rsidP="006D4EAA" w:rsidRDefault="00025572">
      <w:pPr>
        <w:pStyle w:val="ListParagraph"/>
        <w:numPr>
          <w:ilvl w:val="0"/>
          <w:numId w:val="13"/>
        </w:numPr>
        <w:autoSpaceDE w:val="0"/>
        <w:autoSpaceDN w:val="0"/>
        <w:rPr>
          <w:rFonts w:ascii="Verdana" w:hAnsi="Verdana"/>
          <w:sz w:val="18"/>
          <w:szCs w:val="18"/>
        </w:rPr>
      </w:pPr>
      <w:r w:rsidRPr="006D4EAA">
        <w:rPr>
          <w:rFonts w:ascii="Verdana" w:hAnsi="Verdana"/>
          <w:sz w:val="18"/>
          <w:szCs w:val="18"/>
        </w:rPr>
        <w:t>Wat waren de financiële en andere middelen die zijn aangewend ter uitvoering van het beleid en zijn deze efficiënt gebruikt?</w:t>
      </w:r>
    </w:p>
    <w:p w:rsidRPr="00025572" w:rsidR="00556895" w:rsidP="00556895" w:rsidRDefault="00556895">
      <w:pPr>
        <w:autoSpaceDE w:val="0"/>
        <w:autoSpaceDN w:val="0"/>
        <w:spacing w:after="0"/>
        <w:rPr>
          <w:szCs w:val="18"/>
          <w:lang w:val="nl-NL"/>
        </w:rPr>
      </w:pPr>
    </w:p>
    <w:p w:rsidRPr="00025572" w:rsidR="00025572" w:rsidP="009F698C" w:rsidRDefault="00025572">
      <w:pPr>
        <w:autoSpaceDE w:val="0"/>
        <w:autoSpaceDN w:val="0"/>
        <w:rPr>
          <w:szCs w:val="18"/>
          <w:lang w:val="nl-NL"/>
        </w:rPr>
      </w:pPr>
      <w:r w:rsidRPr="00025572">
        <w:rPr>
          <w:i/>
          <w:iCs/>
          <w:szCs w:val="18"/>
          <w:lang w:val="nl-NL"/>
        </w:rPr>
        <w:t>Belangrijkste thema’s</w:t>
      </w:r>
      <w:r w:rsidR="00556895">
        <w:rPr>
          <w:i/>
          <w:iCs/>
          <w:szCs w:val="18"/>
          <w:lang w:val="nl-NL"/>
        </w:rPr>
        <w:br/>
      </w:r>
      <w:r w:rsidRPr="00025572">
        <w:rPr>
          <w:szCs w:val="18"/>
          <w:lang w:val="nl-NL"/>
        </w:rPr>
        <w:t xml:space="preserve">Aandacht voor gender </w:t>
      </w:r>
      <w:proofErr w:type="spellStart"/>
      <w:r w:rsidRPr="00025572">
        <w:rPr>
          <w:szCs w:val="18"/>
          <w:lang w:val="nl-NL"/>
        </w:rPr>
        <w:t>mainstreaming</w:t>
      </w:r>
      <w:proofErr w:type="spellEnd"/>
      <w:r w:rsidRPr="00025572">
        <w:rPr>
          <w:szCs w:val="18"/>
          <w:lang w:val="nl-NL"/>
        </w:rPr>
        <w:t xml:space="preserve"> betekent dat de beleidsdoorlichting een breed palet van thema’s en andere onderdelen van de begroting bestrijkt, inclusief economische ontwikkeling, vrede en veiligheid </w:t>
      </w:r>
      <w:proofErr w:type="gramStart"/>
      <w:r w:rsidRPr="00025572">
        <w:rPr>
          <w:szCs w:val="18"/>
          <w:lang w:val="nl-NL"/>
        </w:rPr>
        <w:t>alsmede</w:t>
      </w:r>
      <w:proofErr w:type="gramEnd"/>
      <w:r w:rsidRPr="00025572">
        <w:rPr>
          <w:szCs w:val="18"/>
          <w:lang w:val="nl-NL"/>
        </w:rPr>
        <w:t xml:space="preserve"> de bestrijding van geweld tegen vrouwen. Ook wordt aandacht besteed aan het optreden van Nederland op het terrein van vrouwenrechten in internationale fora</w:t>
      </w:r>
      <w:r w:rsidR="00204DE4">
        <w:rPr>
          <w:szCs w:val="18"/>
          <w:lang w:val="nl-NL"/>
        </w:rPr>
        <w:t>,</w:t>
      </w:r>
      <w:r w:rsidRPr="00025572">
        <w:rPr>
          <w:szCs w:val="18"/>
          <w:lang w:val="nl-NL"/>
        </w:rPr>
        <w:t xml:space="preserve"> zoals de Mensenrechtenraad. Essenti</w:t>
      </w:r>
      <w:r w:rsidR="00204DE4">
        <w:rPr>
          <w:szCs w:val="18"/>
          <w:lang w:val="nl-NL"/>
        </w:rPr>
        <w:t>ë</w:t>
      </w:r>
      <w:r w:rsidRPr="00025572">
        <w:rPr>
          <w:szCs w:val="18"/>
          <w:lang w:val="nl-NL"/>
        </w:rPr>
        <w:t>le onderdelen van de beleidsdoorlichting zijn de evaluaties van het Nederlandse Nationaal Actieplan voor de uitvoering van VNVR-Resolutie 1325 en van het MDG3 Fonds, de voorganger van het huidige FLOW. Deze zijn dusdanig ingericht dat zij een belangrijke bijdrage leveren aan de beantwoording van de onderzoeksvragen.</w:t>
      </w:r>
    </w:p>
    <w:p w:rsidRPr="00025572" w:rsidR="00025572" w:rsidP="004C09F6" w:rsidRDefault="00025572">
      <w:pPr>
        <w:contextualSpacing/>
        <w:rPr>
          <w:rFonts w:cstheme="minorHAnsi"/>
          <w:i/>
          <w:szCs w:val="18"/>
          <w:lang w:val="nl-NL"/>
        </w:rPr>
      </w:pPr>
      <w:r w:rsidRPr="00025572">
        <w:rPr>
          <w:rFonts w:cstheme="minorHAnsi"/>
          <w:i/>
          <w:szCs w:val="18"/>
          <w:lang w:val="nl-NL"/>
        </w:rPr>
        <w:t>Onderzoeksmethoden</w:t>
      </w:r>
    </w:p>
    <w:p w:rsidRPr="00025572" w:rsidR="00025572" w:rsidP="009F698C" w:rsidRDefault="00025572">
      <w:pPr>
        <w:rPr>
          <w:szCs w:val="18"/>
          <w:lang w:val="nl-NL"/>
        </w:rPr>
      </w:pPr>
      <w:r w:rsidRPr="00025572">
        <w:rPr>
          <w:szCs w:val="18"/>
          <w:lang w:val="nl-NL"/>
        </w:rPr>
        <w:t xml:space="preserve">Qua onderzoeksmethoden wordt gebruik gemaakt van </w:t>
      </w:r>
      <w:r w:rsidR="000B5AB5">
        <w:rPr>
          <w:szCs w:val="18"/>
          <w:lang w:val="nl-NL"/>
        </w:rPr>
        <w:t>archiefonderzoek, recent evaluatiemateriaal, literatuuronderzoek</w:t>
      </w:r>
      <w:r w:rsidR="00764C51">
        <w:rPr>
          <w:szCs w:val="18"/>
          <w:lang w:val="nl-NL"/>
        </w:rPr>
        <w:t xml:space="preserve"> van onderdelen die binnen de beleidsdoelstelling vallen</w:t>
      </w:r>
      <w:r w:rsidRPr="00025572">
        <w:rPr>
          <w:szCs w:val="18"/>
          <w:lang w:val="nl-NL"/>
        </w:rPr>
        <w:t>, interviews en beperkt veldonderzoek van projecten in Bangladesh, Egypte, en Mozambique.</w:t>
      </w:r>
      <w:r w:rsidR="00556895">
        <w:rPr>
          <w:szCs w:val="18"/>
          <w:lang w:val="nl-NL"/>
        </w:rPr>
        <w:t xml:space="preserve"> Andere bouwstenen voor deze beleidsdoorlichting zijn de evaluatie van het MDG3 Fonds, de evaluatie van NAP VN Veiligheidsresolutie 1325 en bestaand onderzoek van huidige en eerdere speerpunten van OS.</w:t>
      </w:r>
      <w:r w:rsidR="00556895">
        <w:rPr>
          <w:szCs w:val="18"/>
          <w:lang w:val="nl-NL"/>
        </w:rPr>
        <w:br/>
        <w:t>Alle onde</w:t>
      </w:r>
      <w:r w:rsidR="00E829E0">
        <w:rPr>
          <w:szCs w:val="18"/>
          <w:lang w:val="nl-NL"/>
        </w:rPr>
        <w:t xml:space="preserve">rzoeken zijn </w:t>
      </w:r>
      <w:proofErr w:type="gramStart"/>
      <w:r w:rsidR="00E829E0">
        <w:rPr>
          <w:szCs w:val="18"/>
          <w:lang w:val="nl-NL"/>
        </w:rPr>
        <w:t>inmiddels</w:t>
      </w:r>
      <w:proofErr w:type="gramEnd"/>
      <w:r w:rsidR="00E829E0">
        <w:rPr>
          <w:szCs w:val="18"/>
          <w:lang w:val="nl-NL"/>
        </w:rPr>
        <w:t xml:space="preserve"> afgerond en de oplevering van beleidsdoorlichting is voor de zomer gepland.</w:t>
      </w:r>
    </w:p>
    <w:p w:rsidRPr="00025572" w:rsidR="00025572" w:rsidP="004C09F6" w:rsidRDefault="00025572">
      <w:pPr>
        <w:contextualSpacing/>
        <w:rPr>
          <w:rFonts w:cstheme="minorHAnsi"/>
          <w:i/>
          <w:szCs w:val="18"/>
          <w:lang w:val="nl-NL"/>
        </w:rPr>
      </w:pPr>
      <w:r w:rsidRPr="00025572">
        <w:rPr>
          <w:rFonts w:cstheme="minorHAnsi"/>
          <w:i/>
          <w:szCs w:val="18"/>
          <w:lang w:val="nl-NL"/>
        </w:rPr>
        <w:t>Onafhankelijkheid</w:t>
      </w:r>
    </w:p>
    <w:p w:rsidRPr="00556895" w:rsidR="00556895" w:rsidRDefault="00025572">
      <w:pPr>
        <w:contextualSpacing/>
        <w:rPr>
          <w:rFonts w:cstheme="minorHAnsi"/>
          <w:szCs w:val="18"/>
          <w:lang w:val="nl-NL"/>
        </w:rPr>
      </w:pPr>
      <w:r w:rsidRPr="00025572">
        <w:rPr>
          <w:rFonts w:cstheme="minorHAnsi"/>
          <w:szCs w:val="18"/>
          <w:lang w:val="nl-NL"/>
        </w:rPr>
        <w:t xml:space="preserve">Deze beleidsdoorlichting wordt uitgevoerd door IOB. IOB heeft een onafhankelijke status (zie toelichting </w:t>
      </w:r>
      <w:r w:rsidRPr="006B1345" w:rsidR="006B1345">
        <w:rPr>
          <w:lang w:val="nl-NL"/>
        </w:rPr>
        <w:t>Regeling Periodiek Evaluatieonderzoek</w:t>
      </w:r>
      <w:r w:rsidRPr="00025572">
        <w:rPr>
          <w:rFonts w:cstheme="minorHAnsi"/>
          <w:szCs w:val="18"/>
          <w:lang w:val="nl-NL"/>
        </w:rPr>
        <w:t xml:space="preserve"> 2015 p.8).</w:t>
      </w:r>
      <w:r w:rsidR="00556895">
        <w:rPr>
          <w:b/>
          <w:sz w:val="24"/>
          <w:szCs w:val="24"/>
          <w:lang w:val="nl-NL"/>
        </w:rPr>
        <w:br w:type="page"/>
      </w:r>
    </w:p>
    <w:p w:rsidRPr="00F00C6A" w:rsidR="00025572" w:rsidP="0090088E" w:rsidRDefault="00025572">
      <w:pPr>
        <w:rPr>
          <w:b/>
          <w:sz w:val="24"/>
          <w:szCs w:val="24"/>
          <w:lang w:val="nl-NL"/>
        </w:rPr>
      </w:pPr>
      <w:r>
        <w:rPr>
          <w:b/>
          <w:sz w:val="24"/>
          <w:szCs w:val="24"/>
          <w:lang w:val="nl-NL"/>
        </w:rPr>
        <w:lastRenderedPageBreak/>
        <w:t xml:space="preserve">Annex C. </w:t>
      </w:r>
      <w:r w:rsidRPr="00F00C6A">
        <w:rPr>
          <w:b/>
          <w:sz w:val="24"/>
          <w:szCs w:val="24"/>
          <w:lang w:val="nl-NL"/>
        </w:rPr>
        <w:t>Beleidsdoorlichting van het OS-beleid voor humanitaire hulp</w:t>
      </w:r>
    </w:p>
    <w:p w:rsidRPr="00DA5DAF" w:rsidR="00025572" w:rsidP="00DA5DAF" w:rsidRDefault="00025572">
      <w:pPr>
        <w:rPr>
          <w:szCs w:val="18"/>
          <w:lang w:val="nl-NL"/>
        </w:rPr>
      </w:pPr>
      <w:r>
        <w:rPr>
          <w:i/>
          <w:szCs w:val="18"/>
          <w:lang w:val="nl-NL"/>
        </w:rPr>
        <w:t>Achtergrond en afbakening</w:t>
      </w:r>
      <w:r w:rsidRPr="00F00C6A">
        <w:rPr>
          <w:szCs w:val="18"/>
          <w:lang w:val="nl-NL"/>
        </w:rPr>
        <w:t xml:space="preserve"> </w:t>
      </w:r>
      <w:r>
        <w:rPr>
          <w:szCs w:val="18"/>
          <w:lang w:val="nl-NL"/>
        </w:rPr>
        <w:br/>
      </w:r>
      <w:r w:rsidRPr="00F00C6A">
        <w:rPr>
          <w:rFonts w:cstheme="minorHAnsi"/>
          <w:szCs w:val="18"/>
          <w:lang w:val="nl-NL"/>
        </w:rPr>
        <w:t xml:space="preserve">Deze beleidsevaluatie concentreert zich op de activiteiten die vallen onder begrotingsartikel 4.1 Humanitaire Hulp, de hulp voor acute en chronische crises evenals de activiteiten gericht op preventie van rampen. De periode van evaluatie betreft </w:t>
      </w:r>
      <w:proofErr w:type="gramStart"/>
      <w:r w:rsidR="00B05BDD">
        <w:rPr>
          <w:rFonts w:cstheme="minorHAnsi"/>
          <w:szCs w:val="18"/>
          <w:lang w:val="nl-NL"/>
        </w:rPr>
        <w:t>met name</w:t>
      </w:r>
      <w:proofErr w:type="gramEnd"/>
      <w:r w:rsidR="00B05BDD">
        <w:rPr>
          <w:rFonts w:cstheme="minorHAnsi"/>
          <w:szCs w:val="18"/>
          <w:lang w:val="nl-NL"/>
        </w:rPr>
        <w:t xml:space="preserve"> de p</w:t>
      </w:r>
      <w:r w:rsidR="004E53F2">
        <w:rPr>
          <w:rFonts w:cstheme="minorHAnsi"/>
          <w:szCs w:val="18"/>
          <w:lang w:val="nl-NL"/>
        </w:rPr>
        <w:t>e</w:t>
      </w:r>
      <w:r w:rsidR="00B05BDD">
        <w:rPr>
          <w:rFonts w:cstheme="minorHAnsi"/>
          <w:szCs w:val="18"/>
          <w:lang w:val="nl-NL"/>
        </w:rPr>
        <w:t xml:space="preserve">riode </w:t>
      </w:r>
      <w:r w:rsidRPr="00F00C6A">
        <w:rPr>
          <w:rFonts w:cstheme="minorHAnsi"/>
          <w:szCs w:val="18"/>
          <w:lang w:val="nl-NL"/>
        </w:rPr>
        <w:t>200</w:t>
      </w:r>
      <w:r w:rsidR="00B05BDD">
        <w:rPr>
          <w:rFonts w:cstheme="minorHAnsi"/>
          <w:szCs w:val="18"/>
          <w:lang w:val="nl-NL"/>
        </w:rPr>
        <w:t>9</w:t>
      </w:r>
      <w:r w:rsidRPr="00F00C6A">
        <w:rPr>
          <w:rFonts w:cstheme="minorHAnsi"/>
          <w:szCs w:val="18"/>
          <w:lang w:val="nl-NL"/>
        </w:rPr>
        <w:t>-2014</w:t>
      </w:r>
      <w:r w:rsidR="00B05BDD">
        <w:rPr>
          <w:rFonts w:cstheme="minorHAnsi"/>
          <w:szCs w:val="18"/>
          <w:lang w:val="nl-NL"/>
        </w:rPr>
        <w:t xml:space="preserve"> omdat de </w:t>
      </w:r>
      <w:r w:rsidR="009E699F">
        <w:rPr>
          <w:rFonts w:cstheme="minorHAnsi"/>
          <w:szCs w:val="18"/>
          <w:lang w:val="nl-NL"/>
        </w:rPr>
        <w:t xml:space="preserve">doorlichting </w:t>
      </w:r>
      <w:r w:rsidR="00B05BDD">
        <w:rPr>
          <w:rFonts w:cstheme="minorHAnsi"/>
          <w:szCs w:val="18"/>
          <w:lang w:val="nl-NL"/>
        </w:rPr>
        <w:t>een sterke focus zal hebben op de recente crises</w:t>
      </w:r>
      <w:r w:rsidRPr="00F00C6A">
        <w:rPr>
          <w:rFonts w:cstheme="minorHAnsi"/>
          <w:szCs w:val="18"/>
          <w:lang w:val="nl-NL"/>
        </w:rPr>
        <w:t>.</w:t>
      </w:r>
      <w:r w:rsidR="001C70CB">
        <w:rPr>
          <w:rFonts w:cstheme="minorHAnsi"/>
          <w:szCs w:val="18"/>
          <w:lang w:val="nl-NL"/>
        </w:rPr>
        <w:t xml:space="preserve"> Daarvan kan het leereffect het grootste zijn.</w:t>
      </w:r>
      <w:r w:rsidRPr="00F00C6A">
        <w:rPr>
          <w:rFonts w:cstheme="minorHAnsi"/>
          <w:szCs w:val="18"/>
          <w:lang w:val="nl-NL"/>
        </w:rPr>
        <w:t xml:space="preserve"> </w:t>
      </w:r>
      <w:r w:rsidR="00B05BDD">
        <w:rPr>
          <w:rFonts w:cstheme="minorHAnsi"/>
          <w:szCs w:val="18"/>
          <w:lang w:val="nl-NL"/>
        </w:rPr>
        <w:t xml:space="preserve">De periode 2007-2008 zal wel </w:t>
      </w:r>
      <w:r w:rsidR="004E53F2">
        <w:rPr>
          <w:rFonts w:cstheme="minorHAnsi"/>
          <w:szCs w:val="18"/>
          <w:lang w:val="nl-NL"/>
        </w:rPr>
        <w:t xml:space="preserve">in </w:t>
      </w:r>
      <w:r w:rsidR="00B05BDD">
        <w:rPr>
          <w:rFonts w:cstheme="minorHAnsi"/>
          <w:szCs w:val="18"/>
          <w:lang w:val="nl-NL"/>
        </w:rPr>
        <w:t xml:space="preserve">financieel </w:t>
      </w:r>
      <w:r w:rsidR="004E53F2">
        <w:rPr>
          <w:rFonts w:cstheme="minorHAnsi"/>
          <w:szCs w:val="18"/>
          <w:lang w:val="nl-NL"/>
        </w:rPr>
        <w:t>en</w:t>
      </w:r>
      <w:r w:rsidR="00B05BDD">
        <w:rPr>
          <w:rFonts w:cstheme="minorHAnsi"/>
          <w:szCs w:val="18"/>
          <w:lang w:val="nl-NL"/>
        </w:rPr>
        <w:t xml:space="preserve"> </w:t>
      </w:r>
      <w:r w:rsidR="004E53F2">
        <w:rPr>
          <w:rFonts w:cstheme="minorHAnsi"/>
          <w:szCs w:val="18"/>
          <w:lang w:val="nl-NL"/>
        </w:rPr>
        <w:t xml:space="preserve">in </w:t>
      </w:r>
      <w:r w:rsidR="00B05BDD">
        <w:rPr>
          <w:rFonts w:cstheme="minorHAnsi"/>
          <w:szCs w:val="18"/>
          <w:lang w:val="nl-NL"/>
        </w:rPr>
        <w:t xml:space="preserve">beleidsmatig opzicht beschreven </w:t>
      </w:r>
      <w:r w:rsidR="004E53F2">
        <w:rPr>
          <w:rFonts w:cstheme="minorHAnsi"/>
          <w:szCs w:val="18"/>
          <w:lang w:val="nl-NL"/>
        </w:rPr>
        <w:t>worden</w:t>
      </w:r>
      <w:r w:rsidR="00B05BDD">
        <w:rPr>
          <w:rFonts w:cstheme="minorHAnsi"/>
          <w:szCs w:val="18"/>
          <w:lang w:val="nl-NL"/>
        </w:rPr>
        <w:t xml:space="preserve">. </w:t>
      </w:r>
      <w:r w:rsidRPr="00F00C6A">
        <w:rPr>
          <w:rFonts w:cstheme="minorHAnsi"/>
          <w:szCs w:val="18"/>
          <w:lang w:val="nl-NL"/>
        </w:rPr>
        <w:t xml:space="preserve">Zoveel als mogelijk is de informatie geactualiseerd. </w:t>
      </w:r>
      <w:r w:rsidR="00556895">
        <w:rPr>
          <w:rFonts w:cstheme="minorHAnsi"/>
          <w:szCs w:val="18"/>
          <w:lang w:val="nl-NL"/>
        </w:rPr>
        <w:t>Dit onderwerp is het laatst geëvalueerd in 2006.</w:t>
      </w:r>
      <w:r w:rsidR="00B05BDD">
        <w:rPr>
          <w:rFonts w:cstheme="minorHAnsi"/>
          <w:szCs w:val="18"/>
          <w:lang w:val="nl-NL"/>
        </w:rPr>
        <w:t xml:space="preserve"> </w:t>
      </w:r>
    </w:p>
    <w:p w:rsidRPr="00F00C6A" w:rsidR="00025572" w:rsidP="00A61EFB" w:rsidRDefault="00025572">
      <w:pPr>
        <w:spacing w:after="0"/>
        <w:ind w:left="360" w:hanging="360"/>
        <w:contextualSpacing/>
        <w:rPr>
          <w:rFonts w:cstheme="minorHAnsi"/>
          <w:i/>
          <w:szCs w:val="18"/>
          <w:lang w:val="nl-NL"/>
        </w:rPr>
      </w:pPr>
      <w:r w:rsidRPr="00F00C6A">
        <w:rPr>
          <w:rFonts w:cstheme="minorHAnsi"/>
          <w:i/>
          <w:szCs w:val="18"/>
          <w:lang w:val="nl-NL"/>
        </w:rPr>
        <w:t>Onderzoeksvragen</w:t>
      </w:r>
    </w:p>
    <w:p w:rsidRPr="00F00C6A" w:rsidR="00025572" w:rsidP="00A61EFB" w:rsidRDefault="00025572">
      <w:pPr>
        <w:spacing w:after="0"/>
        <w:ind w:left="360" w:hanging="360"/>
        <w:contextualSpacing/>
        <w:rPr>
          <w:rFonts w:cstheme="minorHAnsi"/>
          <w:szCs w:val="18"/>
          <w:lang w:val="nl-NL"/>
        </w:rPr>
      </w:pPr>
      <w:r w:rsidRPr="00F00C6A">
        <w:rPr>
          <w:rFonts w:cstheme="minorHAnsi"/>
          <w:szCs w:val="18"/>
          <w:lang w:val="nl-NL"/>
        </w:rPr>
        <w:t xml:space="preserve">Deze beleidsdoorlichting beoogt na te gaan in welke mate de centrale doelstelling van het Nederlandse </w:t>
      </w:r>
    </w:p>
    <w:p w:rsidRPr="00F00C6A" w:rsidR="00025572" w:rsidP="00A61EFB" w:rsidRDefault="00025572">
      <w:pPr>
        <w:spacing w:after="0"/>
        <w:contextualSpacing/>
        <w:rPr>
          <w:rFonts w:cstheme="minorHAnsi"/>
          <w:szCs w:val="18"/>
          <w:lang w:val="nl-NL"/>
        </w:rPr>
      </w:pPr>
      <w:proofErr w:type="gramStart"/>
      <w:r w:rsidRPr="00F00C6A">
        <w:rPr>
          <w:rFonts w:cstheme="minorHAnsi"/>
          <w:szCs w:val="18"/>
          <w:lang w:val="nl-NL"/>
        </w:rPr>
        <w:t>beleid</w:t>
      </w:r>
      <w:proofErr w:type="gramEnd"/>
      <w:r w:rsidRPr="00F00C6A">
        <w:rPr>
          <w:rFonts w:cstheme="minorHAnsi"/>
          <w:szCs w:val="18"/>
          <w:lang w:val="nl-NL"/>
        </w:rPr>
        <w:t xml:space="preserve">, n.l. om de humanitaire hulp zo effectief mogelijk te verlenen, is gerealiseerd. </w:t>
      </w:r>
    </w:p>
    <w:p w:rsidRPr="00F00C6A" w:rsidR="00025572" w:rsidP="00A61EFB" w:rsidRDefault="00025572">
      <w:pPr>
        <w:spacing w:after="0"/>
        <w:rPr>
          <w:rFonts w:cstheme="minorHAnsi"/>
          <w:szCs w:val="18"/>
          <w:lang w:val="nl-NL"/>
        </w:rPr>
      </w:pPr>
    </w:p>
    <w:p w:rsidRPr="00F00C6A" w:rsidR="00025572" w:rsidP="00A61EFB" w:rsidRDefault="00025572">
      <w:pPr>
        <w:spacing w:after="0"/>
        <w:rPr>
          <w:rFonts w:cstheme="minorHAnsi"/>
          <w:szCs w:val="18"/>
          <w:lang w:val="nl-NL"/>
        </w:rPr>
      </w:pPr>
      <w:r w:rsidRPr="00F00C6A">
        <w:rPr>
          <w:rFonts w:cstheme="minorHAnsi"/>
          <w:szCs w:val="18"/>
          <w:lang w:val="nl-NL"/>
        </w:rPr>
        <w:t>De belangrijkste onderzoeksvragen zijn:</w:t>
      </w:r>
    </w:p>
    <w:p w:rsidRPr="00F00C6A" w:rsidR="00025572" w:rsidP="006D4EAA" w:rsidRDefault="00025572">
      <w:pPr>
        <w:numPr>
          <w:ilvl w:val="0"/>
          <w:numId w:val="14"/>
        </w:numPr>
        <w:spacing w:after="0"/>
        <w:contextualSpacing/>
        <w:rPr>
          <w:rFonts w:cstheme="minorHAnsi"/>
          <w:szCs w:val="18"/>
          <w:lang w:val="nl-NL"/>
        </w:rPr>
      </w:pPr>
      <w:r w:rsidRPr="00F00C6A">
        <w:rPr>
          <w:rFonts w:cstheme="minorHAnsi"/>
          <w:i/>
          <w:szCs w:val="18"/>
          <w:lang w:val="nl-NL"/>
        </w:rPr>
        <w:t>Relevantie van het beleid</w:t>
      </w:r>
      <w:r w:rsidRPr="00F00C6A">
        <w:rPr>
          <w:rFonts w:cstheme="minorHAnsi"/>
          <w:szCs w:val="18"/>
          <w:lang w:val="nl-NL"/>
        </w:rPr>
        <w:t>: Hoe kan de beleidsformulering en uitvoering worden beoordeeld?</w:t>
      </w:r>
    </w:p>
    <w:p w:rsidRPr="00F00C6A" w:rsidR="00025572" w:rsidP="006D4EAA" w:rsidRDefault="009E699F">
      <w:pPr>
        <w:numPr>
          <w:ilvl w:val="0"/>
          <w:numId w:val="14"/>
        </w:numPr>
        <w:spacing w:after="0"/>
        <w:contextualSpacing/>
        <w:rPr>
          <w:rFonts w:cstheme="minorHAnsi"/>
          <w:szCs w:val="18"/>
          <w:lang w:val="nl-NL"/>
        </w:rPr>
      </w:pPr>
      <w:r w:rsidRPr="00F00C6A">
        <w:rPr>
          <w:rFonts w:cstheme="minorHAnsi"/>
          <w:i/>
          <w:szCs w:val="18"/>
          <w:lang w:val="nl-NL"/>
        </w:rPr>
        <w:t>Efficiëntie</w:t>
      </w:r>
      <w:r w:rsidRPr="00F00C6A">
        <w:rPr>
          <w:rFonts w:cstheme="minorHAnsi"/>
          <w:szCs w:val="18"/>
          <w:lang w:val="nl-NL"/>
        </w:rPr>
        <w:t xml:space="preserve">: </w:t>
      </w:r>
      <w:r w:rsidRPr="00F00C6A" w:rsidR="00025572">
        <w:rPr>
          <w:rFonts w:cstheme="minorHAnsi"/>
          <w:szCs w:val="18"/>
          <w:lang w:val="nl-NL"/>
        </w:rPr>
        <w:t>Op welke wijze en met welke resultaten heeft Nederland bijgedragen aan de verbetering van de kwaliteit van de humanitaire hulp?</w:t>
      </w:r>
    </w:p>
    <w:p w:rsidRPr="00F00C6A" w:rsidR="00025572" w:rsidP="006D4EAA" w:rsidRDefault="00025572">
      <w:pPr>
        <w:numPr>
          <w:ilvl w:val="0"/>
          <w:numId w:val="14"/>
        </w:numPr>
        <w:spacing w:after="0"/>
        <w:contextualSpacing/>
        <w:rPr>
          <w:rFonts w:cstheme="minorHAnsi"/>
          <w:szCs w:val="18"/>
          <w:lang w:val="nl-NL"/>
        </w:rPr>
      </w:pPr>
      <w:r w:rsidRPr="00F00C6A">
        <w:rPr>
          <w:rFonts w:cstheme="minorHAnsi"/>
          <w:i/>
          <w:szCs w:val="18"/>
          <w:lang w:val="nl-NL"/>
        </w:rPr>
        <w:t>Effectiviteit</w:t>
      </w:r>
      <w:r w:rsidRPr="00F00C6A">
        <w:rPr>
          <w:rFonts w:cstheme="minorHAnsi"/>
          <w:szCs w:val="18"/>
          <w:lang w:val="nl-NL"/>
        </w:rPr>
        <w:t xml:space="preserve">: Wat kan uit beschikbare literatuur en evaluatierapporten worden opgemaakt over de effectiviteit van de door Nederland (mede) gesteunde humanitaire hulp en welke verklaringen zijn er voor de bevindingen daarover te geven? </w:t>
      </w:r>
    </w:p>
    <w:p w:rsidRPr="00F00C6A" w:rsidR="00025572" w:rsidP="006D4EAA" w:rsidRDefault="00025572">
      <w:pPr>
        <w:numPr>
          <w:ilvl w:val="0"/>
          <w:numId w:val="14"/>
        </w:numPr>
        <w:spacing w:after="0"/>
        <w:contextualSpacing/>
        <w:rPr>
          <w:rFonts w:cstheme="minorHAnsi"/>
          <w:szCs w:val="18"/>
          <w:lang w:val="nl-NL"/>
        </w:rPr>
      </w:pPr>
      <w:r w:rsidRPr="00F00C6A">
        <w:rPr>
          <w:rFonts w:cstheme="minorHAnsi"/>
          <w:i/>
          <w:szCs w:val="18"/>
          <w:lang w:val="nl-NL"/>
        </w:rPr>
        <w:t>Duurzaamheid</w:t>
      </w:r>
      <w:r w:rsidRPr="00F00C6A">
        <w:rPr>
          <w:rFonts w:cstheme="minorHAnsi"/>
          <w:szCs w:val="18"/>
          <w:lang w:val="nl-NL"/>
        </w:rPr>
        <w:t>: Hoe en met welke resultaten zijn de beleidsintenties om de duurzaamheid van de humanitaire hulp en de overgang van noodhulp naar structurele oplossingen te bevorderen uitgevoerd?</w:t>
      </w:r>
    </w:p>
    <w:p w:rsidRPr="00F00C6A" w:rsidR="00025572" w:rsidP="00A61EFB" w:rsidRDefault="00025572">
      <w:pPr>
        <w:spacing w:after="0"/>
        <w:rPr>
          <w:rFonts w:cstheme="minorHAnsi"/>
          <w:szCs w:val="18"/>
          <w:lang w:val="nl-NL"/>
        </w:rPr>
      </w:pPr>
    </w:p>
    <w:p w:rsidR="00025572" w:rsidP="00A61EFB" w:rsidRDefault="00025572">
      <w:pPr>
        <w:spacing w:after="0"/>
        <w:contextualSpacing/>
        <w:rPr>
          <w:rFonts w:cstheme="minorHAnsi"/>
          <w:i/>
          <w:szCs w:val="18"/>
          <w:lang w:val="nl-NL"/>
        </w:rPr>
      </w:pPr>
      <w:r>
        <w:rPr>
          <w:rFonts w:cstheme="minorHAnsi"/>
          <w:i/>
          <w:szCs w:val="18"/>
          <w:lang w:val="nl-NL"/>
        </w:rPr>
        <w:t>Onderzoeksmethoden</w:t>
      </w:r>
    </w:p>
    <w:p w:rsidR="000B5AB5" w:rsidP="001C70CB" w:rsidRDefault="00025572">
      <w:pPr>
        <w:pStyle w:val="ListParagraph"/>
        <w:numPr>
          <w:ilvl w:val="0"/>
          <w:numId w:val="15"/>
        </w:numPr>
        <w:contextualSpacing/>
        <w:rPr>
          <w:rFonts w:ascii="Verdana" w:hAnsi="Verdana" w:cstheme="minorHAnsi"/>
          <w:sz w:val="18"/>
          <w:szCs w:val="18"/>
        </w:rPr>
      </w:pPr>
      <w:r w:rsidRPr="001C70CB">
        <w:rPr>
          <w:rFonts w:ascii="Verdana" w:hAnsi="Verdana" w:cstheme="minorHAnsi"/>
          <w:sz w:val="18"/>
          <w:szCs w:val="18"/>
        </w:rPr>
        <w:t>Voor deze beleidsdoorlichting is een inventarisatie gemaakt van wat uit de literatuur en beschikbare rapporten is op te maken of de door Nederland (en andere donoren) gewenste veranderingen ook worden doorgevoerd en uiteindelijk leiden tot effectievere hulp</w:t>
      </w:r>
      <w:r w:rsidR="000B5AB5">
        <w:rPr>
          <w:rFonts w:ascii="Verdana" w:hAnsi="Verdana" w:cstheme="minorHAnsi"/>
          <w:sz w:val="18"/>
          <w:szCs w:val="18"/>
        </w:rPr>
        <w:t>;</w:t>
      </w:r>
    </w:p>
    <w:p w:rsidRPr="001C70CB" w:rsidR="00025572" w:rsidP="001C70CB" w:rsidRDefault="00025572">
      <w:pPr>
        <w:pStyle w:val="ListParagraph"/>
        <w:numPr>
          <w:ilvl w:val="0"/>
          <w:numId w:val="15"/>
        </w:numPr>
        <w:contextualSpacing/>
        <w:rPr>
          <w:rFonts w:ascii="Verdana" w:hAnsi="Verdana" w:cstheme="minorHAnsi"/>
          <w:sz w:val="18"/>
          <w:szCs w:val="18"/>
        </w:rPr>
      </w:pPr>
      <w:r w:rsidRPr="001C70CB">
        <w:rPr>
          <w:rFonts w:ascii="Verdana" w:hAnsi="Verdana" w:cstheme="minorHAnsi"/>
          <w:sz w:val="18"/>
          <w:szCs w:val="18"/>
        </w:rPr>
        <w:t>Voor drie humanitaire crises waar Nederland nauw bij betrokken is geweest is onderzoek gedaan naar de organisatie en effectiviteit van de hulp die (mede) door Nederland is verstrekt: in Zuid Soedan (met de nadruk op OCHA), Ethiopië (OCHA en WFP) en over de Syrische vluchtelingen</w:t>
      </w:r>
      <w:r w:rsidRPr="001C70CB" w:rsidR="004E53F2">
        <w:rPr>
          <w:rFonts w:ascii="Verdana" w:hAnsi="Verdana" w:cstheme="minorHAnsi"/>
          <w:sz w:val="18"/>
          <w:szCs w:val="18"/>
        </w:rPr>
        <w:t xml:space="preserve"> </w:t>
      </w:r>
      <w:r w:rsidRPr="001C70CB">
        <w:rPr>
          <w:rFonts w:ascii="Verdana" w:hAnsi="Verdana" w:cstheme="minorHAnsi"/>
          <w:sz w:val="18"/>
          <w:szCs w:val="18"/>
        </w:rPr>
        <w:t xml:space="preserve">(UNHCR) in Libanon, Turkije en Jordanië. </w:t>
      </w:r>
    </w:p>
    <w:p w:rsidRPr="00F00C6A" w:rsidR="00025572" w:rsidP="00A61EFB" w:rsidRDefault="00025572">
      <w:pPr>
        <w:contextualSpacing/>
        <w:rPr>
          <w:rFonts w:cstheme="minorHAnsi"/>
          <w:szCs w:val="18"/>
          <w:lang w:val="nl-NL"/>
        </w:rPr>
      </w:pPr>
    </w:p>
    <w:p w:rsidRPr="00F00C6A" w:rsidR="00025572" w:rsidP="00A61EFB" w:rsidRDefault="00025572">
      <w:pPr>
        <w:contextualSpacing/>
        <w:rPr>
          <w:rFonts w:cstheme="minorHAnsi"/>
          <w:i/>
          <w:szCs w:val="18"/>
          <w:lang w:val="nl-NL"/>
        </w:rPr>
      </w:pPr>
      <w:r>
        <w:rPr>
          <w:rFonts w:cstheme="minorHAnsi"/>
          <w:i/>
          <w:szCs w:val="18"/>
          <w:lang w:val="nl-NL"/>
        </w:rPr>
        <w:t>Planning</w:t>
      </w:r>
    </w:p>
    <w:p w:rsidRPr="00F00C6A" w:rsidR="00025572" w:rsidP="00A61EFB" w:rsidRDefault="00556895">
      <w:pPr>
        <w:contextualSpacing/>
        <w:rPr>
          <w:rFonts w:cstheme="minorHAnsi"/>
          <w:szCs w:val="18"/>
          <w:lang w:val="nl-NL"/>
        </w:rPr>
      </w:pPr>
      <w:r>
        <w:rPr>
          <w:rFonts w:cstheme="minorHAnsi"/>
          <w:szCs w:val="18"/>
          <w:lang w:val="nl-NL"/>
        </w:rPr>
        <w:t xml:space="preserve">Het onderzoek is </w:t>
      </w:r>
      <w:r w:rsidR="001C70CB">
        <w:rPr>
          <w:rFonts w:cstheme="minorHAnsi"/>
          <w:szCs w:val="18"/>
          <w:lang w:val="nl-NL"/>
        </w:rPr>
        <w:t>in vergevorderd stadium</w:t>
      </w:r>
      <w:r>
        <w:rPr>
          <w:rFonts w:cstheme="minorHAnsi"/>
          <w:szCs w:val="18"/>
          <w:lang w:val="nl-NL"/>
        </w:rPr>
        <w:t xml:space="preserve">. </w:t>
      </w:r>
      <w:r w:rsidRPr="00F00C6A" w:rsidR="00025572">
        <w:rPr>
          <w:rFonts w:cstheme="minorHAnsi"/>
          <w:szCs w:val="18"/>
          <w:lang w:val="nl-NL"/>
        </w:rPr>
        <w:t xml:space="preserve">Het onderzoeksrapport zal in juli 2015 aan de minister worden aangeboden waarna het </w:t>
      </w:r>
      <w:r w:rsidR="0091085F">
        <w:rPr>
          <w:rFonts w:cstheme="minorHAnsi"/>
          <w:szCs w:val="18"/>
          <w:lang w:val="nl-NL"/>
        </w:rPr>
        <w:t xml:space="preserve">met </w:t>
      </w:r>
      <w:r w:rsidRPr="00F00C6A" w:rsidR="00025572">
        <w:rPr>
          <w:rFonts w:cstheme="minorHAnsi"/>
          <w:szCs w:val="18"/>
          <w:lang w:val="nl-NL"/>
        </w:rPr>
        <w:t>de beleidsreactie naar de Tweede Kamer gestuurd zal worden.</w:t>
      </w:r>
    </w:p>
    <w:p w:rsidR="00025572" w:rsidP="00A61EFB" w:rsidRDefault="00025572">
      <w:pPr>
        <w:contextualSpacing/>
        <w:rPr>
          <w:rFonts w:cstheme="minorHAnsi"/>
          <w:szCs w:val="18"/>
          <w:lang w:val="nl-NL"/>
        </w:rPr>
      </w:pPr>
    </w:p>
    <w:p w:rsidRPr="00F00C6A" w:rsidR="00025572" w:rsidP="00A61EFB" w:rsidRDefault="00025572">
      <w:pPr>
        <w:contextualSpacing/>
        <w:rPr>
          <w:rFonts w:cstheme="minorHAnsi"/>
          <w:i/>
          <w:szCs w:val="18"/>
          <w:lang w:val="nl-NL"/>
        </w:rPr>
      </w:pPr>
      <w:r w:rsidRPr="00F00C6A">
        <w:rPr>
          <w:rFonts w:cstheme="minorHAnsi"/>
          <w:i/>
          <w:szCs w:val="18"/>
          <w:lang w:val="nl-NL"/>
        </w:rPr>
        <w:t>Onafhankelijkheid</w:t>
      </w:r>
    </w:p>
    <w:p w:rsidRPr="00F00C6A" w:rsidR="00025572" w:rsidP="00A61EFB" w:rsidRDefault="00025572">
      <w:pPr>
        <w:contextualSpacing/>
        <w:rPr>
          <w:rFonts w:cstheme="minorHAnsi"/>
          <w:szCs w:val="18"/>
          <w:lang w:val="nl-NL"/>
        </w:rPr>
      </w:pPr>
      <w:r>
        <w:rPr>
          <w:rFonts w:cstheme="minorHAnsi"/>
          <w:szCs w:val="18"/>
          <w:lang w:val="nl-NL"/>
        </w:rPr>
        <w:t xml:space="preserve">Deze beleidsdoorlichting wordt uitgevoerd door IOB. IOB heeft een onafhankelijke status (zie toelichting </w:t>
      </w:r>
      <w:r w:rsidRPr="006B1345" w:rsidR="006B1345">
        <w:rPr>
          <w:lang w:val="nl-NL"/>
        </w:rPr>
        <w:t>Regeling Periodiek Evaluatieonderzoek</w:t>
      </w:r>
      <w:r>
        <w:rPr>
          <w:rFonts w:cstheme="minorHAnsi"/>
          <w:szCs w:val="18"/>
          <w:lang w:val="nl-NL"/>
        </w:rPr>
        <w:t xml:space="preserve"> 2015 p.8).</w:t>
      </w:r>
    </w:p>
    <w:p w:rsidRPr="00F00C6A" w:rsidR="00025572" w:rsidP="00A61EFB" w:rsidRDefault="00025572">
      <w:pPr>
        <w:contextualSpacing/>
        <w:rPr>
          <w:rFonts w:cstheme="minorHAnsi"/>
          <w:szCs w:val="18"/>
          <w:lang w:val="nl-NL"/>
        </w:rPr>
      </w:pPr>
    </w:p>
    <w:p w:rsidRPr="00E96C4B" w:rsidR="00E96C4B" w:rsidP="00E96C4B" w:rsidRDefault="00E96C4B">
      <w:pPr>
        <w:rPr>
          <w:szCs w:val="18"/>
          <w:lang w:val="nl-NL"/>
        </w:rPr>
      </w:pPr>
    </w:p>
    <w:sectPr w:rsidRPr="00E96C4B" w:rsidR="00E96C4B" w:rsidSect="00E829E0">
      <w:pgSz w:w="12240" w:h="15840"/>
      <w:pgMar w:top="1440" w:right="1183"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86" w:rsidRDefault="00DE5486" w:rsidP="00DE5486">
      <w:pPr>
        <w:spacing w:after="0"/>
      </w:pPr>
      <w:r>
        <w:separator/>
      </w:r>
    </w:p>
  </w:endnote>
  <w:endnote w:type="continuationSeparator" w:id="0">
    <w:p w:rsidR="00DE5486" w:rsidRDefault="00DE5486" w:rsidP="00DE5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86" w:rsidRDefault="00DE5486" w:rsidP="00DE5486">
      <w:pPr>
        <w:spacing w:after="0"/>
      </w:pPr>
      <w:r>
        <w:separator/>
      </w:r>
    </w:p>
  </w:footnote>
  <w:footnote w:type="continuationSeparator" w:id="0">
    <w:p w:rsidR="00DE5486" w:rsidRDefault="00DE5486" w:rsidP="00DE5486">
      <w:pPr>
        <w:spacing w:after="0"/>
      </w:pPr>
      <w:r>
        <w:continuationSeparator/>
      </w:r>
    </w:p>
  </w:footnote>
  <w:footnote w:id="1">
    <w:p w:rsidR="00DE5486" w:rsidRPr="00FD754C" w:rsidRDefault="00DE5486" w:rsidP="00DE5486">
      <w:pPr>
        <w:pStyle w:val="FootnoteText"/>
        <w:rPr>
          <w:rFonts w:ascii="Verdana" w:hAnsi="Verdana"/>
          <w:sz w:val="16"/>
          <w:szCs w:val="16"/>
        </w:rPr>
      </w:pPr>
      <w:r w:rsidRPr="00E21C57">
        <w:rPr>
          <w:rFonts w:ascii="Verdana" w:hAnsi="Verdana"/>
          <w:sz w:val="16"/>
          <w:szCs w:val="16"/>
          <w:vertAlign w:val="superscript"/>
        </w:rPr>
        <w:footnoteRef/>
      </w:r>
      <w:r w:rsidRPr="00E21C57">
        <w:rPr>
          <w:rFonts w:ascii="Verdana" w:hAnsi="Verdana"/>
          <w:sz w:val="16"/>
          <w:szCs w:val="16"/>
          <w:vertAlign w:val="superscript"/>
        </w:rPr>
        <w:t xml:space="preserve"> </w:t>
      </w:r>
      <w:r w:rsidRPr="00FD754C">
        <w:rPr>
          <w:rFonts w:ascii="Verdana" w:hAnsi="Verdana"/>
          <w:sz w:val="16"/>
          <w:szCs w:val="16"/>
        </w:rPr>
        <w:t xml:space="preserve"> </w:t>
      </w:r>
      <w:r w:rsidR="00E21C57">
        <w:rPr>
          <w:rFonts w:ascii="Verdana" w:hAnsi="Verdana"/>
          <w:sz w:val="16"/>
          <w:szCs w:val="16"/>
        </w:rPr>
        <w:t>F</w:t>
      </w:r>
      <w:r w:rsidRPr="00FD754C">
        <w:rPr>
          <w:rFonts w:ascii="Verdana" w:hAnsi="Verdana"/>
          <w:sz w:val="16"/>
          <w:szCs w:val="16"/>
        </w:rPr>
        <w:t>ormulering in de Rijksbegrotingen 2008 en 2009</w:t>
      </w:r>
      <w:r>
        <w:rPr>
          <w:rFonts w:ascii="Verdana" w:hAnsi="Verdana"/>
          <w:sz w:val="16"/>
          <w:szCs w:val="16"/>
        </w:rPr>
        <w:t>.</w:t>
      </w:r>
    </w:p>
  </w:footnote>
  <w:footnote w:id="2">
    <w:p w:rsidR="00E21C57" w:rsidRPr="00E21C57" w:rsidRDefault="00E21C57" w:rsidP="00E21C57">
      <w:pPr>
        <w:pStyle w:val="FootnoteText"/>
        <w:rPr>
          <w:rFonts w:ascii="Verdana" w:hAnsi="Verdana"/>
          <w:sz w:val="16"/>
          <w:szCs w:val="16"/>
        </w:rPr>
      </w:pPr>
      <w:r>
        <w:rPr>
          <w:rStyle w:val="FootnoteReference"/>
        </w:rPr>
        <w:footnoteRef/>
      </w:r>
      <w:r>
        <w:t xml:space="preserve"> </w:t>
      </w:r>
      <w:r w:rsidRPr="00E21C57">
        <w:rPr>
          <w:rFonts w:ascii="Verdana" w:hAnsi="Verdana"/>
          <w:sz w:val="16"/>
          <w:szCs w:val="16"/>
        </w:rPr>
        <w:t>Voor de Rijksbegroting 2014 valt het PREP onder XVII Buitenlandse Handel en Ontwikkelingssamenwerking, begrotingsartikel 2 ‘Duurzame ontwikkeling, voedselzekerheid en water</w:t>
      </w:r>
      <w:r>
        <w:rPr>
          <w:rFonts w:ascii="Verdana" w:hAnsi="Verdana"/>
          <w:sz w:val="16"/>
          <w:szCs w:val="16"/>
        </w:rPr>
        <w:t>’</w:t>
      </w:r>
      <w:r w:rsidRPr="00E21C57">
        <w:rPr>
          <w:rFonts w:ascii="Verdana" w:hAnsi="Verdana"/>
          <w:sz w:val="16"/>
          <w:szCs w:val="16"/>
        </w:rPr>
        <w:t>.</w:t>
      </w:r>
    </w:p>
    <w:p w:rsidR="00E21C57" w:rsidRDefault="00E21C5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41F"/>
    <w:multiLevelType w:val="hybridMultilevel"/>
    <w:tmpl w:val="5A9C6ADC"/>
    <w:lvl w:ilvl="0" w:tplc="F1CCBDF8">
      <w:start w:val="1"/>
      <w:numFmt w:val="lowerLetter"/>
      <w:lvlText w:val="%1)"/>
      <w:lvlJc w:val="left"/>
      <w:pPr>
        <w:ind w:left="720" w:hanging="360"/>
      </w:pPr>
      <w:rPr>
        <w:rFonts w:asciiTheme="minorHAnsi" w:eastAsiaTheme="minorHAnsi" w:hAnsiTheme="minorHAnsi" w:cs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3504D2"/>
    <w:multiLevelType w:val="hybridMultilevel"/>
    <w:tmpl w:val="4EB261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B12636B"/>
    <w:multiLevelType w:val="hybridMultilevel"/>
    <w:tmpl w:val="B798E9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D436459"/>
    <w:multiLevelType w:val="hybridMultilevel"/>
    <w:tmpl w:val="1364549E"/>
    <w:lvl w:ilvl="0" w:tplc="0809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17DA2C85"/>
    <w:multiLevelType w:val="hybridMultilevel"/>
    <w:tmpl w:val="4CEED4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D25730"/>
    <w:multiLevelType w:val="hybridMultilevel"/>
    <w:tmpl w:val="46CC6D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C454650"/>
    <w:multiLevelType w:val="hybridMultilevel"/>
    <w:tmpl w:val="20663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671505"/>
    <w:multiLevelType w:val="hybridMultilevel"/>
    <w:tmpl w:val="284A2D68"/>
    <w:lvl w:ilvl="0" w:tplc="0409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nsid w:val="34893AF1"/>
    <w:multiLevelType w:val="hybridMultilevel"/>
    <w:tmpl w:val="CD86081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32C29D8"/>
    <w:multiLevelType w:val="hybridMultilevel"/>
    <w:tmpl w:val="FE849934"/>
    <w:lvl w:ilvl="0" w:tplc="08090001">
      <w:start w:val="1"/>
      <w:numFmt w:val="bullet"/>
      <w:lvlText w:val=""/>
      <w:lvlJc w:val="left"/>
      <w:pPr>
        <w:ind w:left="1080" w:hanging="360"/>
      </w:pPr>
      <w:rPr>
        <w:rFonts w:ascii="Symbol" w:hAnsi="Symbol" w:hint="default"/>
      </w:rPr>
    </w:lvl>
    <w:lvl w:ilvl="1" w:tplc="6742D23A">
      <w:start w:val="1"/>
      <w:numFmt w:val="lowerLetter"/>
      <w:lvlText w:val="%2)"/>
      <w:lvlJc w:val="left"/>
      <w:pPr>
        <w:ind w:left="1800" w:hanging="360"/>
      </w:pPr>
      <w:rPr>
        <w:rFonts w:ascii="Times New Roman" w:hAnsi="Times New Roman" w:hint="default"/>
        <w:b w:val="0"/>
        <w:i w:val="0"/>
        <w:sz w:val="24"/>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49016634"/>
    <w:multiLevelType w:val="multilevel"/>
    <w:tmpl w:val="A07648F6"/>
    <w:lvl w:ilvl="0">
      <w:start w:val="2"/>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1">
    <w:nsid w:val="585623C0"/>
    <w:multiLevelType w:val="hybridMultilevel"/>
    <w:tmpl w:val="90FA4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17A5012"/>
    <w:multiLevelType w:val="hybridMultilevel"/>
    <w:tmpl w:val="179AE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1C3391D"/>
    <w:multiLevelType w:val="hybridMultilevel"/>
    <w:tmpl w:val="C7909A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22A77C0"/>
    <w:multiLevelType w:val="hybridMultilevel"/>
    <w:tmpl w:val="89B2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14"/>
  </w:num>
  <w:num w:numId="6">
    <w:abstractNumId w:val="1"/>
  </w:num>
  <w:num w:numId="7">
    <w:abstractNumId w:val="2"/>
  </w:num>
  <w:num w:numId="8">
    <w:abstractNumId w:val="12"/>
  </w:num>
  <w:num w:numId="9">
    <w:abstractNumId w:val="5"/>
  </w:num>
  <w:num w:numId="10">
    <w:abstractNumId w:val="0"/>
  </w:num>
  <w:num w:numId="11">
    <w:abstractNumId w:val="10"/>
  </w:num>
  <w:num w:numId="12">
    <w:abstractNumId w:val="13"/>
  </w:num>
  <w:num w:numId="13">
    <w:abstractNumId w:val="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8E"/>
    <w:rsid w:val="00025572"/>
    <w:rsid w:val="00043395"/>
    <w:rsid w:val="000959DD"/>
    <w:rsid w:val="00095A13"/>
    <w:rsid w:val="000B5AB5"/>
    <w:rsid w:val="00156A6C"/>
    <w:rsid w:val="001B4E74"/>
    <w:rsid w:val="001C70CB"/>
    <w:rsid w:val="001F4AEB"/>
    <w:rsid w:val="00204DE4"/>
    <w:rsid w:val="004E2F4C"/>
    <w:rsid w:val="004E53F2"/>
    <w:rsid w:val="00556895"/>
    <w:rsid w:val="005D6A59"/>
    <w:rsid w:val="00610139"/>
    <w:rsid w:val="006823BE"/>
    <w:rsid w:val="006B1345"/>
    <w:rsid w:val="006D2455"/>
    <w:rsid w:val="006D4EAA"/>
    <w:rsid w:val="00720235"/>
    <w:rsid w:val="00722F15"/>
    <w:rsid w:val="00764C51"/>
    <w:rsid w:val="007657C1"/>
    <w:rsid w:val="0090088E"/>
    <w:rsid w:val="0091085F"/>
    <w:rsid w:val="00920DEE"/>
    <w:rsid w:val="00953359"/>
    <w:rsid w:val="009E699F"/>
    <w:rsid w:val="00AB1E1C"/>
    <w:rsid w:val="00AD49D9"/>
    <w:rsid w:val="00B05BDD"/>
    <w:rsid w:val="00B22E72"/>
    <w:rsid w:val="00BD3C1E"/>
    <w:rsid w:val="00C27A45"/>
    <w:rsid w:val="00D215C7"/>
    <w:rsid w:val="00D309B7"/>
    <w:rsid w:val="00DE5486"/>
    <w:rsid w:val="00E21C57"/>
    <w:rsid w:val="00E251F3"/>
    <w:rsid w:val="00E829E0"/>
    <w:rsid w:val="00E96C4B"/>
    <w:rsid w:val="00F70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rsid w:val="00DE5486"/>
    <w:pPr>
      <w:spacing w:after="0"/>
    </w:pPr>
    <w:rPr>
      <w:rFonts w:ascii="Times New Roman" w:eastAsia="Times New Roman" w:hAnsi="Times New Roman" w:cs="Times New Roman"/>
      <w:sz w:val="20"/>
      <w:szCs w:val="20"/>
      <w:lang w:val="nl-NL" w:eastAsia="nl-NL"/>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rsid w:val="00DE5486"/>
    <w:rPr>
      <w:rFonts w:ascii="Times New Roman" w:eastAsia="Times New Roman" w:hAnsi="Times New Roman" w:cs="Times New Roman"/>
      <w:sz w:val="20"/>
      <w:szCs w:val="20"/>
      <w:lang w:val="nl-NL" w:eastAsia="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rsid w:val="00BD3C1E"/>
    <w:rPr>
      <w:vertAlign w:val="superscript"/>
    </w:rPr>
  </w:style>
  <w:style w:type="paragraph" w:styleId="ListParagraph">
    <w:name w:val="List Paragraph"/>
    <w:basedOn w:val="Normal"/>
    <w:uiPriority w:val="34"/>
    <w:qFormat/>
    <w:rsid w:val="00BD3C1E"/>
    <w:pPr>
      <w:spacing w:after="0"/>
      <w:ind w:left="720"/>
    </w:pPr>
    <w:rPr>
      <w:rFonts w:ascii="Times New Roman" w:eastAsia="Times New Roman" w:hAnsi="Times New Roman" w:cs="Times New Roman"/>
      <w:sz w:val="24"/>
      <w:szCs w:val="24"/>
      <w:lang w:val="nl-NL" w:eastAsia="zh-CN"/>
    </w:rPr>
  </w:style>
  <w:style w:type="character" w:styleId="CommentReference">
    <w:name w:val="annotation reference"/>
    <w:basedOn w:val="DefaultParagraphFont"/>
    <w:uiPriority w:val="99"/>
    <w:semiHidden/>
    <w:unhideWhenUsed/>
    <w:rsid w:val="00204DE4"/>
    <w:rPr>
      <w:sz w:val="16"/>
      <w:szCs w:val="16"/>
    </w:rPr>
  </w:style>
  <w:style w:type="paragraph" w:styleId="CommentText">
    <w:name w:val="annotation text"/>
    <w:basedOn w:val="Normal"/>
    <w:link w:val="CommentTextChar"/>
    <w:uiPriority w:val="99"/>
    <w:semiHidden/>
    <w:unhideWhenUsed/>
    <w:rsid w:val="00204DE4"/>
    <w:rPr>
      <w:sz w:val="20"/>
      <w:szCs w:val="20"/>
    </w:rPr>
  </w:style>
  <w:style w:type="character" w:customStyle="1" w:styleId="CommentTextChar">
    <w:name w:val="Comment Text Char"/>
    <w:basedOn w:val="DefaultParagraphFont"/>
    <w:link w:val="CommentText"/>
    <w:uiPriority w:val="99"/>
    <w:semiHidden/>
    <w:rsid w:val="00204DE4"/>
    <w:rPr>
      <w:sz w:val="20"/>
      <w:szCs w:val="20"/>
    </w:rPr>
  </w:style>
  <w:style w:type="paragraph" w:styleId="CommentSubject">
    <w:name w:val="annotation subject"/>
    <w:basedOn w:val="CommentText"/>
    <w:next w:val="CommentText"/>
    <w:link w:val="CommentSubjectChar"/>
    <w:uiPriority w:val="99"/>
    <w:semiHidden/>
    <w:unhideWhenUsed/>
    <w:rsid w:val="00204DE4"/>
    <w:rPr>
      <w:b/>
      <w:bCs/>
    </w:rPr>
  </w:style>
  <w:style w:type="character" w:customStyle="1" w:styleId="CommentSubjectChar">
    <w:name w:val="Comment Subject Char"/>
    <w:basedOn w:val="CommentTextChar"/>
    <w:link w:val="CommentSubject"/>
    <w:uiPriority w:val="99"/>
    <w:semiHidden/>
    <w:rsid w:val="00204DE4"/>
    <w:rPr>
      <w:b/>
      <w:bCs/>
      <w:sz w:val="20"/>
      <w:szCs w:val="20"/>
    </w:rPr>
  </w:style>
  <w:style w:type="paragraph" w:styleId="BalloonText">
    <w:name w:val="Balloon Text"/>
    <w:basedOn w:val="Normal"/>
    <w:link w:val="BalloonTextChar"/>
    <w:uiPriority w:val="99"/>
    <w:semiHidden/>
    <w:unhideWhenUsed/>
    <w:rsid w:val="00204D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rsid w:val="00DE5486"/>
    <w:pPr>
      <w:spacing w:after="0"/>
    </w:pPr>
    <w:rPr>
      <w:rFonts w:ascii="Times New Roman" w:eastAsia="Times New Roman" w:hAnsi="Times New Roman" w:cs="Times New Roman"/>
      <w:sz w:val="20"/>
      <w:szCs w:val="20"/>
      <w:lang w:val="nl-NL" w:eastAsia="nl-NL"/>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rsid w:val="00DE5486"/>
    <w:rPr>
      <w:rFonts w:ascii="Times New Roman" w:eastAsia="Times New Roman" w:hAnsi="Times New Roman" w:cs="Times New Roman"/>
      <w:sz w:val="20"/>
      <w:szCs w:val="20"/>
      <w:lang w:val="nl-NL" w:eastAsia="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rsid w:val="00BD3C1E"/>
    <w:rPr>
      <w:vertAlign w:val="superscript"/>
    </w:rPr>
  </w:style>
  <w:style w:type="paragraph" w:styleId="ListParagraph">
    <w:name w:val="List Paragraph"/>
    <w:basedOn w:val="Normal"/>
    <w:uiPriority w:val="34"/>
    <w:qFormat/>
    <w:rsid w:val="00BD3C1E"/>
    <w:pPr>
      <w:spacing w:after="0"/>
      <w:ind w:left="720"/>
    </w:pPr>
    <w:rPr>
      <w:rFonts w:ascii="Times New Roman" w:eastAsia="Times New Roman" w:hAnsi="Times New Roman" w:cs="Times New Roman"/>
      <w:sz w:val="24"/>
      <w:szCs w:val="24"/>
      <w:lang w:val="nl-NL" w:eastAsia="zh-CN"/>
    </w:rPr>
  </w:style>
  <w:style w:type="character" w:styleId="CommentReference">
    <w:name w:val="annotation reference"/>
    <w:basedOn w:val="DefaultParagraphFont"/>
    <w:uiPriority w:val="99"/>
    <w:semiHidden/>
    <w:unhideWhenUsed/>
    <w:rsid w:val="00204DE4"/>
    <w:rPr>
      <w:sz w:val="16"/>
      <w:szCs w:val="16"/>
    </w:rPr>
  </w:style>
  <w:style w:type="paragraph" w:styleId="CommentText">
    <w:name w:val="annotation text"/>
    <w:basedOn w:val="Normal"/>
    <w:link w:val="CommentTextChar"/>
    <w:uiPriority w:val="99"/>
    <w:semiHidden/>
    <w:unhideWhenUsed/>
    <w:rsid w:val="00204DE4"/>
    <w:rPr>
      <w:sz w:val="20"/>
      <w:szCs w:val="20"/>
    </w:rPr>
  </w:style>
  <w:style w:type="character" w:customStyle="1" w:styleId="CommentTextChar">
    <w:name w:val="Comment Text Char"/>
    <w:basedOn w:val="DefaultParagraphFont"/>
    <w:link w:val="CommentText"/>
    <w:uiPriority w:val="99"/>
    <w:semiHidden/>
    <w:rsid w:val="00204DE4"/>
    <w:rPr>
      <w:sz w:val="20"/>
      <w:szCs w:val="20"/>
    </w:rPr>
  </w:style>
  <w:style w:type="paragraph" w:styleId="CommentSubject">
    <w:name w:val="annotation subject"/>
    <w:basedOn w:val="CommentText"/>
    <w:next w:val="CommentText"/>
    <w:link w:val="CommentSubjectChar"/>
    <w:uiPriority w:val="99"/>
    <w:semiHidden/>
    <w:unhideWhenUsed/>
    <w:rsid w:val="00204DE4"/>
    <w:rPr>
      <w:b/>
      <w:bCs/>
    </w:rPr>
  </w:style>
  <w:style w:type="character" w:customStyle="1" w:styleId="CommentSubjectChar">
    <w:name w:val="Comment Subject Char"/>
    <w:basedOn w:val="CommentTextChar"/>
    <w:link w:val="CommentSubject"/>
    <w:uiPriority w:val="99"/>
    <w:semiHidden/>
    <w:rsid w:val="00204DE4"/>
    <w:rPr>
      <w:b/>
      <w:bCs/>
      <w:sz w:val="20"/>
      <w:szCs w:val="20"/>
    </w:rPr>
  </w:style>
  <w:style w:type="paragraph" w:styleId="BalloonText">
    <w:name w:val="Balloon Text"/>
    <w:basedOn w:val="Normal"/>
    <w:link w:val="BalloonTextChar"/>
    <w:uiPriority w:val="99"/>
    <w:semiHidden/>
    <w:unhideWhenUsed/>
    <w:rsid w:val="00204D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11541">
      <w:bodyDiv w:val="1"/>
      <w:marLeft w:val="0"/>
      <w:marRight w:val="0"/>
      <w:marTop w:val="0"/>
      <w:marBottom w:val="0"/>
      <w:divBdr>
        <w:top w:val="none" w:sz="0" w:space="0" w:color="auto"/>
        <w:left w:val="none" w:sz="0" w:space="0" w:color="auto"/>
        <w:bottom w:val="none" w:sz="0" w:space="0" w:color="auto"/>
        <w:right w:val="none" w:sz="0" w:space="0" w:color="auto"/>
      </w:divBdr>
      <w:divsChild>
        <w:div w:id="1005673040">
          <w:marLeft w:val="0"/>
          <w:marRight w:val="0"/>
          <w:marTop w:val="0"/>
          <w:marBottom w:val="0"/>
          <w:divBdr>
            <w:top w:val="none" w:sz="0" w:space="0" w:color="auto"/>
            <w:left w:val="none" w:sz="0" w:space="0" w:color="auto"/>
            <w:bottom w:val="none" w:sz="0" w:space="0" w:color="auto"/>
            <w:right w:val="none" w:sz="0" w:space="0" w:color="auto"/>
          </w:divBdr>
          <w:divsChild>
            <w:div w:id="64957271">
              <w:marLeft w:val="0"/>
              <w:marRight w:val="0"/>
              <w:marTop w:val="0"/>
              <w:marBottom w:val="0"/>
              <w:divBdr>
                <w:top w:val="none" w:sz="0" w:space="0" w:color="auto"/>
                <w:left w:val="none" w:sz="0" w:space="0" w:color="auto"/>
                <w:bottom w:val="none" w:sz="0" w:space="0" w:color="auto"/>
                <w:right w:val="none" w:sz="0" w:space="0" w:color="auto"/>
              </w:divBdr>
              <w:divsChild>
                <w:div w:id="982198298">
                  <w:marLeft w:val="0"/>
                  <w:marRight w:val="0"/>
                  <w:marTop w:val="0"/>
                  <w:marBottom w:val="0"/>
                  <w:divBdr>
                    <w:top w:val="none" w:sz="0" w:space="0" w:color="auto"/>
                    <w:left w:val="none" w:sz="0" w:space="0" w:color="auto"/>
                    <w:bottom w:val="none" w:sz="0" w:space="0" w:color="auto"/>
                    <w:right w:val="none" w:sz="0" w:space="0" w:color="auto"/>
                  </w:divBdr>
                  <w:divsChild>
                    <w:div w:id="731270985">
                      <w:marLeft w:val="0"/>
                      <w:marRight w:val="0"/>
                      <w:marTop w:val="0"/>
                      <w:marBottom w:val="0"/>
                      <w:divBdr>
                        <w:top w:val="none" w:sz="0" w:space="0" w:color="auto"/>
                        <w:left w:val="none" w:sz="0" w:space="0" w:color="auto"/>
                        <w:bottom w:val="none" w:sz="0" w:space="0" w:color="auto"/>
                        <w:right w:val="none" w:sz="0" w:space="0" w:color="auto"/>
                      </w:divBdr>
                      <w:divsChild>
                        <w:div w:id="1967395575">
                          <w:marLeft w:val="0"/>
                          <w:marRight w:val="0"/>
                          <w:marTop w:val="0"/>
                          <w:marBottom w:val="0"/>
                          <w:divBdr>
                            <w:top w:val="none" w:sz="0" w:space="0" w:color="auto"/>
                            <w:left w:val="none" w:sz="0" w:space="0" w:color="auto"/>
                            <w:bottom w:val="none" w:sz="0" w:space="0" w:color="auto"/>
                            <w:right w:val="none" w:sz="0" w:space="0" w:color="auto"/>
                          </w:divBdr>
                          <w:divsChild>
                            <w:div w:id="14586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1408</ap:Words>
  <ap:Characters>7748</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2015-04-15T07:46:00.0000000Z</lastPrinted>
  <dcterms:created xsi:type="dcterms:W3CDTF">2015-04-29T09:59:00.0000000Z</dcterms:created>
  <dcterms:modified xsi:type="dcterms:W3CDTF">2015-04-29T09:59:00.0000000Z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0x0101005BD54F4368C54F48B217CABCA4C3C99C</vt:lpwstr>
  </property>
</Properties>
</file>