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W14.14.0350/IV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20 november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C02F4" w:rsidRDefault="00736907">
              <w:r>
                <w:t>Bij Kabinetsmissive van 2 oktober 2014, no.2014001903, heeft Uwe Majesteit, op voordracht van de Minister van Infrastructuur en Milieu, bij de Afdeling advisering van de Raad van State ter overweging aanhangig gemaakt het voorstel van wet tot wijziging van</w:t>
              </w:r>
              <w:r>
                <w:t xml:space="preserve"> de Wet rijonderricht motorrijtuigen 1993 (wijzigingen naar aanleiding van evaluatie, nascholing beroepschauffeurs, bestuursrechtelijke handhaving en enkele verbeteringen), met memorie van toelichting.</w:t>
              </w:r>
            </w:p>
          </w:sdtContent>
        </w:sdt>
        <w:p w:rsidRPr="00831363" w:rsidR="00CE4655" w:rsidP="003C7608" w:rsidRDefault="00CE4655"/>
        <w:sdt>
          <w:sdtPr>
            <w:alias w:val="VrijeTekst1"/>
            <w:tag w:val="VrijeTekst1"/>
            <w:id w:val="-437221631"/>
            <w:lock w:val="sdtLocked"/>
          </w:sdtPr>
          <w:sdtEndPr/>
          <w:sdtContent>
            <w:p w:rsidR="004878E3" w:rsidP="00EF2582" w:rsidRDefault="00736907">
              <w:r>
                <w:t>Het wetsvoorstel wijzigt de Wet rijonderricht motor</w:t>
              </w:r>
              <w:r>
                <w:t>rijtuigen 1993 (WRM) in verband met de evaluatie van de herziening van de WRM uit 2009, gewijzigde inzichten met betrekking tot de nascholing van beroepschauffeurs en de wens om de Inspectie Leefomgeving en Transport (ILT) aan te wijzen als handhavende ins</w:t>
              </w:r>
              <w:r>
                <w:t xml:space="preserve">tantie. </w:t>
              </w:r>
            </w:p>
            <w:p w:rsidR="00EF2582" w:rsidP="00EF2582" w:rsidRDefault="00736907">
              <w:r>
                <w:br/>
              </w:r>
              <w:r w:rsidRPr="00B50E33">
                <w:t xml:space="preserve">De Afdeling advisering van de Raad van State </w:t>
              </w:r>
              <w:r>
                <w:t>maakt opmerkingen over de invoering van bestuursrechtelijke handhaving naast de bestaande strafrechtelijke handhaving (duaal sanctiestelsel). Zij mist een dragende motivering voor een duaal sanctiestel</w:t>
              </w:r>
              <w:r>
                <w:t>sel</w:t>
              </w:r>
              <w:r w:rsidRPr="00B50E33">
                <w:t>. Daarnaast blijkt niet uit de toelichting dat de aanmerkelijke verschillen in rechtspositie en rechtsbescherming van degene jegens wie de bestuursrechtelijke of strafrechtelijke handhaving zich richt, bij de voorbereiding van het wetsvoorstel zijn betr</w:t>
              </w:r>
              <w:r w:rsidRPr="00B50E33">
                <w:t>okken.</w:t>
              </w:r>
              <w:r>
                <w:t xml:space="preserve"> De Afdeling i</w:t>
              </w:r>
              <w:r w:rsidRPr="00B50E33">
                <w:t xml:space="preserve">s van oordeel dat in verband </w:t>
              </w:r>
              <w:r>
                <w:t>met deze opmerkingen</w:t>
              </w:r>
              <w:r w:rsidRPr="00B50E33">
                <w:t xml:space="preserve"> aanpassing van het wetsvoorstel wenselijk is</w:t>
              </w:r>
              <w:r>
                <w:t>.</w:t>
              </w:r>
            </w:p>
            <w:p w:rsidR="00EF2582" w:rsidP="00EF2582" w:rsidRDefault="00736907"/>
            <w:p w:rsidRPr="00B96B4A" w:rsidR="00EF2582" w:rsidP="00EF2582" w:rsidRDefault="00736907">
              <w:r w:rsidRPr="00B96B4A">
                <w:t>1.</w:t>
              </w:r>
              <w:r w:rsidRPr="00B96B4A">
                <w:tab/>
              </w:r>
              <w:r>
                <w:rPr>
                  <w:u w:val="single"/>
                </w:rPr>
                <w:t>Het voorgestelde duale sanctiestelsel</w:t>
              </w:r>
            </w:p>
            <w:p w:rsidRPr="00B96B4A" w:rsidR="00EF2582" w:rsidP="00EF2582" w:rsidRDefault="00736907"/>
            <w:p w:rsidRPr="00B96B4A" w:rsidR="00C54FD7" w:rsidP="00C54FD7" w:rsidRDefault="00736907">
              <w:r w:rsidRPr="00B96B4A">
                <w:t xml:space="preserve">De WRM wordt </w:t>
              </w:r>
              <w:r>
                <w:t>thans</w:t>
              </w:r>
              <w:r w:rsidRPr="00B96B4A">
                <w:t xml:space="preserve"> door middel van het strafrecht gehandhaafd.</w:t>
              </w:r>
              <w:r w:rsidRPr="00B96B4A">
                <w:rPr>
                  <w:vertAlign w:val="superscript"/>
                </w:rPr>
                <w:footnoteReference w:id="1"/>
              </w:r>
              <w:r>
                <w:t xml:space="preserve"> De strafrechtelijke handhaving van de o</w:t>
              </w:r>
              <w:r w:rsidRPr="00B96B4A">
                <w:t>vertredingen van de WRM</w:t>
              </w:r>
              <w:r>
                <w:t xml:space="preserve"> bestaat uit het opleggen van een strafbeschikking</w:t>
              </w:r>
              <w:r w:rsidRPr="00B96B4A">
                <w:t>.</w:t>
              </w:r>
              <w:r w:rsidRPr="00B96B4A">
                <w:rPr>
                  <w:vertAlign w:val="superscript"/>
                </w:rPr>
                <w:footnoteReference w:id="2"/>
              </w:r>
              <w:r w:rsidRPr="00B96B4A">
                <w:t xml:space="preserve"> Ingevolge het </w:t>
              </w:r>
              <w:r>
                <w:t>wets</w:t>
              </w:r>
              <w:r w:rsidRPr="00B96B4A">
                <w:t xml:space="preserve">voorstel krijgt de Minister </w:t>
              </w:r>
              <w:r>
                <w:t xml:space="preserve">van Infrastructuur en Milieu </w:t>
              </w:r>
              <w:r w:rsidRPr="00B96B4A">
                <w:t>de bevoegdheid om voor alle overtredingen uit deze wet een bestuu</w:t>
              </w:r>
              <w:r w:rsidRPr="00B96B4A">
                <w:t>rlijke boete op te leggen.</w:t>
              </w:r>
              <w:r w:rsidRPr="00B96B4A">
                <w:rPr>
                  <w:vertAlign w:val="superscript"/>
                </w:rPr>
                <w:footnoteReference w:id="3"/>
              </w:r>
              <w:r w:rsidRPr="00B96B4A">
                <w:t xml:space="preserve"> </w:t>
              </w:r>
              <w:r>
                <w:t>I</w:t>
              </w:r>
              <w:r w:rsidRPr="00B96B4A">
                <w:t xml:space="preserve">edere overtreding van de WRM </w:t>
              </w:r>
              <w:r>
                <w:t>kan zodoende</w:t>
              </w:r>
              <w:r w:rsidRPr="00B96B4A">
                <w:t xml:space="preserve"> </w:t>
              </w:r>
              <w:r>
                <w:t xml:space="preserve">met </w:t>
              </w:r>
              <w:r w:rsidRPr="00B96B4A">
                <w:t>zowel strafrechtelijk</w:t>
              </w:r>
              <w:r>
                <w:t>e</w:t>
              </w:r>
              <w:r w:rsidRPr="00B96B4A">
                <w:t xml:space="preserve"> als bestuursrechtelijk</w:t>
              </w:r>
              <w:r>
                <w:t>e</w:t>
              </w:r>
              <w:r w:rsidRPr="00B96B4A">
                <w:t xml:space="preserve"> sancties worden gehandhaafd (duaal handhavingsstelsel). Het gaat om de volgende overtredingen:</w:t>
              </w:r>
              <w:r w:rsidRPr="00B96B4A">
                <w:rPr>
                  <w:vertAlign w:val="superscript"/>
                </w:rPr>
                <w:footnoteReference w:id="4"/>
              </w:r>
            </w:p>
            <w:p w:rsidRPr="00B96B4A" w:rsidR="00C54FD7" w:rsidP="00C54FD7" w:rsidRDefault="00736907">
              <w:pPr>
                <w:numPr>
                  <w:ilvl w:val="0"/>
                  <w:numId w:val="2"/>
                </w:numPr>
                <w:contextualSpacing/>
              </w:pPr>
              <w:r w:rsidRPr="00B96B4A">
                <w:t xml:space="preserve">het vereiste dat rijinstructeurs </w:t>
              </w:r>
              <w:r w:rsidRPr="00B96B4A">
                <w:t>beschikken over een certificaat;</w:t>
              </w:r>
              <w:r w:rsidRPr="00B96B4A">
                <w:rPr>
                  <w:vertAlign w:val="superscript"/>
                </w:rPr>
                <w:footnoteReference w:id="5"/>
              </w:r>
            </w:p>
            <w:p w:rsidRPr="00B96B4A" w:rsidR="00C54FD7" w:rsidP="00C54FD7" w:rsidRDefault="00736907">
              <w:pPr>
                <w:numPr>
                  <w:ilvl w:val="0"/>
                  <w:numId w:val="2"/>
                </w:numPr>
                <w:contextualSpacing/>
              </w:pPr>
              <w:r w:rsidRPr="00B96B4A">
                <w:t>het vereiste dat rijinstructeurs ongeldig verklaarde certificaten inleveren;</w:t>
              </w:r>
              <w:r w:rsidRPr="00B96B4A">
                <w:rPr>
                  <w:vertAlign w:val="superscript"/>
                </w:rPr>
                <w:footnoteReference w:id="6"/>
              </w:r>
            </w:p>
            <w:p w:rsidRPr="00B96B4A" w:rsidR="00C54FD7" w:rsidP="00C54FD7" w:rsidRDefault="00736907">
              <w:pPr>
                <w:numPr>
                  <w:ilvl w:val="0"/>
                  <w:numId w:val="2"/>
                </w:numPr>
                <w:contextualSpacing/>
              </w:pPr>
              <w:r w:rsidRPr="00B96B4A">
                <w:t>het vereiste dat degene die scholing educatieve maatregel of scholing alcoholslotprogramma geeft, beschikt over een certificaat</w:t>
              </w:r>
              <w:r>
                <w:t>,</w:t>
              </w:r>
              <w:r w:rsidRPr="00B96B4A">
                <w:rPr>
                  <w:vertAlign w:val="superscript"/>
                </w:rPr>
                <w:footnoteReference w:id="7"/>
              </w:r>
              <w:r w:rsidRPr="00B96B4A">
                <w:t xml:space="preserve"> en</w:t>
              </w:r>
            </w:p>
            <w:p w:rsidRPr="00B96B4A" w:rsidR="00C54FD7" w:rsidP="00C54FD7" w:rsidRDefault="00736907">
              <w:pPr>
                <w:numPr>
                  <w:ilvl w:val="0"/>
                  <w:numId w:val="2"/>
                </w:numPr>
                <w:contextualSpacing/>
              </w:pPr>
              <w:r w:rsidRPr="00B96B4A">
                <w:t>de verplich</w:t>
              </w:r>
              <w:r w:rsidRPr="00B96B4A">
                <w:t>ting een certificaat op eerste vordering van een opsporingsambtenaar behoorlijk ter inzage af te geven.</w:t>
              </w:r>
              <w:r w:rsidRPr="00B96B4A">
                <w:rPr>
                  <w:vertAlign w:val="superscript"/>
                </w:rPr>
                <w:footnoteReference w:id="8"/>
              </w:r>
            </w:p>
            <w:p w:rsidRPr="00B96B4A" w:rsidR="00C54FD7" w:rsidP="00C54FD7" w:rsidRDefault="00736907">
              <w:pPr>
                <w:rPr>
                  <w:i/>
                  <w:u w:val="single"/>
                </w:rPr>
              </w:pPr>
              <w:r w:rsidRPr="00B96B4A">
                <w:rPr>
                  <w:i/>
                </w:rPr>
                <w:t xml:space="preserve"> </w:t>
              </w:r>
            </w:p>
            <w:p w:rsidR="00C54FD7" w:rsidP="00C54FD7" w:rsidRDefault="00736907">
              <w:r>
                <w:lastRenderedPageBreak/>
                <w:t>Met betrekking tot de keuze voor een duaal sanctiestelsel vermeldt de toelichting het volgende.</w:t>
              </w:r>
            </w:p>
            <w:p w:rsidR="00C54FD7" w:rsidP="00C54FD7" w:rsidRDefault="00736907">
              <w:r>
                <w:t>Voor een duaal sanctiestelsel wordt gekozen vanwege h</w:t>
              </w:r>
              <w:r>
                <w:t>et “gedifferentieerde karakter van de WRM en met name de handhaving daarvan en de keuze voor twee handhavingsinstanties”. De toelichting maakt bij de overtredingen van de WRM onderscheid tussen de afgebakende groep van rijinstructeurs en de “personen die b</w:t>
              </w:r>
              <w:r>
                <w:t>uiten de besloten groep vallen” (de niet-gecertificeerde rijinstructeurs). Zo valt het geven van rijinstructie zonder certificaat</w:t>
              </w:r>
              <w:r>
                <w:rPr>
                  <w:rStyle w:val="Voetnootmarkering"/>
                </w:rPr>
                <w:footnoteReference w:id="9"/>
              </w:r>
              <w:r>
                <w:t xml:space="preserve"> onder de personen die buiten de besloten groep staan. Een dergelijke overtreding moet strafrechtelijk worden gehandhaafd, aan</w:t>
              </w:r>
              <w:r>
                <w:t>gezien het geven van rijinstructie zonder blijk te hebben gegeven van bekwaamheid ter zake een ernstige bedreiging vormt van de verkeersveiligheid.</w:t>
              </w:r>
              <w:r>
                <w:rPr>
                  <w:rStyle w:val="Voetnootmarkering"/>
                </w:rPr>
                <w:footnoteReference w:id="10"/>
              </w:r>
              <w:r>
                <w:t xml:space="preserve"> Volgens de toelichting veroorzaken de meeste overtredingen van de WRM echter niet een zodanige inbreuk op d</w:t>
              </w:r>
              <w:r>
                <w:t>e rechtsorde dat strafrechtelijke handhaving zonder meer vereist is. Dit geldt blijkens de toelichting met name voor de verplichting om ongeldig verklaarde certificaten in te leveren</w:t>
              </w:r>
              <w:r>
                <w:rPr>
                  <w:rStyle w:val="Voetnootmarkering"/>
                </w:rPr>
                <w:t xml:space="preserve"> </w:t>
              </w:r>
              <w:r>
                <w:t>en de verplichting om een certificaat aan een opsporingsambtenaar ter inz</w:t>
              </w:r>
              <w:r>
                <w:t>age te geven.</w:t>
              </w:r>
              <w:r>
                <w:rPr>
                  <w:rStyle w:val="Voetnootmarkering"/>
                </w:rPr>
                <w:footnoteReference w:id="11"/>
              </w:r>
            </w:p>
            <w:p w:rsidR="00C54FD7" w:rsidP="00C54FD7" w:rsidRDefault="00736907"/>
            <w:p w:rsidR="00C54FD7" w:rsidP="00C54FD7" w:rsidRDefault="00736907">
              <w:r>
                <w:t>Met betrekking tot de bestuurlijke toezichthouder vermeldt de toelichting het volgende.</w:t>
              </w:r>
            </w:p>
            <w:p w:rsidRPr="00B96B4A" w:rsidR="00C54FD7" w:rsidP="00C54FD7" w:rsidRDefault="00736907">
              <w:r>
                <w:t>N</w:t>
              </w:r>
              <w:r w:rsidRPr="00B96B4A">
                <w:t>aast de politie als algemeen handhavende instantie</w:t>
              </w:r>
              <w:r>
                <w:t xml:space="preserve"> is</w:t>
              </w:r>
              <w:r w:rsidRPr="00B96B4A">
                <w:t xml:space="preserve"> de </w:t>
              </w:r>
              <w:r>
                <w:t>ILT de gewenste bestuurlijke toezichthouder</w:t>
              </w:r>
              <w:r w:rsidRPr="00B96B4A">
                <w:t>.</w:t>
              </w:r>
              <w:r w:rsidRPr="00B96B4A">
                <w:rPr>
                  <w:vertAlign w:val="superscript"/>
                </w:rPr>
                <w:footnoteReference w:id="12"/>
              </w:r>
              <w:r w:rsidRPr="00B96B4A">
                <w:t xml:space="preserve"> </w:t>
              </w:r>
              <w:r>
                <w:t xml:space="preserve">Door de toezichtlast mede te laten rusten op de </w:t>
              </w:r>
              <w:r>
                <w:t>ILT wordt een effectievere handhaving mogelijk. De ILT zal bij de uitoefening van haar toezichtstaak vooral aandacht schenken aan het niet terugsturen van ongeldig verklaarde certificaten en het onbevoegd rijinstructie geven.</w:t>
              </w:r>
              <w:r>
                <w:rPr>
                  <w:rStyle w:val="Voetnootmarkering"/>
                </w:rPr>
                <w:footnoteReference w:id="13"/>
              </w:r>
              <w:r>
                <w:t xml:space="preserve"> </w:t>
              </w:r>
              <w:r w:rsidRPr="00B96B4A">
                <w:t>Het instrument bestuurlijke b</w:t>
              </w:r>
              <w:r w:rsidRPr="00B96B4A">
                <w:t xml:space="preserve">oete wordt </w:t>
              </w:r>
              <w:r>
                <w:t xml:space="preserve">hierbij </w:t>
              </w:r>
              <w:r w:rsidRPr="00B96B4A">
                <w:t>als effectief instrument beschouwd en heeft</w:t>
              </w:r>
              <w:r>
                <w:t>,</w:t>
              </w:r>
              <w:r w:rsidRPr="00B96B4A">
                <w:t xml:space="preserve"> aldus de toelichting</w:t>
              </w:r>
              <w:r>
                <w:t xml:space="preserve">, </w:t>
              </w:r>
              <w:r w:rsidRPr="00B96B4A">
                <w:t xml:space="preserve">als bijkomend voordeel dat geen extra belasting van de strafrechtelijke keten optreedt. </w:t>
              </w:r>
              <w:r>
                <w:t xml:space="preserve">Tegelijkertijd </w:t>
              </w:r>
              <w:r w:rsidRPr="00B96B4A">
                <w:t xml:space="preserve">behoudt </w:t>
              </w:r>
              <w:r>
                <w:t>de politie</w:t>
              </w:r>
              <w:r w:rsidRPr="00B96B4A">
                <w:t xml:space="preserve"> haar handhavende taak en bev</w:t>
              </w:r>
              <w:r>
                <w:t>oegdheid ten aanzien</w:t>
              </w:r>
              <w:r>
                <w:t xml:space="preserve"> van de WRM</w:t>
              </w:r>
              <w:r w:rsidRPr="00B96B4A">
                <w:t>. Het zou volgens de toelichting niet efficiënt zijn deze taak en bevoegdheid weg te nemen, omdat de politie de taak heeft om verkeersregels in het algemeen te handhaven.</w:t>
              </w:r>
            </w:p>
            <w:p w:rsidR="00EF2582" w:rsidP="00EF2582" w:rsidRDefault="00736907"/>
            <w:p w:rsidRPr="00B96B4A" w:rsidR="00EF2582" w:rsidP="00EF2582" w:rsidRDefault="00736907">
              <w:pPr>
                <w:rPr>
                  <w:u w:val="single"/>
                </w:rPr>
              </w:pPr>
              <w:r w:rsidRPr="00B96B4A">
                <w:t>2.</w:t>
              </w:r>
              <w:r w:rsidRPr="00B96B4A">
                <w:tab/>
              </w:r>
              <w:r>
                <w:rPr>
                  <w:u w:val="single"/>
                </w:rPr>
                <w:t>Beoordeling</w:t>
              </w:r>
            </w:p>
            <w:p w:rsidR="00EF2582" w:rsidP="00EF2582" w:rsidRDefault="00736907"/>
            <w:p w:rsidRPr="00926390" w:rsidR="00926390" w:rsidP="00C54FD7" w:rsidRDefault="00736907">
              <w:pPr>
                <w:rPr>
                  <w:i/>
                </w:rPr>
              </w:pPr>
              <w:r>
                <w:t>a.</w:t>
              </w:r>
              <w:r>
                <w:tab/>
              </w:r>
              <w:r>
                <w:rPr>
                  <w:i/>
                </w:rPr>
                <w:t>Gedifferentieerd karakter van de WRM</w:t>
              </w:r>
            </w:p>
            <w:p w:rsidR="00C54FD7" w:rsidP="00C54FD7" w:rsidRDefault="00736907">
              <w:r>
                <w:t>De Afdeling merkt ten aanzien van het gedifferentieerde karakter van de WRM allereerst op dat in deze wet feitelijk slechts drie categorieën overtredingen zijn opgenomen: naast het onbevoegd geven van rijinstructie betreft dit de verplichting om ongeldig v</w:t>
              </w:r>
              <w:r>
                <w:t>erklaarde certificaten in te leveren</w:t>
              </w:r>
              <w:r>
                <w:rPr>
                  <w:rStyle w:val="Voetnootmarkering"/>
                </w:rPr>
                <w:footnoteReference w:id="14"/>
              </w:r>
              <w:r>
                <w:t xml:space="preserve"> en de verplichting om een certificaat aan een opsporingsambtenaar ter inzage te geven.</w:t>
              </w:r>
              <w:r>
                <w:rPr>
                  <w:rStyle w:val="Voetnootmarkering"/>
                </w:rPr>
                <w:footnoteReference w:id="15"/>
              </w:r>
            </w:p>
            <w:p w:rsidR="0008069A" w:rsidP="00C54FD7" w:rsidRDefault="00736907">
              <w:r>
                <w:t>De toelichting motiveert niet overtuigend in welk opzicht deze categorieën overtredingen een zodanig gedifferentieerd karakter heb</w:t>
              </w:r>
              <w:r>
                <w:t>ben dat duale handhaving aangewezen zou zijn. Daarbij wijst de Afdeling erop dat de ILT vooral aandacht zal schenken aan het onbevoegd geven van rijinstructie.</w:t>
              </w:r>
              <w:r>
                <w:rPr>
                  <w:rStyle w:val="Voetnootmarkering"/>
                </w:rPr>
                <w:footnoteReference w:id="16"/>
              </w:r>
              <w:r>
                <w:t xml:space="preserve"> Juist echter het onbevoegd geven van rijinstructie betreft een overtreding die volgens de toeli</w:t>
              </w:r>
              <w:r>
                <w:t>chting</w:t>
              </w:r>
              <w:r w:rsidRPr="007A6B8F">
                <w:t xml:space="preserve"> strafrechtelijke </w:t>
              </w:r>
              <w:r w:rsidRPr="007A6B8F">
                <w:lastRenderedPageBreak/>
                <w:t xml:space="preserve">handhaving vereist </w:t>
              </w:r>
              <w:r>
                <w:t>wegens</w:t>
              </w:r>
              <w:r w:rsidRPr="007A6B8F">
                <w:t xml:space="preserve"> de ernstige bedreiging van de verkeersvei</w:t>
              </w:r>
              <w:r>
                <w:t>ligheid die hiermee gepaard gaat.</w:t>
              </w:r>
            </w:p>
            <w:p w:rsidR="004878E3" w:rsidP="005B1A6C" w:rsidRDefault="00736907"/>
            <w:p w:rsidR="005B1A6C" w:rsidP="005B1A6C" w:rsidRDefault="00736907">
              <w:r>
                <w:t xml:space="preserve">Daarnaast wijst de Afdeling op </w:t>
              </w:r>
              <w:r w:rsidRPr="00B96B4A">
                <w:t>de Kabinetsnota over de uitgangspunten bij de keuze voor een sanctiestelsel uit 2008 (Nota sancties</w:t>
              </w:r>
              <w:r w:rsidRPr="00B96B4A">
                <w:t xml:space="preserve">telsel 2008) waarnaar </w:t>
              </w:r>
              <w:r>
                <w:t xml:space="preserve">ook </w:t>
              </w:r>
              <w:r w:rsidRPr="00B96B4A">
                <w:t xml:space="preserve">de toelichting </w:t>
              </w:r>
              <w:r>
                <w:t>verwijst. In deze nota geldt</w:t>
              </w:r>
              <w:r w:rsidRPr="00B96B4A">
                <w:t xml:space="preserve"> als uitgangspunt “duale handhaving te beperken tot die gevallen waarin daarvoor goede en dwingende redenen bestaan, en dit door de beoogde handhavende instanties als uitvoerbaar wordt be</w:t>
              </w:r>
              <w:r w:rsidRPr="00B96B4A">
                <w:t>oordeeld.”</w:t>
              </w:r>
              <w:r w:rsidRPr="00B96B4A">
                <w:rPr>
                  <w:vertAlign w:val="superscript"/>
                </w:rPr>
                <w:footnoteReference w:id="17"/>
              </w:r>
              <w:r>
                <w:t xml:space="preserve"> De argumentatie in de toelichting kan bezwaarlijk onder “goede en dwingende redenen” worden geschaard. </w:t>
              </w:r>
            </w:p>
            <w:p w:rsidR="00C54FD7" w:rsidP="00C54FD7" w:rsidRDefault="00736907">
              <w:r>
                <w:t>Overigens constateert de Afdeling dat het criterium “open en besloten context” in de toelichting wordt toegepast om het gedifferentieerde ka</w:t>
              </w:r>
              <w:r>
                <w:t>rakter van de handhaving te onderbouwen. Zij heeft reeds in eerdere adviezen overwogen dat dit criterium geen onderscheidend karakter heeft en daarom overtuigingskracht ontbeert.</w:t>
              </w:r>
              <w:r>
                <w:rPr>
                  <w:rStyle w:val="Voetnootmarkering"/>
                </w:rPr>
                <w:footnoteReference w:id="18"/>
              </w:r>
            </w:p>
            <w:p w:rsidR="007F013F" w:rsidP="00C54FD7" w:rsidRDefault="00736907"/>
            <w:p w:rsidRPr="00926390" w:rsidR="00926390" w:rsidP="007F013F" w:rsidRDefault="00736907">
              <w:pPr>
                <w:rPr>
                  <w:i/>
                </w:rPr>
              </w:pPr>
              <w:r>
                <w:t>b.</w:t>
              </w:r>
              <w:r>
                <w:tab/>
              </w:r>
              <w:r>
                <w:rPr>
                  <w:i/>
                </w:rPr>
                <w:t>Effectiviteit</w:t>
              </w:r>
            </w:p>
            <w:p w:rsidR="007F013F" w:rsidP="007F013F" w:rsidRDefault="00736907">
              <w:pPr>
                <w:rPr>
                  <w:szCs w:val="22"/>
                </w:rPr>
              </w:pPr>
              <w:r>
                <w:t xml:space="preserve">In de tweede plaats leidt de Afdeling uit het vermelde in </w:t>
              </w:r>
              <w:r>
                <w:t>de toelichting bij de toezichthoudende instantie af,</w:t>
              </w:r>
              <w:r w:rsidRPr="00B96B4A">
                <w:t xml:space="preserve"> dat de keuze voor het introduceren van een bestuurlijk handhavingsstelsel naast de strafrechtelijke </w:t>
              </w:r>
              <w:r>
                <w:t>handhaving</w:t>
              </w:r>
              <w:r w:rsidRPr="00B96B4A">
                <w:t xml:space="preserve"> is ingegeven door het streven naar effectiviteit. </w:t>
              </w:r>
              <w:r>
                <w:t>Niet</w:t>
              </w:r>
              <w:r>
                <w:rPr>
                  <w:szCs w:val="22"/>
                </w:rPr>
                <w:t xml:space="preserve"> duidelijk is echter waarin de huidige</w:t>
              </w:r>
              <w:r>
                <w:rPr>
                  <w:szCs w:val="22"/>
                </w:rPr>
                <w:t xml:space="preserve"> strafrechtelijke handhaving zodanig tekort schiet dat tot een duaal stelsel moet worden overgegaan. De toelichting maakt niet duidelijk waaruit het probleem bestaat en biedt evenmin inzicht in de omvang en mogelijke oorzaken daarvan.</w:t>
              </w:r>
            </w:p>
            <w:p w:rsidR="007F013F" w:rsidP="007F013F" w:rsidRDefault="00736907">
              <w:pPr>
                <w:rPr>
                  <w:szCs w:val="22"/>
                </w:rPr>
              </w:pPr>
              <w:r>
                <w:rPr>
                  <w:szCs w:val="22"/>
                </w:rPr>
                <w:t xml:space="preserve">In dit verband wijst </w:t>
              </w:r>
              <w:r>
                <w:rPr>
                  <w:szCs w:val="22"/>
                </w:rPr>
                <w:t xml:space="preserve">de Afdeling op het volgende. </w:t>
              </w:r>
            </w:p>
            <w:p w:rsidR="007F013F" w:rsidP="007F013F" w:rsidRDefault="00736907">
              <w:pPr>
                <w:rPr>
                  <w:szCs w:val="22"/>
                </w:rPr>
              </w:pPr>
            </w:p>
            <w:p w:rsidR="00865505" w:rsidP="007F013F" w:rsidRDefault="00736907">
              <w:pPr>
                <w:rPr>
                  <w:szCs w:val="22"/>
                </w:rPr>
              </w:pPr>
              <w:r>
                <w:rPr>
                  <w:szCs w:val="22"/>
                </w:rPr>
                <w:t>Op vragen van het Tweede Kamerlid Bashir antwoordde de Minister van Infrastructuur en Milieu dat zij zich niet herkende in berichten over een aantal van 1.200 onbevoegde rijinstructeurs. Vanuit de brancheorganisaties BOVAG, F</w:t>
              </w:r>
              <w:r>
                <w:rPr>
                  <w:szCs w:val="22"/>
                </w:rPr>
                <w:t>AM</w:t>
              </w:r>
              <w:r>
                <w:rPr>
                  <w:rStyle w:val="Voetnootmarkering"/>
                  <w:szCs w:val="22"/>
                </w:rPr>
                <w:footnoteReference w:id="19"/>
              </w:r>
              <w:r>
                <w:rPr>
                  <w:szCs w:val="22"/>
                </w:rPr>
                <w:t xml:space="preserve"> en VRB</w:t>
              </w:r>
              <w:r>
                <w:rPr>
                  <w:rStyle w:val="Voetnootmarkering"/>
                  <w:szCs w:val="22"/>
                </w:rPr>
                <w:footnoteReference w:id="20"/>
              </w:r>
              <w:r>
                <w:rPr>
                  <w:szCs w:val="22"/>
                </w:rPr>
                <w:t xml:space="preserve"> heeft zij slechts één melding ontvangen. Volgens de VRB is het aantal van 1.200 onbevoegde rijinstructeurs niet onderbouwd.</w:t>
              </w:r>
              <w:r>
                <w:rPr>
                  <w:rStyle w:val="Voetnootmarkering"/>
                  <w:szCs w:val="22"/>
                </w:rPr>
                <w:footnoteReference w:id="21"/>
              </w:r>
              <w:r>
                <w:rPr>
                  <w:szCs w:val="22"/>
                </w:rPr>
                <w:t xml:space="preserve"> In haar antwoord vermeldde de Minister daarnaast dat de ILT onderzoekt op welke wijze aanvullende handhaving effectief vorm kan worden gegeven en dat in het voorjaar van 2014 duidelijk zal zijn hoe de ILT toezicht gaat houden. Bij brief van 2 oktober 2014</w:t>
              </w:r>
              <w:r>
                <w:rPr>
                  <w:szCs w:val="22"/>
                </w:rPr>
                <w:t xml:space="preserve"> is de Tweede Kamer geïnformeerd over de </w:t>
              </w:r>
              <w:r>
                <w:rPr>
                  <w:szCs w:val="22"/>
                </w:rPr>
                <w:lastRenderedPageBreak/>
                <w:t>taken die de ILT op zich zal nemen, maar van de bevindingen van het onderzoek naar de noodzaak of wenselijkheid van aanvullende handhaving wordt geen melding gemaakt.</w:t>
              </w:r>
              <w:r>
                <w:rPr>
                  <w:rStyle w:val="Voetnootmarkering"/>
                  <w:szCs w:val="22"/>
                </w:rPr>
                <w:footnoteReference w:id="22"/>
              </w:r>
            </w:p>
            <w:p w:rsidR="00734AB2" w:rsidP="007F013F" w:rsidRDefault="00736907">
              <w:pPr>
                <w:rPr>
                  <w:szCs w:val="22"/>
                </w:rPr>
              </w:pPr>
            </w:p>
            <w:p w:rsidRPr="00865505" w:rsidR="007F013F" w:rsidP="007F013F" w:rsidRDefault="00736907">
              <w:pPr>
                <w:rPr>
                  <w:szCs w:val="22"/>
                </w:rPr>
              </w:pPr>
              <w:r>
                <w:rPr>
                  <w:szCs w:val="22"/>
                </w:rPr>
                <w:t xml:space="preserve">Of aanvullende handhaving nodig of wenselijk is, als ook of </w:t>
              </w:r>
              <w:r>
                <w:rPr>
                  <w:szCs w:val="22"/>
                </w:rPr>
                <w:t xml:space="preserve">het voorgestelde duale handhavingsstelsel bij de WRM zodanig </w:t>
              </w:r>
              <w:r w:rsidRPr="00E823F0">
                <w:rPr>
                  <w:szCs w:val="22"/>
                </w:rPr>
                <w:t xml:space="preserve">effectiever zal zijn </w:t>
              </w:r>
              <w:r>
                <w:rPr>
                  <w:szCs w:val="22"/>
                </w:rPr>
                <w:t>dan het</w:t>
              </w:r>
              <w:r w:rsidRPr="00E823F0">
                <w:rPr>
                  <w:szCs w:val="22"/>
                </w:rPr>
                <w:t xml:space="preserve"> huidige</w:t>
              </w:r>
              <w:r>
                <w:rPr>
                  <w:szCs w:val="22"/>
                </w:rPr>
                <w:t>, uitsluitend</w:t>
              </w:r>
              <w:r w:rsidRPr="00E823F0">
                <w:rPr>
                  <w:szCs w:val="22"/>
                </w:rPr>
                <w:t xml:space="preserve"> strafrechtelijke handhaving</w:t>
              </w:r>
              <w:r>
                <w:rPr>
                  <w:szCs w:val="22"/>
                </w:rPr>
                <w:t>sstelsel</w:t>
              </w:r>
              <w:r w:rsidRPr="00E823F0">
                <w:rPr>
                  <w:szCs w:val="22"/>
                </w:rPr>
                <w:t xml:space="preserve">, is naar het oordeel </w:t>
              </w:r>
              <w:r>
                <w:rPr>
                  <w:szCs w:val="22"/>
                </w:rPr>
                <w:t>van de Afdeling niet gebleke</w:t>
              </w:r>
              <w:r>
                <w:rPr>
                  <w:szCs w:val="22"/>
                </w:rPr>
                <w:t xml:space="preserve">n. Ook in zoverre wordt een dragende motivering gemist. Daarbij merkt de Afdeling op </w:t>
              </w:r>
              <w:r>
                <w:t>dat voor de handhaving van eenzelfde overtreding naar haar oordeel voor één sanctiestelsel dient te worden gekozen.</w:t>
              </w:r>
              <w:r>
                <w:rPr>
                  <w:rStyle w:val="Voetnootmarkering"/>
                </w:rPr>
                <w:footnoteReference w:id="23"/>
              </w:r>
            </w:p>
            <w:p w:rsidR="00C54FD7" w:rsidP="00EF2582" w:rsidRDefault="00736907"/>
            <w:p w:rsidRPr="00926390" w:rsidR="00926390" w:rsidP="007F013F" w:rsidRDefault="00736907">
              <w:pPr>
                <w:rPr>
                  <w:i/>
                </w:rPr>
              </w:pPr>
              <w:r>
                <w:t>c.</w:t>
              </w:r>
              <w:r>
                <w:rPr>
                  <w:i/>
                </w:rPr>
                <w:tab/>
                <w:t>Rechtspositie en rechtsbescherming</w:t>
              </w:r>
            </w:p>
            <w:p w:rsidR="007F013F" w:rsidP="007F013F" w:rsidRDefault="00736907">
              <w:r>
                <w:t>Naast het boven</w:t>
              </w:r>
              <w:r>
                <w:t>staande merkt de Afdeling het volgende op. D</w:t>
              </w:r>
              <w:r w:rsidRPr="00B96B4A">
                <w:t xml:space="preserve">e toelichting wekt de indruk dat bestuurlijke en strafrechtelijke sancties gelijk zijn en </w:t>
              </w:r>
              <w:r>
                <w:t>met name</w:t>
              </w:r>
              <w:r w:rsidRPr="00B96B4A">
                <w:t xml:space="preserve"> verschillen op het niveau van effectiviteit.</w:t>
              </w:r>
              <w:r>
                <w:t xml:space="preserve"> B</w:t>
              </w:r>
              <w:r w:rsidRPr="00B96B4A">
                <w:t xml:space="preserve">eide sanctiestelsels </w:t>
              </w:r>
              <w:r>
                <w:t xml:space="preserve">zijn evenwel </w:t>
              </w:r>
              <w:r w:rsidRPr="00B96B4A">
                <w:t>niet inwisselbaar</w:t>
              </w:r>
              <w:r>
                <w:t>.</w:t>
              </w:r>
              <w:r w:rsidRPr="00B96B4A">
                <w:t xml:space="preserve"> </w:t>
              </w:r>
              <w:r>
                <w:t xml:space="preserve">Zij tonen </w:t>
              </w:r>
              <w:r w:rsidRPr="00B96B4A">
                <w:t>aanm</w:t>
              </w:r>
              <w:r w:rsidRPr="00B96B4A">
                <w:t xml:space="preserve">erkelijke verschillen </w:t>
              </w:r>
              <w:r>
                <w:t>met betrekking tot</w:t>
              </w:r>
              <w:r w:rsidRPr="00B96B4A">
                <w:t xml:space="preserve"> </w:t>
              </w:r>
              <w:r>
                <w:t xml:space="preserve">de </w:t>
              </w:r>
              <w:r w:rsidRPr="00B96B4A">
                <w:t>rechtspositie en rechtsbescherming van degene jegens wie de handhaving zich richt. Het is voor de justitiabele dan ook niet zonder belang of hij in de bestuursrechtelijke dan wel de strafrechtelijke rechtsgang te</w:t>
              </w:r>
              <w:r w:rsidRPr="00B96B4A">
                <w:t xml:space="preserve">recht komt. </w:t>
              </w:r>
              <w:r>
                <w:t>Zo</w:t>
              </w:r>
              <w:r w:rsidRPr="00B96B4A">
                <w:t xml:space="preserve"> </w:t>
              </w:r>
              <w:r>
                <w:t>kent het bestuursrecht geen schorsende werking van rechtsmiddelen en is de bestuurlijke boete direct invorderbaar, terwijl het instellen van verzet bij een strafbeschikking de uitvoerbaarheid van de sanctie opschort. Voorts zijn bij het inst</w:t>
              </w:r>
              <w:r>
                <w:t>ellen van beroep in het bestuursrecht griffierechten verschuldigd, waar dit bij het instellen van verzet niet zo is. Tevens vindt</w:t>
              </w:r>
              <w:r w:rsidRPr="00B96B4A">
                <w:t xml:space="preserve"> geen opneming van gegevens omtrent bestraffing in de justitiële documentatie </w:t>
              </w:r>
              <w:r>
                <w:t xml:space="preserve">plaats </w:t>
              </w:r>
              <w:r w:rsidRPr="00B96B4A">
                <w:t>bij veroordeling tot een bestuurlijke boet</w:t>
              </w:r>
              <w:r w:rsidRPr="00B96B4A">
                <w:t xml:space="preserve">e, terwijl </w:t>
              </w:r>
              <w:r>
                <w:t>dat</w:t>
              </w:r>
              <w:r w:rsidRPr="00B96B4A">
                <w:t xml:space="preserve"> wel </w:t>
              </w:r>
              <w:r>
                <w:t>gebeurt</w:t>
              </w:r>
              <w:r w:rsidRPr="00B96B4A">
                <w:t xml:space="preserve"> bij een strafrechtelijke veroordeling. Uit de toelichting blijkt niet dat de aangeduide verschillen bij de voorbereiding van het wetsvoorstel zijn betrokken.</w:t>
              </w:r>
              <w:r>
                <w:rPr>
                  <w:rStyle w:val="Voetnootmarkering"/>
                </w:rPr>
                <w:footnoteReference w:id="24"/>
              </w:r>
            </w:p>
            <w:p w:rsidR="00C54FD7" w:rsidP="00EF2582" w:rsidRDefault="00736907"/>
            <w:p w:rsidR="00891BB0" w:rsidP="00891BB0" w:rsidRDefault="00736907">
              <w:r>
                <w:t xml:space="preserve">Gelet op het voorgaande adviseert de Afdeling </w:t>
              </w:r>
              <w:r w:rsidRPr="00B96B4A">
                <w:t xml:space="preserve">om </w:t>
              </w:r>
              <w:r>
                <w:t>het voorgestelde dua</w:t>
              </w:r>
              <w:r>
                <w:t>le sanctiestelsel dragend te motiveren en anders daarvan af te zien.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36907">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C02F4" w:rsidRDefault="00736907">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W14.14.0350</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446879" w:rsidP="00446879" w:rsidRDefault="00736907">
              <w:pPr>
                <w:numPr>
                  <w:ilvl w:val="0"/>
                  <w:numId w:val="1"/>
                </w:numPr>
              </w:pPr>
              <w:r>
                <w:t>De in artikel I, onderdeel F, voorgestelde wijziging van artikel 9a ook doorvoeren in art</w:t>
              </w:r>
              <w:r>
                <w:t>ikel 9b van de Wet rijonderricht motorrijtuigen 1993 (WRM).</w:t>
              </w:r>
            </w:p>
            <w:p w:rsidR="00446879" w:rsidP="00446879" w:rsidRDefault="00736907">
              <w:pPr>
                <w:numPr>
                  <w:ilvl w:val="0"/>
                  <w:numId w:val="1"/>
                </w:numPr>
              </w:pPr>
              <w:r>
                <w:t>In artikel I, onderdeel P, onder 3 (nieuw artikel 24, derde lid, WRM), de woorden “geleiden het certificaat dat” vervangen door: geleiden het certificaat indien dat.</w:t>
              </w:r>
            </w:p>
            <w:p w:rsidR="00446879" w:rsidP="00446879" w:rsidRDefault="00736907">
              <w:pPr>
                <w:numPr>
                  <w:ilvl w:val="0"/>
                  <w:numId w:val="1"/>
                </w:numPr>
              </w:pPr>
              <w:r>
                <w:t xml:space="preserve">Artikel I, onderdeel R </w:t>
              </w:r>
              <w:r>
                <w:t>(wijziging artikel 25 WRM) aanvullen door te voorzien in schrapping van de verwijzing naar artikel 27, eerste en tweede lid.</w:t>
              </w:r>
            </w:p>
            <w:p w:rsidR="00E70C71" w:rsidP="007A6B8F" w:rsidRDefault="00736907">
              <w:pPr>
                <w:numPr>
                  <w:ilvl w:val="0"/>
                  <w:numId w:val="1"/>
                </w:numPr>
              </w:pPr>
              <w:r>
                <w:t>In artikel I, onderdeel S (nieuw artikel 27 WRM) de zinsnede “artikelen 7, 14, derde lid, 16, 22, vijfde lid, en 24” vervangen door</w:t>
              </w:r>
              <w:r>
                <w:t>: artikelen 7, 15, derde lid, 16, 22, vijfde lid, en 24, eerste en tweede lid.</w:t>
              </w:r>
            </w:p>
          </w:sdtContent>
        </w:sdt>
        <w:p w:rsidR="00C50D4F" w:rsidP="005841EA" w:rsidRDefault="0073690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736907" w:rsidP="001410FD">
      <w:r>
        <w:separator/>
      </w:r>
    </w:p>
  </w:endnote>
  <w:endnote w:type="continuationSeparator" w:id="0">
    <w:p w:rsidR="00225B7E" w:rsidRDefault="0073690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736907" w:rsidP="001410FD">
      <w:r>
        <w:separator/>
      </w:r>
    </w:p>
  </w:footnote>
  <w:footnote w:type="continuationSeparator" w:id="0">
    <w:p w:rsidR="00225B7E" w:rsidRDefault="00736907" w:rsidP="001410FD">
      <w:r>
        <w:continuationSeparator/>
      </w:r>
    </w:p>
  </w:footnote>
  <w:footnote w:id="1">
    <w:p w:rsidR="00C54FD7" w:rsidRDefault="00736907" w:rsidP="00C54FD7">
      <w:pPr>
        <w:pStyle w:val="Voetnoottekst"/>
      </w:pPr>
      <w:r>
        <w:rPr>
          <w:rStyle w:val="Voetnootmarkering"/>
        </w:rPr>
        <w:footnoteRef/>
      </w:r>
      <w:r>
        <w:tab/>
        <w:t>Memorie van toelichting, § 5.2, Duaal sanctiestelsel.</w:t>
      </w:r>
    </w:p>
  </w:footnote>
  <w:footnote w:id="2">
    <w:p w:rsidR="00C54FD7" w:rsidRDefault="00736907" w:rsidP="00C54FD7">
      <w:pPr>
        <w:pStyle w:val="Voetnoottekst"/>
      </w:pPr>
      <w:r>
        <w:rPr>
          <w:rStyle w:val="Voetnootmarkering"/>
        </w:rPr>
        <w:footnoteRef/>
      </w:r>
      <w:r>
        <w:tab/>
        <w:t xml:space="preserve">Openbaar Ministerie, Tekstenbundel voor misdrijven, overtredingen en Muldergedragingen, </w:t>
      </w:r>
      <w:r>
        <w:tab/>
        <w:t xml:space="preserve">geldend </w:t>
      </w:r>
      <w:r>
        <w:t>vanaf 1 januari 2014, blz. 70.</w:t>
      </w:r>
    </w:p>
  </w:footnote>
  <w:footnote w:id="3">
    <w:p w:rsidR="00C54FD7" w:rsidRDefault="00736907" w:rsidP="00C54FD7">
      <w:pPr>
        <w:pStyle w:val="Voetnoottekst"/>
      </w:pPr>
      <w:r>
        <w:rPr>
          <w:rStyle w:val="Voetnootmarkering"/>
        </w:rPr>
        <w:footnoteRef/>
      </w:r>
      <w:r>
        <w:tab/>
        <w:t xml:space="preserve">Voorgesteld artikel I, onderdeel S (nieuw artikel 27 WRM). Voor de bevoegdheid om een last </w:t>
      </w:r>
      <w:r>
        <w:tab/>
        <w:t>onder bestuursdwang op te leggen zie het nieuwe artikel 24b WRM.</w:t>
      </w:r>
    </w:p>
  </w:footnote>
  <w:footnote w:id="4">
    <w:p w:rsidR="00C54FD7" w:rsidRDefault="00736907" w:rsidP="00C54FD7">
      <w:pPr>
        <w:pStyle w:val="Voetnoottekst"/>
      </w:pPr>
      <w:r>
        <w:rPr>
          <w:rStyle w:val="Voetnootmarkering"/>
        </w:rPr>
        <w:footnoteRef/>
      </w:r>
      <w:r>
        <w:tab/>
        <w:t>Nieuw artikel 27 WRM.</w:t>
      </w:r>
    </w:p>
  </w:footnote>
  <w:footnote w:id="5">
    <w:p w:rsidR="00C54FD7" w:rsidRDefault="00736907" w:rsidP="00C54FD7">
      <w:pPr>
        <w:pStyle w:val="Voetnoottekst"/>
      </w:pPr>
      <w:r>
        <w:rPr>
          <w:rStyle w:val="Voetnootmarkering"/>
        </w:rPr>
        <w:footnoteRef/>
      </w:r>
      <w:r>
        <w:tab/>
        <w:t xml:space="preserve">Artikel 7, eerste lid, WRM </w:t>
      </w:r>
    </w:p>
  </w:footnote>
  <w:footnote w:id="6">
    <w:p w:rsidR="00C54FD7" w:rsidRDefault="00736907" w:rsidP="00C54FD7">
      <w:pPr>
        <w:pStyle w:val="Voetnoottekst"/>
      </w:pPr>
      <w:r>
        <w:rPr>
          <w:rStyle w:val="Voetnootmarkering"/>
        </w:rPr>
        <w:footnoteRef/>
      </w:r>
      <w:r>
        <w:tab/>
        <w:t>Artikel 15</w:t>
      </w:r>
      <w:r>
        <w:t>, derde lid, en artikel 22, vijfde lid, WRM.</w:t>
      </w:r>
    </w:p>
  </w:footnote>
  <w:footnote w:id="7">
    <w:p w:rsidR="00C54FD7" w:rsidRDefault="00736907" w:rsidP="00C54FD7">
      <w:pPr>
        <w:pStyle w:val="Voetnoottekst"/>
      </w:pPr>
      <w:r>
        <w:rPr>
          <w:rStyle w:val="Voetnootmarkering"/>
        </w:rPr>
        <w:footnoteRef/>
      </w:r>
      <w:r>
        <w:tab/>
        <w:t>Artikel 16 WRM.</w:t>
      </w:r>
    </w:p>
  </w:footnote>
  <w:footnote w:id="8">
    <w:p w:rsidR="00C54FD7" w:rsidRDefault="00736907" w:rsidP="00C54FD7">
      <w:pPr>
        <w:pStyle w:val="Voetnoottekst"/>
      </w:pPr>
      <w:r>
        <w:rPr>
          <w:rStyle w:val="Voetnootmarkering"/>
        </w:rPr>
        <w:footnoteRef/>
      </w:r>
      <w:r>
        <w:tab/>
        <w:t>Artikel 24, eerste en tweede lid, WRM.</w:t>
      </w:r>
    </w:p>
  </w:footnote>
  <w:footnote w:id="9">
    <w:p w:rsidR="00C54FD7" w:rsidRDefault="00736907" w:rsidP="00C54FD7">
      <w:pPr>
        <w:pStyle w:val="Voetnoottekst"/>
      </w:pPr>
      <w:r>
        <w:rPr>
          <w:rStyle w:val="Voetnootmarkering"/>
        </w:rPr>
        <w:footnoteRef/>
      </w:r>
      <w:r>
        <w:tab/>
        <w:t>Overtreding van artikel 7 onderscheidenlijk artikel 16 WRM.</w:t>
      </w:r>
    </w:p>
  </w:footnote>
  <w:footnote w:id="10">
    <w:p w:rsidR="00C54FD7" w:rsidRDefault="00736907" w:rsidP="00C54FD7">
      <w:pPr>
        <w:pStyle w:val="Voetnoottekst"/>
      </w:pPr>
      <w:r>
        <w:rPr>
          <w:rStyle w:val="Voetnootmarkering"/>
        </w:rPr>
        <w:footnoteRef/>
      </w:r>
      <w:r>
        <w:tab/>
        <w:t>Memorie van toelichting, § 5.2, Duaal sanctiestelsel.</w:t>
      </w:r>
    </w:p>
  </w:footnote>
  <w:footnote w:id="11">
    <w:p w:rsidR="00C54FD7" w:rsidRDefault="00736907" w:rsidP="00C54FD7">
      <w:pPr>
        <w:pStyle w:val="Voetnoottekst"/>
      </w:pPr>
      <w:r>
        <w:rPr>
          <w:rStyle w:val="Voetnootmarkering"/>
        </w:rPr>
        <w:footnoteRef/>
      </w:r>
      <w:r>
        <w:tab/>
        <w:t xml:space="preserve">Memorie van toelichting, § 5.2, </w:t>
      </w:r>
      <w:r>
        <w:t>Duaal sanctiestelsel.</w:t>
      </w:r>
    </w:p>
  </w:footnote>
  <w:footnote w:id="12">
    <w:p w:rsidR="00C54FD7" w:rsidRDefault="00736907" w:rsidP="00C54FD7">
      <w:pPr>
        <w:pStyle w:val="Voetnoottekst"/>
      </w:pPr>
      <w:r>
        <w:rPr>
          <w:rStyle w:val="Voetnootmarkering"/>
        </w:rPr>
        <w:footnoteRef/>
      </w:r>
      <w:r>
        <w:tab/>
        <w:t>Memorie van toelichting, § 5.1, Toezicht door de ILT.</w:t>
      </w:r>
    </w:p>
  </w:footnote>
  <w:footnote w:id="13">
    <w:p w:rsidR="00C54FD7" w:rsidRDefault="00736907" w:rsidP="00C54FD7">
      <w:pPr>
        <w:pStyle w:val="Voetnoottekst"/>
      </w:pPr>
      <w:r>
        <w:rPr>
          <w:rStyle w:val="Voetnootmarkering"/>
        </w:rPr>
        <w:footnoteRef/>
      </w:r>
      <w:r>
        <w:tab/>
        <w:t>Memorie van toelichting, § 5.1, Toezicht door de ILT.</w:t>
      </w:r>
    </w:p>
  </w:footnote>
  <w:footnote w:id="14">
    <w:p w:rsidR="00C54FD7" w:rsidRDefault="00736907" w:rsidP="00C54FD7">
      <w:pPr>
        <w:pStyle w:val="Voetnoottekst"/>
      </w:pPr>
      <w:r>
        <w:rPr>
          <w:rStyle w:val="Voetnootmarkering"/>
        </w:rPr>
        <w:footnoteRef/>
      </w:r>
      <w:r>
        <w:tab/>
        <w:t>Overtreding van artikel 15, derde lid, en artikel 22, vijfde lid, WRM.</w:t>
      </w:r>
    </w:p>
  </w:footnote>
  <w:footnote w:id="15">
    <w:p w:rsidR="00C54FD7" w:rsidRDefault="00736907" w:rsidP="00C54FD7">
      <w:pPr>
        <w:pStyle w:val="Voetnoottekst"/>
      </w:pPr>
      <w:r>
        <w:rPr>
          <w:rStyle w:val="Voetnootmarkering"/>
        </w:rPr>
        <w:footnoteRef/>
      </w:r>
      <w:r>
        <w:tab/>
        <w:t>Artikel 24, eerste en tweede lid, WRM.</w:t>
      </w:r>
    </w:p>
  </w:footnote>
  <w:footnote w:id="16">
    <w:p w:rsidR="00C54FD7" w:rsidRDefault="00736907" w:rsidP="00C54FD7">
      <w:pPr>
        <w:pStyle w:val="Voetnoottekst"/>
      </w:pPr>
      <w:r>
        <w:rPr>
          <w:rStyle w:val="Voetnootmarkering"/>
        </w:rPr>
        <w:footnoteRef/>
      </w:r>
      <w:r>
        <w:tab/>
      </w:r>
      <w:r>
        <w:t>Memorie van toelichting, § 5.1, Toezicht door de ILT.</w:t>
      </w:r>
    </w:p>
  </w:footnote>
  <w:footnote w:id="17">
    <w:p w:rsidR="005B1A6C" w:rsidRDefault="00736907" w:rsidP="005B1A6C">
      <w:pPr>
        <w:pStyle w:val="Voetnoottekst"/>
      </w:pPr>
      <w:r>
        <w:rPr>
          <w:rStyle w:val="Voetnootmarkering"/>
        </w:rPr>
        <w:footnoteRef/>
      </w:r>
      <w:r>
        <w:tab/>
        <w:t xml:space="preserve">Kamerstukken II 2008/09, 31 700 VI, nr. 69, blz. 13. </w:t>
      </w:r>
    </w:p>
  </w:footnote>
  <w:footnote w:id="18">
    <w:p w:rsidR="00C54FD7" w:rsidRDefault="00736907">
      <w:pPr>
        <w:pStyle w:val="Voetnoottekst"/>
      </w:pPr>
      <w:r>
        <w:rPr>
          <w:rStyle w:val="Voetnootmarkering"/>
        </w:rPr>
        <w:footnoteRef/>
      </w:r>
      <w:r>
        <w:tab/>
        <w:t xml:space="preserve">De Afdeling oordeelde dat het criterium “open en besloten context” tot onevenwichtige en </w:t>
      </w:r>
      <w:r>
        <w:tab/>
        <w:t>ongerechtvaardigde uitkomsten leidt en daarom ongeschi</w:t>
      </w:r>
      <w:r>
        <w:t xml:space="preserve">kt is als uitgangspunt bij de keuze </w:t>
      </w:r>
      <w:r>
        <w:tab/>
        <w:t>tussen strafrechtelijk dan wel bestuursrechtelijke handhaving. Zie hiervoor onder meer:</w:t>
      </w:r>
    </w:p>
    <w:p w:rsidR="00C54FD7" w:rsidRDefault="00736907">
      <w:pPr>
        <w:pStyle w:val="Voetnoottekst"/>
      </w:pPr>
      <w:r>
        <w:tab/>
      </w:r>
      <w:r w:rsidRPr="00C54FD7">
        <w:t xml:space="preserve">- het advies van 19 februari 2014, W03.013.0464/II, over de nota van wijziging bij het voorstel </w:t>
      </w:r>
      <w:r>
        <w:tab/>
      </w:r>
      <w:r w:rsidRPr="00C54FD7">
        <w:t xml:space="preserve">van wet tot wijziging van de Wet </w:t>
      </w:r>
      <w:r w:rsidRPr="00C54FD7">
        <w:t xml:space="preserve">bescherming persoonsgegevens en de Telecommunicatiewet in </w:t>
      </w:r>
      <w:r>
        <w:tab/>
      </w:r>
      <w:r w:rsidRPr="00C54FD7">
        <w:t xml:space="preserve">verband met de invoering van een meldplicht bij de doorbreking van maatregelen voor de </w:t>
      </w:r>
      <w:r>
        <w:tab/>
      </w:r>
      <w:r w:rsidRPr="00C54FD7">
        <w:t xml:space="preserve">beveiliging van persoonsgegevens (meldplicht datalekken) (nog niet openbaar, opmerking 2a); </w:t>
      </w:r>
      <w:r>
        <w:br/>
      </w:r>
      <w:r>
        <w:tab/>
      </w:r>
      <w:r w:rsidRPr="00C54FD7">
        <w:t xml:space="preserve">- het advies van 4 mei 2012, W06.12.0043/III, over het voorstel tot wijziging van de Algemene </w:t>
      </w:r>
      <w:r>
        <w:tab/>
      </w:r>
      <w:r w:rsidRPr="00C54FD7">
        <w:t xml:space="preserve">douanewet en de Wet op de belasting van personenauto’s en motorrijwielen 1992 (Wet </w:t>
      </w:r>
      <w:r>
        <w:tab/>
      </w:r>
      <w:r w:rsidRPr="00C54FD7">
        <w:t>aanpassing sanctiestelsel Algemene douanewet) (nog niet openbaar,</w:t>
      </w:r>
      <w:r>
        <w:t xml:space="preserve"> </w:t>
      </w:r>
      <w:r w:rsidRPr="00C54FD7">
        <w:t>opmerking 1</w:t>
      </w:r>
      <w:r w:rsidRPr="00C54FD7">
        <w:t>a), en</w:t>
      </w:r>
      <w:r>
        <w:br/>
      </w:r>
      <w:r>
        <w:tab/>
      </w:r>
      <w:r w:rsidRPr="00C54FD7">
        <w:t>- het advies van 20 januari 2012, W12.11.0479/III, met betrekking tot het voorstel van wet</w:t>
      </w:r>
      <w:r>
        <w:t xml:space="preserve"> </w:t>
      </w:r>
      <w:r>
        <w:tab/>
      </w:r>
      <w:r w:rsidRPr="00C54FD7">
        <w:t xml:space="preserve">houdende wijziging van de wetgeving op het beleidsterrein van het ministerie van Sociale Zaken </w:t>
      </w:r>
      <w:r>
        <w:tab/>
      </w:r>
      <w:r w:rsidRPr="00C54FD7">
        <w:t>en Werkgelegenheid in het kader van de harmonisatie en aansc</w:t>
      </w:r>
      <w:r w:rsidRPr="00C54FD7">
        <w:t xml:space="preserve">herping van de sanctie </w:t>
      </w:r>
      <w:r>
        <w:tab/>
      </w:r>
      <w:r w:rsidRPr="00C54FD7">
        <w:t xml:space="preserve">mogelijkheden ter versterking van de naleving en handhaving en bestrijding van misbruik en fraude </w:t>
      </w:r>
      <w:r>
        <w:tab/>
      </w:r>
      <w:r w:rsidRPr="00C54FD7">
        <w:t xml:space="preserve">(Wet aanscherping handhaving en sanctiebeleid SZW-wetgeving) (Kamerstukken II </w:t>
      </w:r>
      <w:r>
        <w:tab/>
      </w:r>
      <w:r w:rsidRPr="00C54FD7">
        <w:t>2011/12, 33 207, nr. 4, opmerking 2b).</w:t>
      </w:r>
    </w:p>
  </w:footnote>
  <w:footnote w:id="19">
    <w:p w:rsidR="007F013F" w:rsidRDefault="00736907">
      <w:pPr>
        <w:pStyle w:val="Voetnoottekst"/>
      </w:pPr>
      <w:r>
        <w:rPr>
          <w:rStyle w:val="Voetnootmarkering"/>
        </w:rPr>
        <w:footnoteRef/>
      </w:r>
      <w:r>
        <w:tab/>
        <w:t>Federatie Aut</w:t>
      </w:r>
      <w:r>
        <w:t>oschool Management.</w:t>
      </w:r>
    </w:p>
  </w:footnote>
  <w:footnote w:id="20">
    <w:p w:rsidR="007F013F" w:rsidRDefault="00736907">
      <w:pPr>
        <w:pStyle w:val="Voetnoottekst"/>
      </w:pPr>
      <w:r>
        <w:rPr>
          <w:rStyle w:val="Voetnootmarkering"/>
        </w:rPr>
        <w:footnoteRef/>
      </w:r>
      <w:r>
        <w:tab/>
        <w:t>Vereniging Rijschool Belang.</w:t>
      </w:r>
    </w:p>
  </w:footnote>
  <w:footnote w:id="21">
    <w:p w:rsidR="007F013F" w:rsidRDefault="00736907">
      <w:pPr>
        <w:pStyle w:val="Voetnoottekst"/>
      </w:pPr>
      <w:r>
        <w:rPr>
          <w:rStyle w:val="Voetnootmarkering"/>
        </w:rPr>
        <w:footnoteRef/>
      </w:r>
      <w:r>
        <w:tab/>
        <w:t xml:space="preserve">Kamerstukken II 2013/14, nr. 746 (Aanhangsel), blz. 1. </w:t>
      </w:r>
    </w:p>
  </w:footnote>
  <w:footnote w:id="22">
    <w:p w:rsidR="007F013F" w:rsidRDefault="00736907">
      <w:pPr>
        <w:pStyle w:val="Voetnoottekst"/>
      </w:pPr>
      <w:r>
        <w:rPr>
          <w:rStyle w:val="Voetnootmarkering"/>
        </w:rPr>
        <w:footnoteRef/>
      </w:r>
      <w:r>
        <w:tab/>
        <w:t>Kamerstukken II 2014/15, 29 398, nr. 421, blz. 2-3.</w:t>
      </w:r>
    </w:p>
  </w:footnote>
  <w:footnote w:id="23">
    <w:p w:rsidR="007F013F" w:rsidRDefault="00736907" w:rsidP="007F013F">
      <w:pPr>
        <w:pStyle w:val="Voetnoottekst"/>
      </w:pPr>
      <w:r>
        <w:rPr>
          <w:rStyle w:val="Voetnootmarkering"/>
        </w:rPr>
        <w:footnoteRef/>
      </w:r>
      <w:r>
        <w:tab/>
        <w:t xml:space="preserve">Vergelijk het advies van de Raad van State van 29 juli 2010 over het </w:t>
      </w:r>
      <w:r w:rsidRPr="007A6B8F">
        <w:t>voorstel van wet tot</w:t>
      </w:r>
      <w:r>
        <w:t xml:space="preserve"> </w:t>
      </w:r>
      <w:r>
        <w:tab/>
      </w:r>
      <w:r w:rsidRPr="007A6B8F">
        <w:t xml:space="preserve">wijziging van de Scheepvaartverkeerswet en de Binnenvaartwet in verband met de invoering van </w:t>
      </w:r>
      <w:r>
        <w:tab/>
      </w:r>
      <w:r w:rsidRPr="007A6B8F">
        <w:t>de ontzegging van de vaarbevoegdheid</w:t>
      </w:r>
      <w:r>
        <w:t xml:space="preserve"> (</w:t>
      </w:r>
      <w:r w:rsidRPr="007A6B8F">
        <w:t>W09.10.0259/IV</w:t>
      </w:r>
      <w:r>
        <w:t xml:space="preserve">), </w:t>
      </w:r>
      <w:r w:rsidRPr="00202D6A">
        <w:t xml:space="preserve">Kamerstukken II 2010/11, 32 539, </w:t>
      </w:r>
      <w:r>
        <w:tab/>
      </w:r>
      <w:r w:rsidRPr="00202D6A">
        <w:t>nr.</w:t>
      </w:r>
      <w:r>
        <w:t> </w:t>
      </w:r>
      <w:r w:rsidRPr="00202D6A">
        <w:t>4</w:t>
      </w:r>
      <w:r>
        <w:t xml:space="preserve">, blz. 5 en het advies van de Raad van State van </w:t>
      </w:r>
      <w:r w:rsidRPr="007A6B8F">
        <w:t xml:space="preserve">10 september 2009 </w:t>
      </w:r>
      <w:r>
        <w:t>o</w:t>
      </w:r>
      <w:r>
        <w:t xml:space="preserve">ver </w:t>
      </w:r>
      <w:r w:rsidRPr="007A6B8F">
        <w:t xml:space="preserve">het voorstel van </w:t>
      </w:r>
      <w:r>
        <w:tab/>
      </w:r>
      <w:r w:rsidRPr="007A6B8F">
        <w:t xml:space="preserve">wet tot wijziging van de Wet op de kansspelen in verband met de instelling van de </w:t>
      </w:r>
      <w:r>
        <w:tab/>
      </w:r>
      <w:r w:rsidRPr="007A6B8F">
        <w:t>kansspelautoriteit</w:t>
      </w:r>
      <w:r>
        <w:t xml:space="preserve"> (</w:t>
      </w:r>
      <w:r w:rsidRPr="007A6B8F">
        <w:t>W03.09.0237/II</w:t>
      </w:r>
      <w:r>
        <w:t xml:space="preserve">), </w:t>
      </w:r>
      <w:r w:rsidRPr="00202D6A">
        <w:t>Kamerstukken II 2009/10, 32 264, nr</w:t>
      </w:r>
      <w:r>
        <w:t>.</w:t>
      </w:r>
      <w:r w:rsidRPr="00202D6A">
        <w:t xml:space="preserve"> 4</w:t>
      </w:r>
      <w:r>
        <w:t>, blz. 5-6.</w:t>
      </w:r>
    </w:p>
  </w:footnote>
  <w:footnote w:id="24">
    <w:p w:rsidR="007F013F" w:rsidRDefault="00736907">
      <w:pPr>
        <w:pStyle w:val="Voetnoottekst"/>
      </w:pPr>
      <w:r>
        <w:rPr>
          <w:rStyle w:val="Voetnootmarkering"/>
        </w:rPr>
        <w:footnoteRef/>
      </w:r>
      <w:r>
        <w:tab/>
        <w:t xml:space="preserve">Een ander verschil betreft de rechterlijke toetsing. De </w:t>
      </w:r>
      <w:r w:rsidRPr="007F013F">
        <w:t>strafr</w:t>
      </w:r>
      <w:r w:rsidRPr="007F013F">
        <w:t xml:space="preserve">echter </w:t>
      </w:r>
      <w:r>
        <w:t xml:space="preserve">moet </w:t>
      </w:r>
      <w:r w:rsidRPr="007F013F">
        <w:t xml:space="preserve">het feit bewezen verklaren </w:t>
      </w:r>
      <w:r>
        <w:tab/>
      </w:r>
      <w:r w:rsidRPr="007F013F">
        <w:t xml:space="preserve">en legt </w:t>
      </w:r>
      <w:r>
        <w:t xml:space="preserve">zelf de </w:t>
      </w:r>
      <w:r w:rsidRPr="007F013F">
        <w:t>boete op</w:t>
      </w:r>
      <w:r>
        <w:t>. De bestuursrechter daarentegen</w:t>
      </w:r>
      <w:r w:rsidRPr="007F013F">
        <w:t xml:space="preserve"> toetst het proces-verbaal van de </w:t>
      </w:r>
      <w:r>
        <w:tab/>
      </w:r>
      <w:r w:rsidRPr="007F013F">
        <w:t xml:space="preserve">overtreding en de rechtmatigheid van de door het bestuursorgaan opgelegde boete.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3690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3690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73BC40E6"/>
    <w:multiLevelType w:val="hybridMultilevel"/>
    <w:tmpl w:val="08502E84"/>
    <w:lvl w:ilvl="0" w:tplc="B02E64EC">
      <w:start w:val="1"/>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36907"/>
    <w:rsid w:val="00743072"/>
    <w:rsid w:val="00796479"/>
    <w:rsid w:val="008108EA"/>
    <w:rsid w:val="00831363"/>
    <w:rsid w:val="00883369"/>
    <w:rsid w:val="008C5EDD"/>
    <w:rsid w:val="00907421"/>
    <w:rsid w:val="00977969"/>
    <w:rsid w:val="009E537C"/>
    <w:rsid w:val="009E72D2"/>
    <w:rsid w:val="00A316AD"/>
    <w:rsid w:val="00A31DA9"/>
    <w:rsid w:val="00AC02F4"/>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B96B4A"/>
    <w:rPr>
      <w:vertAlign w:val="superscript"/>
    </w:rPr>
  </w:style>
  <w:style w:type="character" w:styleId="Verwijzingopmerking">
    <w:name w:val="annotation reference"/>
    <w:basedOn w:val="Standaardalinea-lettertype"/>
    <w:rsid w:val="007A6B8F"/>
    <w:rPr>
      <w:sz w:val="16"/>
      <w:szCs w:val="16"/>
    </w:rPr>
  </w:style>
  <w:style w:type="paragraph" w:styleId="Tekstopmerking">
    <w:name w:val="annotation text"/>
    <w:basedOn w:val="Standaard"/>
    <w:link w:val="TekstopmerkingChar"/>
    <w:rsid w:val="007A6B8F"/>
    <w:rPr>
      <w:sz w:val="20"/>
      <w:szCs w:val="20"/>
    </w:rPr>
  </w:style>
  <w:style w:type="character" w:customStyle="1" w:styleId="TekstopmerkingChar">
    <w:name w:val="Tekst opmerking Char"/>
    <w:basedOn w:val="Standaardalinea-lettertype"/>
    <w:link w:val="Tekstopmerking"/>
    <w:rsid w:val="007A6B8F"/>
    <w:rPr>
      <w:rFonts w:ascii="Univers" w:hAnsi="Univers"/>
    </w:rPr>
  </w:style>
  <w:style w:type="paragraph" w:styleId="Onderwerpvanopmerking">
    <w:name w:val="annotation subject"/>
    <w:basedOn w:val="Tekstopmerking"/>
    <w:next w:val="Tekstopmerking"/>
    <w:link w:val="OnderwerpvanopmerkingChar"/>
    <w:rsid w:val="007A6B8F"/>
    <w:rPr>
      <w:b/>
      <w:bCs/>
    </w:rPr>
  </w:style>
  <w:style w:type="character" w:customStyle="1" w:styleId="OnderwerpvanopmerkingChar">
    <w:name w:val="Onderwerp van opmerking Char"/>
    <w:basedOn w:val="TekstopmerkingChar"/>
    <w:link w:val="Onderwerpvanopmerking"/>
    <w:rsid w:val="007A6B8F"/>
    <w:rPr>
      <w:rFonts w:ascii="Univers" w:hAnsi="Univers"/>
      <w:b/>
      <w:bCs/>
    </w:rPr>
  </w:style>
  <w:style w:type="paragraph" w:styleId="Lijstalinea">
    <w:name w:val="List Paragraph"/>
    <w:basedOn w:val="Standaard"/>
    <w:uiPriority w:val="34"/>
    <w:qFormat/>
    <w:rsid w:val="009263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B96B4A"/>
    <w:rPr>
      <w:vertAlign w:val="superscript"/>
    </w:rPr>
  </w:style>
  <w:style w:type="character" w:styleId="Verwijzingopmerking">
    <w:name w:val="annotation reference"/>
    <w:basedOn w:val="Standaardalinea-lettertype"/>
    <w:rsid w:val="007A6B8F"/>
    <w:rPr>
      <w:sz w:val="16"/>
      <w:szCs w:val="16"/>
    </w:rPr>
  </w:style>
  <w:style w:type="paragraph" w:styleId="Tekstopmerking">
    <w:name w:val="annotation text"/>
    <w:basedOn w:val="Standaard"/>
    <w:link w:val="TekstopmerkingChar"/>
    <w:rsid w:val="007A6B8F"/>
    <w:rPr>
      <w:sz w:val="20"/>
      <w:szCs w:val="20"/>
    </w:rPr>
  </w:style>
  <w:style w:type="character" w:customStyle="1" w:styleId="TekstopmerkingChar">
    <w:name w:val="Tekst opmerking Char"/>
    <w:basedOn w:val="Standaardalinea-lettertype"/>
    <w:link w:val="Tekstopmerking"/>
    <w:rsid w:val="007A6B8F"/>
    <w:rPr>
      <w:rFonts w:ascii="Univers" w:hAnsi="Univers"/>
    </w:rPr>
  </w:style>
  <w:style w:type="paragraph" w:styleId="Onderwerpvanopmerking">
    <w:name w:val="annotation subject"/>
    <w:basedOn w:val="Tekstopmerking"/>
    <w:next w:val="Tekstopmerking"/>
    <w:link w:val="OnderwerpvanopmerkingChar"/>
    <w:rsid w:val="007A6B8F"/>
    <w:rPr>
      <w:b/>
      <w:bCs/>
    </w:rPr>
  </w:style>
  <w:style w:type="character" w:customStyle="1" w:styleId="OnderwerpvanopmerkingChar">
    <w:name w:val="Onderwerp van opmerking Char"/>
    <w:basedOn w:val="TekstopmerkingChar"/>
    <w:link w:val="Onderwerpvanopmerking"/>
    <w:rsid w:val="007A6B8F"/>
    <w:rPr>
      <w:rFonts w:ascii="Univers" w:hAnsi="Univers"/>
      <w:b/>
      <w:bCs/>
    </w:rPr>
  </w:style>
  <w:style w:type="paragraph" w:styleId="Lijstalinea">
    <w:name w:val="List Paragraph"/>
    <w:basedOn w:val="Standaard"/>
    <w:uiPriority w:val="34"/>
    <w:qFormat/>
    <w:rsid w:val="00926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1655</ap:Words>
  <ap:Characters>9104</ap:Characters>
  <ap:DocSecurity>4</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2015-04-02T13:07:00.0000000Z</dcterms:created>
  <dcterms:modified xsi:type="dcterms:W3CDTF">2015-04-02T13:07:00.0000000Z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0x01010012A226CA80E29F4EBD556875F742F2CE</vt:lpwstr>
  </property>
</Properties>
</file>