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023D7" w:rsidR="00C417CE" w:rsidP="001B15F8" w:rsidRDefault="00B1525A">
      <w:pPr>
        <w:jc w:val="both"/>
        <w:rPr>
          <w:b/>
          <w:sz w:val="24"/>
          <w:szCs w:val="24"/>
        </w:rPr>
      </w:pPr>
      <w:r w:rsidRPr="001023D7">
        <w:rPr>
          <w:b/>
          <w:sz w:val="24"/>
          <w:szCs w:val="24"/>
        </w:rPr>
        <w:t xml:space="preserve">Verdrag tussen het Koninkrijk der Nederlanden en de Republiek Gabon betreffende de status van civiel </w:t>
      </w:r>
      <w:r w:rsidRPr="001023D7" w:rsidR="007B01A8">
        <w:rPr>
          <w:b/>
          <w:sz w:val="24"/>
          <w:szCs w:val="24"/>
        </w:rPr>
        <w:t xml:space="preserve">en militair </w:t>
      </w:r>
      <w:r w:rsidRPr="001023D7">
        <w:rPr>
          <w:b/>
          <w:sz w:val="24"/>
          <w:szCs w:val="24"/>
        </w:rPr>
        <w:t xml:space="preserve">personeel van </w:t>
      </w:r>
      <w:r w:rsidR="007B01A8">
        <w:rPr>
          <w:b/>
          <w:sz w:val="24"/>
          <w:szCs w:val="24"/>
        </w:rPr>
        <w:t>hun</w:t>
      </w:r>
      <w:r w:rsidRPr="001023D7">
        <w:rPr>
          <w:b/>
          <w:sz w:val="24"/>
          <w:szCs w:val="24"/>
        </w:rPr>
        <w:t xml:space="preserve"> Ministerie</w:t>
      </w:r>
      <w:r w:rsidR="007B01A8">
        <w:rPr>
          <w:b/>
          <w:sz w:val="24"/>
          <w:szCs w:val="24"/>
        </w:rPr>
        <w:t>s</w:t>
      </w:r>
      <w:r w:rsidRPr="001023D7">
        <w:rPr>
          <w:b/>
          <w:sz w:val="24"/>
          <w:szCs w:val="24"/>
        </w:rPr>
        <w:t xml:space="preserve"> van Defensie, </w:t>
      </w:r>
      <w:r w:rsidR="007B01A8">
        <w:rPr>
          <w:b/>
          <w:sz w:val="24"/>
          <w:szCs w:val="24"/>
        </w:rPr>
        <w:t xml:space="preserve">dat </w:t>
      </w:r>
      <w:r w:rsidRPr="001023D7">
        <w:rPr>
          <w:b/>
          <w:sz w:val="24"/>
          <w:szCs w:val="24"/>
        </w:rPr>
        <w:t xml:space="preserve">aanwezig </w:t>
      </w:r>
      <w:r w:rsidR="007B01A8">
        <w:rPr>
          <w:b/>
          <w:sz w:val="24"/>
          <w:szCs w:val="24"/>
        </w:rPr>
        <w:t xml:space="preserve">zal zijn </w:t>
      </w:r>
      <w:r w:rsidRPr="001023D7">
        <w:rPr>
          <w:b/>
          <w:sz w:val="24"/>
          <w:szCs w:val="24"/>
        </w:rPr>
        <w:t>op elkaars grondgebied in het kader van militaire samenwerking</w:t>
      </w:r>
      <w:r w:rsidR="00A565CF">
        <w:rPr>
          <w:b/>
          <w:sz w:val="24"/>
          <w:szCs w:val="24"/>
        </w:rPr>
        <w:t xml:space="preserve">; Libreville, </w:t>
      </w:r>
      <w:r w:rsidR="005F0662">
        <w:rPr>
          <w:b/>
          <w:sz w:val="24"/>
          <w:szCs w:val="24"/>
        </w:rPr>
        <w:br/>
      </w:r>
      <w:r w:rsidR="00A565CF">
        <w:rPr>
          <w:b/>
          <w:sz w:val="24"/>
          <w:szCs w:val="24"/>
        </w:rPr>
        <w:t>26 november 2014</w:t>
      </w:r>
      <w:r w:rsidR="006C1AB8">
        <w:rPr>
          <w:b/>
          <w:sz w:val="24"/>
          <w:szCs w:val="24"/>
        </w:rPr>
        <w:t xml:space="preserve">  (Trb. 2014, 213</w:t>
      </w:r>
      <w:r w:rsidR="00D3380E">
        <w:rPr>
          <w:b/>
          <w:sz w:val="24"/>
          <w:szCs w:val="24"/>
        </w:rPr>
        <w:t xml:space="preserve"> en Trb. 2015, 19</w:t>
      </w:r>
      <w:r w:rsidR="006C1AB8">
        <w:rPr>
          <w:b/>
          <w:sz w:val="24"/>
          <w:szCs w:val="24"/>
        </w:rPr>
        <w:t>)</w:t>
      </w:r>
    </w:p>
    <w:p w:rsidRPr="001023D7" w:rsidR="00E53968" w:rsidP="001B15F8" w:rsidRDefault="00E53968">
      <w:pPr>
        <w:jc w:val="both"/>
        <w:rPr>
          <w:b/>
          <w:sz w:val="24"/>
          <w:szCs w:val="24"/>
        </w:rPr>
      </w:pPr>
    </w:p>
    <w:p w:rsidRPr="001023D7" w:rsidR="00E53968" w:rsidP="001B15F8" w:rsidRDefault="00E53968">
      <w:pPr>
        <w:jc w:val="both"/>
        <w:rPr>
          <w:b/>
          <w:sz w:val="24"/>
          <w:szCs w:val="24"/>
        </w:rPr>
      </w:pPr>
      <w:r w:rsidRPr="001023D7">
        <w:rPr>
          <w:b/>
          <w:sz w:val="24"/>
          <w:szCs w:val="24"/>
        </w:rPr>
        <w:t>TOELICHTENDE NOTA</w:t>
      </w:r>
    </w:p>
    <w:p w:rsidRPr="00CD41E3" w:rsidR="00E53968" w:rsidP="001B15F8" w:rsidRDefault="00E53968">
      <w:pPr>
        <w:jc w:val="both"/>
        <w:rPr>
          <w:b/>
          <w:sz w:val="24"/>
          <w:szCs w:val="24"/>
          <w:u w:val="single"/>
        </w:rPr>
      </w:pPr>
      <w:r w:rsidRPr="00CD41E3">
        <w:rPr>
          <w:b/>
          <w:sz w:val="24"/>
          <w:szCs w:val="24"/>
          <w:u w:val="single"/>
        </w:rPr>
        <w:t>Inleiding</w:t>
      </w:r>
    </w:p>
    <w:p w:rsidRPr="001023D7" w:rsidR="00F10FAD" w:rsidP="0072128B" w:rsidRDefault="00F10FAD">
      <w:pPr>
        <w:jc w:val="both"/>
        <w:rPr>
          <w:sz w:val="24"/>
          <w:szCs w:val="24"/>
        </w:rPr>
      </w:pPr>
      <w:r w:rsidRPr="001023D7">
        <w:rPr>
          <w:sz w:val="24"/>
          <w:szCs w:val="24"/>
        </w:rPr>
        <w:t xml:space="preserve">Defensie heeft voor de </w:t>
      </w:r>
      <w:r w:rsidR="00AD79A9">
        <w:rPr>
          <w:sz w:val="24"/>
          <w:szCs w:val="24"/>
        </w:rPr>
        <w:t>opleiding en training</w:t>
      </w:r>
      <w:r w:rsidRPr="001023D7">
        <w:rPr>
          <w:sz w:val="24"/>
          <w:szCs w:val="24"/>
        </w:rPr>
        <w:t xml:space="preserve"> van militair personeel</w:t>
      </w:r>
      <w:r w:rsidR="00AD79A9">
        <w:rPr>
          <w:sz w:val="24"/>
          <w:szCs w:val="24"/>
        </w:rPr>
        <w:t xml:space="preserve"> en de gereedstelling van eenheden</w:t>
      </w:r>
      <w:r w:rsidRPr="001023D7">
        <w:rPr>
          <w:sz w:val="24"/>
          <w:szCs w:val="24"/>
        </w:rPr>
        <w:t xml:space="preserve"> behoefte aan gebieden </w:t>
      </w:r>
      <w:r w:rsidR="00AD79A9">
        <w:rPr>
          <w:sz w:val="24"/>
          <w:szCs w:val="24"/>
        </w:rPr>
        <w:t xml:space="preserve">zoals jungle </w:t>
      </w:r>
      <w:r w:rsidRPr="001023D7">
        <w:rPr>
          <w:sz w:val="24"/>
          <w:szCs w:val="24"/>
        </w:rPr>
        <w:t xml:space="preserve">waarin onder bijzondere </w:t>
      </w:r>
      <w:r w:rsidRPr="001023D7" w:rsidR="00065890">
        <w:rPr>
          <w:sz w:val="24"/>
          <w:szCs w:val="24"/>
        </w:rPr>
        <w:t xml:space="preserve">omstandigheden </w:t>
      </w:r>
      <w:r w:rsidRPr="001023D7">
        <w:rPr>
          <w:sz w:val="24"/>
          <w:szCs w:val="24"/>
        </w:rPr>
        <w:t>kan worden</w:t>
      </w:r>
      <w:r w:rsidRPr="00A76B1B" w:rsidR="00A76B1B">
        <w:rPr>
          <w:sz w:val="24"/>
          <w:szCs w:val="24"/>
        </w:rPr>
        <w:t xml:space="preserve"> </w:t>
      </w:r>
      <w:r w:rsidR="00A76B1B">
        <w:rPr>
          <w:sz w:val="24"/>
          <w:szCs w:val="24"/>
        </w:rPr>
        <w:t>geoefend</w:t>
      </w:r>
      <w:r w:rsidRPr="001023D7">
        <w:rPr>
          <w:sz w:val="24"/>
          <w:szCs w:val="24"/>
        </w:rPr>
        <w:t xml:space="preserve">. In het verleden werden deze trainingen uitgevoerd in </w:t>
      </w:r>
      <w:r w:rsidR="00AD79A9">
        <w:rPr>
          <w:sz w:val="24"/>
          <w:szCs w:val="24"/>
        </w:rPr>
        <w:t>onder andere</w:t>
      </w:r>
      <w:r w:rsidRPr="001023D7">
        <w:rPr>
          <w:sz w:val="24"/>
          <w:szCs w:val="24"/>
        </w:rPr>
        <w:t xml:space="preserve"> Frans-Guyana en Suriname</w:t>
      </w:r>
      <w:r w:rsidR="00AD79A9">
        <w:rPr>
          <w:sz w:val="24"/>
          <w:szCs w:val="24"/>
        </w:rPr>
        <w:t>, maar om uiteenlopende redenen is dit niet meer aan de orde</w:t>
      </w:r>
      <w:r w:rsidRPr="001023D7">
        <w:rPr>
          <w:sz w:val="24"/>
          <w:szCs w:val="24"/>
        </w:rPr>
        <w:t xml:space="preserve">. </w:t>
      </w:r>
      <w:r w:rsidR="00AD79A9">
        <w:rPr>
          <w:sz w:val="24"/>
          <w:szCs w:val="24"/>
        </w:rPr>
        <w:t>Zo sluit de omvan</w:t>
      </w:r>
      <w:r w:rsidR="00CC5A01">
        <w:rPr>
          <w:sz w:val="24"/>
          <w:szCs w:val="24"/>
        </w:rPr>
        <w:t>g van het oefenterrein in Frans-</w:t>
      </w:r>
      <w:r w:rsidR="00AD79A9">
        <w:rPr>
          <w:sz w:val="24"/>
          <w:szCs w:val="24"/>
        </w:rPr>
        <w:t>Guyana niet aan bij de Nederlandse behoefte.</w:t>
      </w:r>
    </w:p>
    <w:p w:rsidRPr="001023D7" w:rsidR="00675A86" w:rsidP="0072128B" w:rsidRDefault="00A76B1B">
      <w:pPr>
        <w:jc w:val="both"/>
        <w:rPr>
          <w:sz w:val="24"/>
          <w:szCs w:val="24"/>
        </w:rPr>
      </w:pPr>
      <w:r w:rsidRPr="006D4594">
        <w:rPr>
          <w:sz w:val="24"/>
          <w:szCs w:val="24"/>
        </w:rPr>
        <w:t>Sinds enkele jaren voert Nederland j</w:t>
      </w:r>
      <w:r w:rsidRPr="006D4594" w:rsidR="00675A86">
        <w:rPr>
          <w:sz w:val="24"/>
          <w:szCs w:val="24"/>
        </w:rPr>
        <w:t xml:space="preserve">ungletraining </w:t>
      </w:r>
      <w:r w:rsidRPr="006D4594">
        <w:rPr>
          <w:sz w:val="24"/>
          <w:szCs w:val="24"/>
        </w:rPr>
        <w:t xml:space="preserve">uit </w:t>
      </w:r>
      <w:r w:rsidRPr="006D4594" w:rsidR="00675A86">
        <w:rPr>
          <w:sz w:val="24"/>
          <w:szCs w:val="24"/>
        </w:rPr>
        <w:t>in Gabon in samenwerking met Frankrijk</w:t>
      </w:r>
      <w:r w:rsidRPr="006D4594" w:rsidR="00CD2D55">
        <w:rPr>
          <w:sz w:val="24"/>
          <w:szCs w:val="24"/>
        </w:rPr>
        <w:t>.</w:t>
      </w:r>
      <w:r w:rsidR="00CD2D55">
        <w:rPr>
          <w:sz w:val="24"/>
          <w:szCs w:val="24"/>
        </w:rPr>
        <w:t xml:space="preserve"> </w:t>
      </w:r>
      <w:r w:rsidR="007B01A8">
        <w:rPr>
          <w:sz w:val="24"/>
          <w:szCs w:val="24"/>
        </w:rPr>
        <w:t>Frankrijk</w:t>
      </w:r>
      <w:r w:rsidR="00CD2D55">
        <w:rPr>
          <w:sz w:val="24"/>
          <w:szCs w:val="24"/>
        </w:rPr>
        <w:t xml:space="preserve"> heeft in Gabon </w:t>
      </w:r>
      <w:r w:rsidRPr="001023D7" w:rsidR="00675A86">
        <w:rPr>
          <w:sz w:val="24"/>
          <w:szCs w:val="24"/>
        </w:rPr>
        <w:t>een militair steunpunt</w:t>
      </w:r>
      <w:r w:rsidR="00AD79A9">
        <w:rPr>
          <w:sz w:val="24"/>
          <w:szCs w:val="24"/>
        </w:rPr>
        <w:t>,</w:t>
      </w:r>
      <w:r w:rsidRPr="001023D7" w:rsidR="00675A86">
        <w:rPr>
          <w:sz w:val="24"/>
          <w:szCs w:val="24"/>
        </w:rPr>
        <w:t xml:space="preserve"> onder </w:t>
      </w:r>
      <w:r w:rsidR="00AD79A9">
        <w:rPr>
          <w:sz w:val="24"/>
          <w:szCs w:val="24"/>
        </w:rPr>
        <w:t>andere</w:t>
      </w:r>
      <w:r w:rsidRPr="001023D7" w:rsidR="00675A86">
        <w:rPr>
          <w:sz w:val="24"/>
          <w:szCs w:val="24"/>
        </w:rPr>
        <w:t xml:space="preserve"> </w:t>
      </w:r>
      <w:r w:rsidR="00AD79A9">
        <w:rPr>
          <w:sz w:val="24"/>
          <w:szCs w:val="24"/>
        </w:rPr>
        <w:t>ten behoeve van een</w:t>
      </w:r>
      <w:r w:rsidR="00CD2D55">
        <w:rPr>
          <w:sz w:val="24"/>
          <w:szCs w:val="24"/>
        </w:rPr>
        <w:t xml:space="preserve"> programma </w:t>
      </w:r>
      <w:r w:rsidRPr="001023D7" w:rsidR="00675A86">
        <w:rPr>
          <w:sz w:val="24"/>
          <w:szCs w:val="24"/>
        </w:rPr>
        <w:t>om Afrikaanse landen voor te bereiden op het zelfstandig uitvoeren van vredesoperaties. Daarnaast verzorgen de Fransen een deel van hun</w:t>
      </w:r>
      <w:r w:rsidRPr="001023D7" w:rsidR="00F26408">
        <w:rPr>
          <w:sz w:val="24"/>
          <w:szCs w:val="24"/>
        </w:rPr>
        <w:t xml:space="preserve"> </w:t>
      </w:r>
      <w:r w:rsidR="00C27C2F">
        <w:rPr>
          <w:sz w:val="24"/>
          <w:szCs w:val="24"/>
        </w:rPr>
        <w:t xml:space="preserve">eigen </w:t>
      </w:r>
      <w:r w:rsidRPr="001023D7" w:rsidR="00F26408">
        <w:rPr>
          <w:sz w:val="24"/>
          <w:szCs w:val="24"/>
        </w:rPr>
        <w:t xml:space="preserve">jungleopleidingen in </w:t>
      </w:r>
      <w:r w:rsidR="007B01A8">
        <w:rPr>
          <w:sz w:val="24"/>
          <w:szCs w:val="24"/>
        </w:rPr>
        <w:t>Gabon</w:t>
      </w:r>
      <w:r w:rsidRPr="001023D7" w:rsidR="007041EB">
        <w:rPr>
          <w:sz w:val="24"/>
          <w:szCs w:val="24"/>
        </w:rPr>
        <w:t>.</w:t>
      </w:r>
      <w:r w:rsidR="00AB7EA8">
        <w:rPr>
          <w:sz w:val="24"/>
          <w:szCs w:val="24"/>
        </w:rPr>
        <w:t xml:space="preserve"> </w:t>
      </w:r>
      <w:r w:rsidRPr="001023D7" w:rsidR="00675A86">
        <w:rPr>
          <w:sz w:val="24"/>
          <w:szCs w:val="24"/>
        </w:rPr>
        <w:t xml:space="preserve">Mede door de aanwezigheid van </w:t>
      </w:r>
      <w:r w:rsidR="00AD79A9">
        <w:rPr>
          <w:sz w:val="24"/>
          <w:szCs w:val="24"/>
        </w:rPr>
        <w:t>onder andere</w:t>
      </w:r>
      <w:r w:rsidRPr="001023D7" w:rsidR="00675A86">
        <w:rPr>
          <w:sz w:val="24"/>
          <w:szCs w:val="24"/>
        </w:rPr>
        <w:t xml:space="preserve"> medische voorzieningen in het Franse steunpunt is Gabon bijzonder geschikt voor</w:t>
      </w:r>
      <w:r>
        <w:rPr>
          <w:sz w:val="24"/>
          <w:szCs w:val="24"/>
        </w:rPr>
        <w:t xml:space="preserve"> jungle</w:t>
      </w:r>
      <w:r w:rsidRPr="006D4594">
        <w:rPr>
          <w:sz w:val="24"/>
          <w:szCs w:val="24"/>
        </w:rPr>
        <w:t xml:space="preserve">training. </w:t>
      </w:r>
      <w:r w:rsidRPr="006D4594" w:rsidR="00C27C2F">
        <w:rPr>
          <w:sz w:val="24"/>
          <w:szCs w:val="24"/>
        </w:rPr>
        <w:t>Defensie heeft enkele jaren geleden een stafofficier geplaatst in Gabon</w:t>
      </w:r>
      <w:r w:rsidRPr="006D4594">
        <w:rPr>
          <w:sz w:val="24"/>
          <w:szCs w:val="24"/>
        </w:rPr>
        <w:t>.</w:t>
      </w:r>
    </w:p>
    <w:p w:rsidRPr="006D4594" w:rsidR="003E673C" w:rsidP="0072128B" w:rsidRDefault="0072128B">
      <w:pPr>
        <w:jc w:val="both"/>
        <w:rPr>
          <w:sz w:val="24"/>
          <w:szCs w:val="24"/>
        </w:rPr>
      </w:pPr>
      <w:r w:rsidRPr="001023D7">
        <w:rPr>
          <w:sz w:val="24"/>
          <w:szCs w:val="24"/>
        </w:rPr>
        <w:t xml:space="preserve">Op 16 oktober 2009 is door middel van een notawisseling een verdrag tot stand gekomen  tussen het Koninkrijk der Nederlanden en de Republiek Gabon betreffende de status van militair en civiel personeel </w:t>
      </w:r>
      <w:r w:rsidR="003950A7">
        <w:rPr>
          <w:sz w:val="24"/>
          <w:szCs w:val="24"/>
        </w:rPr>
        <w:t>van het Koninkrijk der Nederlanden, aanwezig op het</w:t>
      </w:r>
      <w:r w:rsidRPr="001023D7">
        <w:rPr>
          <w:sz w:val="24"/>
          <w:szCs w:val="24"/>
        </w:rPr>
        <w:t xml:space="preserve"> grondgebied </w:t>
      </w:r>
      <w:r w:rsidR="003950A7">
        <w:rPr>
          <w:sz w:val="24"/>
          <w:szCs w:val="24"/>
        </w:rPr>
        <w:t>van de Republiek Gabon</w:t>
      </w:r>
      <w:r w:rsidRPr="001023D7" w:rsidR="008F3F30">
        <w:rPr>
          <w:sz w:val="24"/>
          <w:szCs w:val="24"/>
        </w:rPr>
        <w:t xml:space="preserve"> (Trb. </w:t>
      </w:r>
      <w:r w:rsidRPr="001023D7" w:rsidR="00802E25">
        <w:rPr>
          <w:sz w:val="24"/>
          <w:szCs w:val="24"/>
        </w:rPr>
        <w:t xml:space="preserve">2009, 211). </w:t>
      </w:r>
      <w:r w:rsidRPr="001023D7" w:rsidR="008F3F30">
        <w:rPr>
          <w:sz w:val="24"/>
          <w:szCs w:val="24"/>
        </w:rPr>
        <w:t>Dit verdrag met een looptijd van een jaar</w:t>
      </w:r>
      <w:r w:rsidRPr="001023D7" w:rsidR="00D561E9">
        <w:rPr>
          <w:sz w:val="24"/>
          <w:szCs w:val="24"/>
        </w:rPr>
        <w:t xml:space="preserve"> bevat bepalingen inzake onder meer jurisdictie, claims en het dragen van wapens. Het verdrag </w:t>
      </w:r>
      <w:r w:rsidRPr="001023D7" w:rsidR="008F3F30">
        <w:rPr>
          <w:sz w:val="24"/>
          <w:szCs w:val="24"/>
        </w:rPr>
        <w:t xml:space="preserve">is sindsdien </w:t>
      </w:r>
      <w:r w:rsidR="00AD79A9">
        <w:rPr>
          <w:sz w:val="24"/>
          <w:szCs w:val="24"/>
        </w:rPr>
        <w:t>enkele</w:t>
      </w:r>
      <w:r w:rsidRPr="001023D7" w:rsidR="008F3F30">
        <w:rPr>
          <w:sz w:val="24"/>
          <w:szCs w:val="24"/>
        </w:rPr>
        <w:t xml:space="preserve"> malen verlengd. </w:t>
      </w:r>
      <w:r w:rsidR="00AD79A9">
        <w:rPr>
          <w:sz w:val="24"/>
          <w:szCs w:val="24"/>
        </w:rPr>
        <w:t xml:space="preserve">Tevens </w:t>
      </w:r>
      <w:r w:rsidRPr="001023D7" w:rsidR="008F3F30">
        <w:rPr>
          <w:sz w:val="24"/>
          <w:szCs w:val="24"/>
        </w:rPr>
        <w:t xml:space="preserve">zijn de verdragsluitende partijen onderhandelingen </w:t>
      </w:r>
      <w:r w:rsidR="00AD79A9">
        <w:rPr>
          <w:sz w:val="24"/>
          <w:szCs w:val="24"/>
        </w:rPr>
        <w:t xml:space="preserve">begonnen over </w:t>
      </w:r>
      <w:r w:rsidRPr="001023D7" w:rsidR="008F3F30">
        <w:rPr>
          <w:sz w:val="24"/>
          <w:szCs w:val="24"/>
        </w:rPr>
        <w:t xml:space="preserve">een </w:t>
      </w:r>
      <w:r w:rsidRPr="001023D7" w:rsidR="00802E25">
        <w:rPr>
          <w:sz w:val="24"/>
          <w:szCs w:val="24"/>
        </w:rPr>
        <w:t xml:space="preserve">verdrag met onbepaalde looptijd. </w:t>
      </w:r>
      <w:r w:rsidR="002C2B2E">
        <w:rPr>
          <w:sz w:val="24"/>
          <w:szCs w:val="24"/>
        </w:rPr>
        <w:t>Dit verdrag is, in tegenstelling tot het verdrag met een looptijd van een jaar, niet alleen van toepassing op Nederlands personeel in Gabon maar ook op Gabonees personeel in Nederland.</w:t>
      </w:r>
      <w:r w:rsidRPr="009D60D6" w:rsidR="009D60D6">
        <w:t xml:space="preserve"> </w:t>
      </w:r>
      <w:r w:rsidRPr="006D4594" w:rsidR="009D60D6">
        <w:rPr>
          <w:sz w:val="24"/>
          <w:szCs w:val="24"/>
        </w:rPr>
        <w:t>Voor het sluiten van het meerjaren verdrag heeft Gabon als eis gesteld dat het verdrag wederkerig moet zijn. De reden hiervoor is onder meer dat, indien zich in de toekomst mogelijkheden zouden voordoen om Gabonees personeel in Nederland te trainen, de status van dit personeel in Nederland gewaarborgd moet zijn. Bij het opleiden en trainen van Gabonees personeel in Nederland moet in beginsel niet worden gedacht aan grootschalige oefeningen, maar meer aan individuele cursussen die van tijd tot tijd door een gering aantal Gabonese militairen bij defensie instellingen in Nederland worden gevolgd. Deze opleidingen staan qua omvang en frequentie echter in generlei verhoud</w:t>
      </w:r>
      <w:r w:rsidRPr="006D4594" w:rsidR="00337770">
        <w:rPr>
          <w:sz w:val="24"/>
          <w:szCs w:val="24"/>
        </w:rPr>
        <w:t>ing tot de training</w:t>
      </w:r>
      <w:r w:rsidRPr="006D4594" w:rsidR="008F55D2">
        <w:rPr>
          <w:sz w:val="24"/>
          <w:szCs w:val="24"/>
        </w:rPr>
        <w:t>en</w:t>
      </w:r>
      <w:r w:rsidRPr="006D4594" w:rsidR="00337770">
        <w:rPr>
          <w:sz w:val="24"/>
          <w:szCs w:val="24"/>
        </w:rPr>
        <w:t>,</w:t>
      </w:r>
      <w:r w:rsidRPr="006D4594" w:rsidR="008F55D2">
        <w:rPr>
          <w:sz w:val="24"/>
          <w:szCs w:val="24"/>
        </w:rPr>
        <w:t xml:space="preserve"> </w:t>
      </w:r>
      <w:r w:rsidRPr="006D4594" w:rsidR="009D60D6">
        <w:rPr>
          <w:sz w:val="24"/>
          <w:szCs w:val="24"/>
        </w:rPr>
        <w:t xml:space="preserve">die Nederlandse militairen in Gabon volgen. </w:t>
      </w:r>
      <w:r w:rsidRPr="006D4594" w:rsidR="008D29B0">
        <w:rPr>
          <w:sz w:val="24"/>
          <w:szCs w:val="24"/>
        </w:rPr>
        <w:t>De</w:t>
      </w:r>
      <w:r w:rsidRPr="006D4594" w:rsidR="00802E25">
        <w:rPr>
          <w:sz w:val="24"/>
          <w:szCs w:val="24"/>
        </w:rPr>
        <w:t xml:space="preserve"> </w:t>
      </w:r>
      <w:r w:rsidRPr="006D4594" w:rsidR="00065890">
        <w:rPr>
          <w:sz w:val="24"/>
          <w:szCs w:val="24"/>
        </w:rPr>
        <w:t xml:space="preserve">onderhandelingen </w:t>
      </w:r>
      <w:r w:rsidRPr="006D4594" w:rsidR="00577D2E">
        <w:rPr>
          <w:sz w:val="24"/>
          <w:szCs w:val="24"/>
        </w:rPr>
        <w:t>hebben geresulteerd in het verdrag</w:t>
      </w:r>
      <w:r w:rsidRPr="006D4594" w:rsidR="00FF27DE">
        <w:rPr>
          <w:sz w:val="24"/>
          <w:szCs w:val="24"/>
        </w:rPr>
        <w:t>.</w:t>
      </w:r>
    </w:p>
    <w:p w:rsidR="008738DB" w:rsidP="00D3380E" w:rsidRDefault="00E53968">
      <w:pPr>
        <w:jc w:val="both"/>
        <w:rPr>
          <w:sz w:val="24"/>
          <w:szCs w:val="24"/>
        </w:rPr>
      </w:pPr>
      <w:r w:rsidRPr="00570F3F">
        <w:rPr>
          <w:sz w:val="24"/>
          <w:szCs w:val="24"/>
        </w:rPr>
        <w:lastRenderedPageBreak/>
        <w:t>Hieronder volgt een artikelsgewijze toelichting op de voornaamste bepalingen</w:t>
      </w:r>
      <w:r w:rsidRPr="00570F3F" w:rsidR="00A46F9D">
        <w:rPr>
          <w:sz w:val="24"/>
          <w:szCs w:val="24"/>
        </w:rPr>
        <w:t xml:space="preserve"> in dit verdrag</w:t>
      </w:r>
      <w:r w:rsidRPr="00570F3F">
        <w:rPr>
          <w:sz w:val="24"/>
          <w:szCs w:val="24"/>
        </w:rPr>
        <w:t>.</w:t>
      </w:r>
    </w:p>
    <w:p w:rsidRPr="00CD41E3" w:rsidR="00E53968" w:rsidP="001B15F8" w:rsidRDefault="00E53968">
      <w:pPr>
        <w:jc w:val="both"/>
        <w:rPr>
          <w:b/>
          <w:sz w:val="24"/>
          <w:szCs w:val="24"/>
          <w:u w:val="single"/>
        </w:rPr>
      </w:pPr>
      <w:r w:rsidRPr="00CD41E3">
        <w:rPr>
          <w:b/>
          <w:sz w:val="24"/>
          <w:szCs w:val="24"/>
          <w:u w:val="single"/>
        </w:rPr>
        <w:t>Artikelsgewijze toelichting</w:t>
      </w:r>
    </w:p>
    <w:p w:rsidR="00E53968" w:rsidP="001B15F8" w:rsidRDefault="00A7798A">
      <w:pPr>
        <w:jc w:val="both"/>
        <w:rPr>
          <w:sz w:val="24"/>
          <w:szCs w:val="24"/>
        </w:rPr>
      </w:pPr>
      <w:r w:rsidRPr="001023D7">
        <w:rPr>
          <w:sz w:val="24"/>
          <w:szCs w:val="24"/>
        </w:rPr>
        <w:t>Artikel I</w:t>
      </w:r>
    </w:p>
    <w:p w:rsidRPr="001023D7" w:rsidR="00F1297F" w:rsidP="001B15F8" w:rsidRDefault="00F1297F">
      <w:pPr>
        <w:jc w:val="both"/>
        <w:rPr>
          <w:sz w:val="24"/>
          <w:szCs w:val="24"/>
        </w:rPr>
      </w:pPr>
      <w:r>
        <w:rPr>
          <w:sz w:val="24"/>
          <w:szCs w:val="24"/>
        </w:rPr>
        <w:t>D</w:t>
      </w:r>
      <w:r w:rsidRPr="00F1297F">
        <w:rPr>
          <w:sz w:val="24"/>
          <w:szCs w:val="24"/>
        </w:rPr>
        <w:t>e definitie</w:t>
      </w:r>
      <w:r w:rsidR="002469BC">
        <w:rPr>
          <w:sz w:val="24"/>
          <w:szCs w:val="24"/>
        </w:rPr>
        <w:t xml:space="preserve"> inzake </w:t>
      </w:r>
      <w:r>
        <w:rPr>
          <w:sz w:val="24"/>
          <w:szCs w:val="24"/>
        </w:rPr>
        <w:t>"personeel</w:t>
      </w:r>
      <w:r w:rsidR="002469BC">
        <w:rPr>
          <w:sz w:val="24"/>
          <w:szCs w:val="24"/>
        </w:rPr>
        <w:t xml:space="preserve">" </w:t>
      </w:r>
      <w:r w:rsidRPr="00F1297F">
        <w:rPr>
          <w:sz w:val="24"/>
          <w:szCs w:val="24"/>
        </w:rPr>
        <w:t>omvat</w:t>
      </w:r>
      <w:r>
        <w:rPr>
          <w:sz w:val="24"/>
          <w:szCs w:val="24"/>
        </w:rPr>
        <w:t xml:space="preserve"> niet alleen</w:t>
      </w:r>
      <w:r w:rsidRPr="00F1297F">
        <w:rPr>
          <w:sz w:val="24"/>
          <w:szCs w:val="24"/>
        </w:rPr>
        <w:t xml:space="preserve"> het personeel van de strijdkrachten van beide partijen, maar ook het door de defensieorganisatie van beide partijen aangestelde burgerpersoneel</w:t>
      </w:r>
      <w:r w:rsidR="00F2715D">
        <w:rPr>
          <w:sz w:val="24"/>
          <w:szCs w:val="24"/>
        </w:rPr>
        <w:t>.</w:t>
      </w:r>
    </w:p>
    <w:p w:rsidR="00E53968" w:rsidP="001B15F8" w:rsidRDefault="00E53968">
      <w:pPr>
        <w:jc w:val="both"/>
        <w:rPr>
          <w:sz w:val="24"/>
          <w:szCs w:val="24"/>
        </w:rPr>
      </w:pPr>
      <w:r w:rsidRPr="001023D7">
        <w:rPr>
          <w:sz w:val="24"/>
          <w:szCs w:val="24"/>
        </w:rPr>
        <w:t xml:space="preserve">De definitie inzake "militair personeel" omvat niet alleen het militair personeel van het ministerie van </w:t>
      </w:r>
      <w:r w:rsidR="00AD79A9">
        <w:rPr>
          <w:sz w:val="24"/>
          <w:szCs w:val="24"/>
        </w:rPr>
        <w:t>D</w:t>
      </w:r>
      <w:r w:rsidRPr="001023D7">
        <w:rPr>
          <w:sz w:val="24"/>
          <w:szCs w:val="24"/>
        </w:rPr>
        <w:t xml:space="preserve">efensie van de zendstaat, maar in voorkomend geval ook een of enkele leden van het militair personeel van een derde staat die op </w:t>
      </w:r>
      <w:r w:rsidR="00AD79A9">
        <w:rPr>
          <w:sz w:val="24"/>
          <w:szCs w:val="24"/>
        </w:rPr>
        <w:t>grond</w:t>
      </w:r>
      <w:r w:rsidRPr="001023D7" w:rsidR="00AD79A9">
        <w:rPr>
          <w:sz w:val="24"/>
          <w:szCs w:val="24"/>
        </w:rPr>
        <w:t xml:space="preserve"> </w:t>
      </w:r>
      <w:r w:rsidRPr="001023D7">
        <w:rPr>
          <w:sz w:val="24"/>
          <w:szCs w:val="24"/>
        </w:rPr>
        <w:t xml:space="preserve">van een uitwisselingsprogramma tussen deze staat en de zendstaat integraal deel </w:t>
      </w:r>
      <w:r w:rsidR="00AD79A9">
        <w:rPr>
          <w:sz w:val="24"/>
          <w:szCs w:val="24"/>
        </w:rPr>
        <w:t xml:space="preserve">uitmaken </w:t>
      </w:r>
      <w:r w:rsidRPr="001023D7">
        <w:rPr>
          <w:sz w:val="24"/>
          <w:szCs w:val="24"/>
        </w:rPr>
        <w:t xml:space="preserve">van militaire eenheden van de zendstaat. </w:t>
      </w:r>
    </w:p>
    <w:p w:rsidRPr="001D4298" w:rsidR="001D4298" w:rsidP="001D4298" w:rsidRDefault="001D4298">
      <w:r w:rsidRPr="001D4298">
        <w:t>De definitie inzake “gezinslid” omvat niet alleen de echtgeno(o)t(e) van het personeel maar ook  een kind van het personeel, dat van hem of haar afhankelijk is voor zijn onderhoud.</w:t>
      </w:r>
    </w:p>
    <w:p w:rsidR="001D4298" w:rsidP="001D4298" w:rsidRDefault="001D4298">
      <w:r w:rsidRPr="001D4298">
        <w:t>Met  “echtgeno(o)t(e)” wordt gelijkgesteld de geregistreerde partner van het personeel, voor zover dit door de wetgeving van de zendende staat wordt erkend.</w:t>
      </w:r>
      <w:r>
        <w:t xml:space="preserve"> </w:t>
      </w:r>
    </w:p>
    <w:p w:rsidRPr="001023D7" w:rsidR="00E53968" w:rsidP="001B15F8" w:rsidRDefault="00A7798A">
      <w:pPr>
        <w:jc w:val="both"/>
        <w:rPr>
          <w:sz w:val="24"/>
          <w:szCs w:val="24"/>
        </w:rPr>
      </w:pPr>
      <w:r w:rsidRPr="001023D7">
        <w:rPr>
          <w:sz w:val="24"/>
          <w:szCs w:val="24"/>
        </w:rPr>
        <w:t>Artikel II</w:t>
      </w:r>
      <w:r w:rsidRPr="001023D7" w:rsidR="00E53968">
        <w:rPr>
          <w:sz w:val="24"/>
          <w:szCs w:val="24"/>
        </w:rPr>
        <w:t xml:space="preserve"> </w:t>
      </w:r>
    </w:p>
    <w:p w:rsidR="0099260E" w:rsidP="001B15F8" w:rsidRDefault="003F7C3D">
      <w:pPr>
        <w:jc w:val="both"/>
        <w:rPr>
          <w:sz w:val="24"/>
          <w:szCs w:val="24"/>
        </w:rPr>
      </w:pPr>
      <w:r>
        <w:rPr>
          <w:sz w:val="24"/>
          <w:szCs w:val="24"/>
        </w:rPr>
        <w:t xml:space="preserve">In dit artikel is vastgelegd dat </w:t>
      </w:r>
      <w:r w:rsidRPr="001023D7" w:rsidR="00E53968">
        <w:rPr>
          <w:sz w:val="24"/>
          <w:szCs w:val="24"/>
        </w:rPr>
        <w:t xml:space="preserve">de toegang tot en het vertrek uit </w:t>
      </w:r>
      <w:r w:rsidRPr="008738DB" w:rsidR="007C57F6">
        <w:rPr>
          <w:sz w:val="24"/>
          <w:szCs w:val="24"/>
        </w:rPr>
        <w:t>het gastland</w:t>
      </w:r>
      <w:r w:rsidRPr="001023D7" w:rsidR="00E53968">
        <w:rPr>
          <w:sz w:val="24"/>
          <w:szCs w:val="24"/>
        </w:rPr>
        <w:t xml:space="preserve"> </w:t>
      </w:r>
      <w:r w:rsidR="0099260E">
        <w:rPr>
          <w:sz w:val="24"/>
          <w:szCs w:val="24"/>
        </w:rPr>
        <w:t>zal geschieden</w:t>
      </w:r>
      <w:r w:rsidRPr="001023D7" w:rsidR="00E53968">
        <w:rPr>
          <w:sz w:val="24"/>
          <w:szCs w:val="24"/>
        </w:rPr>
        <w:t xml:space="preserve"> in overeenstemming met de nationale wetten en verdragsverplichtingen van </w:t>
      </w:r>
      <w:r w:rsidRPr="008738DB" w:rsidR="00C43C26">
        <w:rPr>
          <w:sz w:val="24"/>
          <w:szCs w:val="24"/>
        </w:rPr>
        <w:t>het gastland</w:t>
      </w:r>
      <w:r w:rsidR="008738DB">
        <w:rPr>
          <w:sz w:val="24"/>
          <w:szCs w:val="24"/>
        </w:rPr>
        <w:t>.</w:t>
      </w:r>
      <w:r w:rsidRPr="001023D7" w:rsidR="00CC106E">
        <w:rPr>
          <w:sz w:val="24"/>
          <w:szCs w:val="24"/>
        </w:rPr>
        <w:t xml:space="preserve"> </w:t>
      </w:r>
    </w:p>
    <w:p w:rsidRPr="001023D7" w:rsidR="00E53968" w:rsidP="001B15F8" w:rsidRDefault="00CC106E">
      <w:pPr>
        <w:jc w:val="both"/>
        <w:rPr>
          <w:sz w:val="24"/>
          <w:szCs w:val="24"/>
        </w:rPr>
      </w:pPr>
      <w:r w:rsidRPr="001023D7">
        <w:rPr>
          <w:sz w:val="24"/>
          <w:szCs w:val="24"/>
        </w:rPr>
        <w:t>Voor Nederland is in dit kade</w:t>
      </w:r>
      <w:r w:rsidR="0099334F">
        <w:rPr>
          <w:sz w:val="24"/>
          <w:szCs w:val="24"/>
        </w:rPr>
        <w:t>r</w:t>
      </w:r>
      <w:r w:rsidR="00AD79A9">
        <w:rPr>
          <w:sz w:val="24"/>
          <w:szCs w:val="24"/>
        </w:rPr>
        <w:t xml:space="preserve"> </w:t>
      </w:r>
      <w:r w:rsidR="0099260E">
        <w:rPr>
          <w:sz w:val="24"/>
          <w:szCs w:val="24"/>
        </w:rPr>
        <w:t xml:space="preserve">tevens </w:t>
      </w:r>
      <w:r w:rsidR="0099334F">
        <w:rPr>
          <w:sz w:val="24"/>
          <w:szCs w:val="24"/>
        </w:rPr>
        <w:t>het Europese Unie-</w:t>
      </w:r>
      <w:r w:rsidRPr="001023D7">
        <w:rPr>
          <w:sz w:val="24"/>
          <w:szCs w:val="24"/>
        </w:rPr>
        <w:t>recht</w:t>
      </w:r>
      <w:r w:rsidRPr="0099260E" w:rsidR="0099260E">
        <w:rPr>
          <w:sz w:val="24"/>
          <w:szCs w:val="24"/>
        </w:rPr>
        <w:t xml:space="preserve"> </w:t>
      </w:r>
      <w:r w:rsidR="0099260E">
        <w:rPr>
          <w:sz w:val="24"/>
          <w:szCs w:val="24"/>
        </w:rPr>
        <w:t>van toepassing</w:t>
      </w:r>
      <w:r w:rsidRPr="001023D7">
        <w:rPr>
          <w:sz w:val="24"/>
          <w:szCs w:val="24"/>
        </w:rPr>
        <w:t>, en in het bijzonder de op 19 juni 1990 te Schengen tot stand gekomen Overeenkomst ter uitvoering van het tussen de Regeringen van de Staten van de Benelux Economische Unie, de Bondsrepubliek Duitsland en de Franse Republiek op 14 juni 1985 te Schengen gesloten Akkoord betreffende de geleidelijke afschaffing van de controles aan de gemeenschappelijke grenzen (Schengen Uitvoeringsovereenkomst).</w:t>
      </w:r>
    </w:p>
    <w:p w:rsidRPr="001023D7" w:rsidR="00E53968" w:rsidP="001B15F8" w:rsidRDefault="00A7798A">
      <w:pPr>
        <w:jc w:val="both"/>
        <w:rPr>
          <w:sz w:val="24"/>
          <w:szCs w:val="24"/>
        </w:rPr>
      </w:pPr>
      <w:r w:rsidRPr="001023D7">
        <w:rPr>
          <w:sz w:val="24"/>
          <w:szCs w:val="24"/>
        </w:rPr>
        <w:t>Artikel III</w:t>
      </w:r>
    </w:p>
    <w:p w:rsidRPr="001023D7" w:rsidR="00B339A5" w:rsidP="00B339A5" w:rsidRDefault="003A72C6">
      <w:pPr>
        <w:jc w:val="both"/>
        <w:rPr>
          <w:sz w:val="24"/>
          <w:szCs w:val="24"/>
        </w:rPr>
      </w:pPr>
      <w:r w:rsidRPr="001023D7">
        <w:rPr>
          <w:sz w:val="24"/>
          <w:szCs w:val="24"/>
        </w:rPr>
        <w:t xml:space="preserve">De in dit artikel vastgelegde </w:t>
      </w:r>
      <w:r w:rsidR="0099260E">
        <w:rPr>
          <w:sz w:val="24"/>
          <w:szCs w:val="24"/>
        </w:rPr>
        <w:t>bepalingen</w:t>
      </w:r>
      <w:r w:rsidRPr="001023D7">
        <w:rPr>
          <w:sz w:val="24"/>
          <w:szCs w:val="24"/>
        </w:rPr>
        <w:t xml:space="preserve">stemmen in grote lijnen overeen met de betreffende bepalingen in artikel VII van het op 19 juni 1951 te Londen tot stand gekomen Verdrag tussen de </w:t>
      </w:r>
      <w:r w:rsidR="002B3B7C">
        <w:rPr>
          <w:sz w:val="24"/>
          <w:szCs w:val="24"/>
        </w:rPr>
        <w:t>s</w:t>
      </w:r>
      <w:r w:rsidRPr="001023D7">
        <w:rPr>
          <w:sz w:val="24"/>
          <w:szCs w:val="24"/>
        </w:rPr>
        <w:t>taten die partij zijn bij het Noord-Atlantisch Verdrag</w:t>
      </w:r>
      <w:r w:rsidR="00B334CE">
        <w:rPr>
          <w:sz w:val="24"/>
          <w:szCs w:val="24"/>
        </w:rPr>
        <w:t>,</w:t>
      </w:r>
      <w:r w:rsidRPr="001023D7">
        <w:rPr>
          <w:sz w:val="24"/>
          <w:szCs w:val="24"/>
        </w:rPr>
        <w:t xml:space="preserve"> nopens de rechtspositie van hun krij</w:t>
      </w:r>
      <w:r w:rsidRPr="001023D7" w:rsidR="005661AC">
        <w:rPr>
          <w:sz w:val="24"/>
          <w:szCs w:val="24"/>
        </w:rPr>
        <w:t xml:space="preserve">gsmachten </w:t>
      </w:r>
      <w:r w:rsidRPr="001023D7">
        <w:rPr>
          <w:sz w:val="24"/>
          <w:szCs w:val="24"/>
        </w:rPr>
        <w:t>(Trb. 1951, 114), (</w:t>
      </w:r>
      <w:r w:rsidR="00B334CE">
        <w:rPr>
          <w:sz w:val="24"/>
          <w:szCs w:val="24"/>
        </w:rPr>
        <w:t xml:space="preserve">hierna te </w:t>
      </w:r>
      <w:r w:rsidR="00065890">
        <w:rPr>
          <w:sz w:val="24"/>
          <w:szCs w:val="24"/>
        </w:rPr>
        <w:t>noemen:</w:t>
      </w:r>
      <w:r w:rsidR="00B334CE">
        <w:rPr>
          <w:sz w:val="24"/>
          <w:szCs w:val="24"/>
        </w:rPr>
        <w:t xml:space="preserve"> ‘</w:t>
      </w:r>
      <w:r w:rsidRPr="001023D7">
        <w:rPr>
          <w:sz w:val="24"/>
          <w:szCs w:val="24"/>
        </w:rPr>
        <w:t>NAVO SOFA</w:t>
      </w:r>
      <w:r w:rsidR="00B334CE">
        <w:rPr>
          <w:sz w:val="24"/>
          <w:szCs w:val="24"/>
        </w:rPr>
        <w:t>’</w:t>
      </w:r>
      <w:r w:rsidRPr="001023D7">
        <w:rPr>
          <w:sz w:val="24"/>
          <w:szCs w:val="24"/>
        </w:rPr>
        <w:t xml:space="preserve">). </w:t>
      </w:r>
      <w:r w:rsidRPr="001023D7" w:rsidR="00B339A5">
        <w:rPr>
          <w:sz w:val="24"/>
          <w:szCs w:val="24"/>
        </w:rPr>
        <w:t>Op grond van het gestelde in het eerste lid, komen de bevoegdheden op krijgstuchtelijk gebied toe aan de autoriteiten van de zends</w:t>
      </w:r>
      <w:r w:rsidRPr="001023D7" w:rsidR="00123ECA">
        <w:rPr>
          <w:sz w:val="24"/>
          <w:szCs w:val="24"/>
        </w:rPr>
        <w:t xml:space="preserve">taat. In het tweede en derde lid is een </w:t>
      </w:r>
      <w:r w:rsidRPr="001023D7" w:rsidR="007A1894">
        <w:rPr>
          <w:sz w:val="24"/>
          <w:szCs w:val="24"/>
        </w:rPr>
        <w:t>rechtsmachtverdeling vastgelegd</w:t>
      </w:r>
      <w:r w:rsidRPr="001023D7" w:rsidR="00123ECA">
        <w:rPr>
          <w:sz w:val="24"/>
          <w:szCs w:val="24"/>
        </w:rPr>
        <w:t xml:space="preserve"> </w:t>
      </w:r>
      <w:r w:rsidRPr="001023D7" w:rsidR="001A53C1">
        <w:rPr>
          <w:sz w:val="24"/>
          <w:szCs w:val="24"/>
        </w:rPr>
        <w:t xml:space="preserve">tussen de zendstaat en </w:t>
      </w:r>
      <w:r w:rsidRPr="008738DB" w:rsidR="00F72EDE">
        <w:rPr>
          <w:sz w:val="24"/>
          <w:szCs w:val="24"/>
        </w:rPr>
        <w:t>het gastland</w:t>
      </w:r>
      <w:r w:rsidRPr="001023D7" w:rsidR="001A53C1">
        <w:rPr>
          <w:sz w:val="24"/>
          <w:szCs w:val="24"/>
        </w:rPr>
        <w:t xml:space="preserve">. </w:t>
      </w:r>
      <w:r w:rsidRPr="001023D7" w:rsidR="00B339A5">
        <w:rPr>
          <w:sz w:val="24"/>
          <w:szCs w:val="24"/>
        </w:rPr>
        <w:t xml:space="preserve">Deze </w:t>
      </w:r>
      <w:r w:rsidR="008738DB">
        <w:rPr>
          <w:sz w:val="24"/>
          <w:szCs w:val="24"/>
        </w:rPr>
        <w:t>bepaling</w:t>
      </w:r>
      <w:r w:rsidRPr="001023D7" w:rsidR="00B339A5">
        <w:rPr>
          <w:sz w:val="24"/>
          <w:szCs w:val="24"/>
        </w:rPr>
        <w:t xml:space="preserve"> komt erop neer dat de autoriteiten van de zendstaat bij voorrang hun rechtsbev</w:t>
      </w:r>
      <w:bookmarkStart w:name="_GoBack" w:id="0"/>
      <w:bookmarkEnd w:id="0"/>
      <w:r w:rsidRPr="001023D7" w:rsidR="00B339A5">
        <w:rPr>
          <w:sz w:val="24"/>
          <w:szCs w:val="24"/>
        </w:rPr>
        <w:t>oegdheid uitoefenen over hun personeelsleden ten aanzien van</w:t>
      </w:r>
      <w:r w:rsidRPr="00B334CE" w:rsidR="00B334CE">
        <w:rPr>
          <w:sz w:val="24"/>
          <w:szCs w:val="24"/>
        </w:rPr>
        <w:t xml:space="preserve"> </w:t>
      </w:r>
      <w:r w:rsidRPr="001023D7" w:rsidR="00B334CE">
        <w:rPr>
          <w:sz w:val="24"/>
          <w:szCs w:val="24"/>
        </w:rPr>
        <w:t>vergrijpen als gevolg van een handelen of nalaten begaan tijdens de dienst</w:t>
      </w:r>
      <w:r w:rsidR="00B334CE">
        <w:rPr>
          <w:sz w:val="24"/>
          <w:szCs w:val="24"/>
        </w:rPr>
        <w:t>, en in de volgende gevallen</w:t>
      </w:r>
      <w:r w:rsidRPr="001023D7" w:rsidR="00B339A5">
        <w:rPr>
          <w:sz w:val="24"/>
          <w:szCs w:val="24"/>
        </w:rPr>
        <w:t>:</w:t>
      </w:r>
    </w:p>
    <w:p w:rsidRPr="0020162E" w:rsidR="00B339A5" w:rsidP="0020162E" w:rsidRDefault="00B339A5">
      <w:pPr>
        <w:pStyle w:val="ListParagraph"/>
        <w:numPr>
          <w:ilvl w:val="0"/>
          <w:numId w:val="2"/>
        </w:numPr>
        <w:jc w:val="both"/>
        <w:rPr>
          <w:sz w:val="24"/>
          <w:szCs w:val="24"/>
        </w:rPr>
      </w:pPr>
      <w:r w:rsidRPr="0020162E">
        <w:rPr>
          <w:sz w:val="24"/>
          <w:szCs w:val="24"/>
        </w:rPr>
        <w:lastRenderedPageBreak/>
        <w:t xml:space="preserve">vergrijpen die uitsluitend de veiligheid van de zendstaat raken; </w:t>
      </w:r>
    </w:p>
    <w:p w:rsidRPr="0020162E" w:rsidR="00B334CE" w:rsidP="0020162E" w:rsidRDefault="00B339A5">
      <w:pPr>
        <w:pStyle w:val="ListParagraph"/>
        <w:numPr>
          <w:ilvl w:val="0"/>
          <w:numId w:val="2"/>
        </w:numPr>
        <w:jc w:val="both"/>
        <w:rPr>
          <w:sz w:val="24"/>
          <w:szCs w:val="24"/>
        </w:rPr>
      </w:pPr>
      <w:r w:rsidRPr="0020162E">
        <w:rPr>
          <w:sz w:val="24"/>
          <w:szCs w:val="24"/>
        </w:rPr>
        <w:t xml:space="preserve">vergrijpen die uitsluitend </w:t>
      </w:r>
      <w:r w:rsidRPr="0020162E" w:rsidR="0099765A">
        <w:rPr>
          <w:sz w:val="24"/>
          <w:szCs w:val="24"/>
        </w:rPr>
        <w:t xml:space="preserve">de persoon of </w:t>
      </w:r>
      <w:r w:rsidRPr="0020162E" w:rsidR="0011492F">
        <w:rPr>
          <w:sz w:val="24"/>
          <w:szCs w:val="24"/>
        </w:rPr>
        <w:t xml:space="preserve">de </w:t>
      </w:r>
      <w:r w:rsidRPr="0020162E" w:rsidR="0099765A">
        <w:rPr>
          <w:sz w:val="24"/>
          <w:szCs w:val="24"/>
        </w:rPr>
        <w:t xml:space="preserve">eigendommen van een ander personeelslid </w:t>
      </w:r>
      <w:r w:rsidRPr="0020162E">
        <w:rPr>
          <w:sz w:val="24"/>
          <w:szCs w:val="24"/>
        </w:rPr>
        <w:t>van de zendstaat raken;</w:t>
      </w:r>
    </w:p>
    <w:p w:rsidRPr="0020162E" w:rsidR="00B339A5" w:rsidP="0020162E" w:rsidRDefault="00C06CA2">
      <w:pPr>
        <w:pStyle w:val="ListParagraph"/>
        <w:numPr>
          <w:ilvl w:val="0"/>
          <w:numId w:val="2"/>
        </w:numPr>
        <w:jc w:val="both"/>
        <w:rPr>
          <w:sz w:val="24"/>
          <w:szCs w:val="24"/>
        </w:rPr>
      </w:pPr>
      <w:r w:rsidRPr="0020162E">
        <w:rPr>
          <w:sz w:val="24"/>
          <w:szCs w:val="24"/>
        </w:rPr>
        <w:t>vergrijpen die uitsluitend de goederen van de zendstaat raken;</w:t>
      </w:r>
    </w:p>
    <w:p w:rsidRPr="001023D7" w:rsidR="00B339A5" w:rsidP="00B339A5" w:rsidRDefault="00B339A5">
      <w:pPr>
        <w:jc w:val="both"/>
        <w:rPr>
          <w:sz w:val="24"/>
          <w:szCs w:val="24"/>
        </w:rPr>
      </w:pPr>
      <w:r w:rsidRPr="001023D7">
        <w:rPr>
          <w:sz w:val="24"/>
          <w:szCs w:val="24"/>
        </w:rPr>
        <w:t xml:space="preserve">Alle andere vergrijpen </w:t>
      </w:r>
      <w:r w:rsidR="00B334CE">
        <w:rPr>
          <w:sz w:val="24"/>
          <w:szCs w:val="24"/>
        </w:rPr>
        <w:t>die</w:t>
      </w:r>
      <w:r w:rsidRPr="001023D7">
        <w:rPr>
          <w:sz w:val="24"/>
          <w:szCs w:val="24"/>
        </w:rPr>
        <w:t xml:space="preserve"> door een personeelslid van de zendstaat worden begaan</w:t>
      </w:r>
      <w:r w:rsidR="00B334CE">
        <w:rPr>
          <w:sz w:val="24"/>
          <w:szCs w:val="24"/>
        </w:rPr>
        <w:t>,</w:t>
      </w:r>
      <w:r w:rsidRPr="001023D7">
        <w:rPr>
          <w:sz w:val="24"/>
          <w:szCs w:val="24"/>
        </w:rPr>
        <w:t xml:space="preserve"> vallen bij voorrang onder de rechtsbevoegdheid van </w:t>
      </w:r>
      <w:r w:rsidRPr="008738DB" w:rsidR="00920585">
        <w:rPr>
          <w:sz w:val="24"/>
          <w:szCs w:val="24"/>
        </w:rPr>
        <w:t>het gastland</w:t>
      </w:r>
      <w:r w:rsidRPr="001023D7">
        <w:rPr>
          <w:sz w:val="24"/>
          <w:szCs w:val="24"/>
        </w:rPr>
        <w:t>.</w:t>
      </w:r>
    </w:p>
    <w:p w:rsidRPr="001023D7" w:rsidR="00B339A5" w:rsidP="00B339A5" w:rsidRDefault="00B334CE">
      <w:pPr>
        <w:jc w:val="both"/>
        <w:rPr>
          <w:sz w:val="24"/>
          <w:szCs w:val="24"/>
        </w:rPr>
      </w:pPr>
      <w:r>
        <w:rPr>
          <w:sz w:val="24"/>
          <w:szCs w:val="24"/>
        </w:rPr>
        <w:t>Als</w:t>
      </w:r>
      <w:r w:rsidRPr="001023D7">
        <w:rPr>
          <w:sz w:val="24"/>
          <w:szCs w:val="24"/>
        </w:rPr>
        <w:t xml:space="preserve"> de partij die rechtsmacht heeft besluit om deze niet uit te oefenen,</w:t>
      </w:r>
      <w:r>
        <w:rPr>
          <w:sz w:val="24"/>
          <w:szCs w:val="24"/>
        </w:rPr>
        <w:t xml:space="preserve"> stelt deze </w:t>
      </w:r>
      <w:r w:rsidRPr="001023D7">
        <w:rPr>
          <w:sz w:val="24"/>
          <w:szCs w:val="24"/>
        </w:rPr>
        <w:t>de andere partij hier</w:t>
      </w:r>
      <w:r w:rsidR="008738DB">
        <w:rPr>
          <w:sz w:val="24"/>
          <w:szCs w:val="24"/>
        </w:rPr>
        <w:t>van</w:t>
      </w:r>
      <w:r w:rsidRPr="001023D7">
        <w:rPr>
          <w:sz w:val="24"/>
          <w:szCs w:val="24"/>
        </w:rPr>
        <w:t xml:space="preserve"> zo spoedig mogelijk in </w:t>
      </w:r>
      <w:r w:rsidRPr="001023D7" w:rsidR="00065890">
        <w:rPr>
          <w:sz w:val="24"/>
          <w:szCs w:val="24"/>
        </w:rPr>
        <w:t>kennis</w:t>
      </w:r>
      <w:r w:rsidR="00065890">
        <w:rPr>
          <w:sz w:val="24"/>
          <w:szCs w:val="24"/>
        </w:rPr>
        <w:t xml:space="preserve">, </w:t>
      </w:r>
      <w:r w:rsidR="00A32DB4">
        <w:rPr>
          <w:sz w:val="24"/>
          <w:szCs w:val="24"/>
        </w:rPr>
        <w:t xml:space="preserve">aldus het </w:t>
      </w:r>
      <w:r w:rsidRPr="001023D7" w:rsidR="003750F4">
        <w:rPr>
          <w:sz w:val="24"/>
          <w:szCs w:val="24"/>
        </w:rPr>
        <w:t>gestelde in het vierde</w:t>
      </w:r>
      <w:r w:rsidRPr="001023D7" w:rsidR="00B339A5">
        <w:rPr>
          <w:sz w:val="24"/>
          <w:szCs w:val="24"/>
        </w:rPr>
        <w:t xml:space="preserve"> </w:t>
      </w:r>
      <w:r w:rsidRPr="001023D7" w:rsidR="00065890">
        <w:rPr>
          <w:sz w:val="24"/>
          <w:szCs w:val="24"/>
        </w:rPr>
        <w:t>lid.</w:t>
      </w:r>
      <w:r w:rsidRPr="001023D7" w:rsidR="003750F4">
        <w:rPr>
          <w:sz w:val="24"/>
          <w:szCs w:val="24"/>
        </w:rPr>
        <w:t xml:space="preserve"> </w:t>
      </w:r>
      <w:r w:rsidRPr="001023D7" w:rsidR="006A7ECB">
        <w:rPr>
          <w:sz w:val="24"/>
          <w:szCs w:val="24"/>
        </w:rPr>
        <w:t xml:space="preserve">Verder </w:t>
      </w:r>
      <w:r w:rsidRPr="001023D7" w:rsidR="00B339A5">
        <w:rPr>
          <w:sz w:val="24"/>
          <w:szCs w:val="24"/>
        </w:rPr>
        <w:t xml:space="preserve">behouden de partijen zich de mogelijkheid voor op verzoek van de andere partij af te zien van hun voorrang ten aanzien van de rechtsbevoegdheid. </w:t>
      </w:r>
      <w:r w:rsidRPr="008738DB" w:rsidR="00EF5E4D">
        <w:rPr>
          <w:sz w:val="24"/>
          <w:szCs w:val="24"/>
        </w:rPr>
        <w:t>Op grond van het gestelde in het vijfde lid zal de zendstaat zijn personeel en diens</w:t>
      </w:r>
      <w:r w:rsidRPr="008738DB" w:rsidR="00F944DE">
        <w:rPr>
          <w:sz w:val="24"/>
          <w:szCs w:val="24"/>
        </w:rPr>
        <w:t xml:space="preserve"> gezinsleden ten behoeve van het vooronderzoek aan de bevoegde autoriteiten van het gastland ter beschikking stellen. </w:t>
      </w:r>
      <w:r w:rsidRPr="008738DB" w:rsidR="00D5740C">
        <w:rPr>
          <w:sz w:val="24"/>
          <w:szCs w:val="24"/>
        </w:rPr>
        <w:t>Verder nemen d</w:t>
      </w:r>
      <w:r w:rsidRPr="008738DB" w:rsidR="006C0900">
        <w:rPr>
          <w:sz w:val="24"/>
          <w:szCs w:val="24"/>
        </w:rPr>
        <w:t>e auto</w:t>
      </w:r>
      <w:r w:rsidRPr="008738DB" w:rsidR="00D5740C">
        <w:rPr>
          <w:sz w:val="24"/>
          <w:szCs w:val="24"/>
        </w:rPr>
        <w:t xml:space="preserve">riteiten van het gastland </w:t>
      </w:r>
      <w:r w:rsidRPr="008738DB" w:rsidR="008854E5">
        <w:rPr>
          <w:sz w:val="24"/>
          <w:szCs w:val="24"/>
        </w:rPr>
        <w:t>een verzoek van de zendstaat</w:t>
      </w:r>
      <w:r w:rsidRPr="008738DB" w:rsidR="00A25B85">
        <w:rPr>
          <w:sz w:val="24"/>
          <w:szCs w:val="24"/>
        </w:rPr>
        <w:t xml:space="preserve"> </w:t>
      </w:r>
      <w:r w:rsidRPr="008738DB" w:rsidR="00D5740C">
        <w:rPr>
          <w:sz w:val="24"/>
          <w:szCs w:val="24"/>
        </w:rPr>
        <w:t xml:space="preserve">in welwillende overweging, </w:t>
      </w:r>
      <w:r w:rsidRPr="008738DB" w:rsidR="00A25B85">
        <w:rPr>
          <w:sz w:val="24"/>
          <w:szCs w:val="24"/>
        </w:rPr>
        <w:t xml:space="preserve">om de bewaking van een personeelslid of een gezinslid </w:t>
      </w:r>
      <w:r w:rsidRPr="008738DB" w:rsidR="00041325">
        <w:rPr>
          <w:sz w:val="24"/>
          <w:szCs w:val="24"/>
        </w:rPr>
        <w:t xml:space="preserve">te laten berusten </w:t>
      </w:r>
      <w:r w:rsidRPr="008738DB" w:rsidR="00183638">
        <w:rPr>
          <w:sz w:val="24"/>
          <w:szCs w:val="24"/>
        </w:rPr>
        <w:t>bij de zendstaat totdat vervolging</w:t>
      </w:r>
      <w:r w:rsidRPr="008738DB" w:rsidR="00B31720">
        <w:rPr>
          <w:sz w:val="24"/>
          <w:szCs w:val="24"/>
        </w:rPr>
        <w:t xml:space="preserve"> door het gastland</w:t>
      </w:r>
      <w:r w:rsidR="008738DB">
        <w:rPr>
          <w:sz w:val="24"/>
          <w:szCs w:val="24"/>
        </w:rPr>
        <w:t xml:space="preserve"> wordt ingesteld.</w:t>
      </w:r>
      <w:r w:rsidR="00183638">
        <w:rPr>
          <w:sz w:val="24"/>
          <w:szCs w:val="24"/>
        </w:rPr>
        <w:t xml:space="preserve"> </w:t>
      </w:r>
      <w:r w:rsidRPr="001023D7" w:rsidR="00B339A5">
        <w:rPr>
          <w:sz w:val="24"/>
          <w:szCs w:val="24"/>
        </w:rPr>
        <w:t>In geval van arrestatie van een personeelslid van de zendstaat</w:t>
      </w:r>
      <w:r w:rsidRPr="001023D7" w:rsidR="00890173">
        <w:rPr>
          <w:sz w:val="24"/>
          <w:szCs w:val="24"/>
        </w:rPr>
        <w:t xml:space="preserve"> of van diens gezinsleden</w:t>
      </w:r>
      <w:r w:rsidRPr="001023D7" w:rsidR="00B339A5">
        <w:rPr>
          <w:sz w:val="24"/>
          <w:szCs w:val="24"/>
        </w:rPr>
        <w:t xml:space="preserve">, wordt de zendstaat hiervan onverwijld door de autoriteiten van </w:t>
      </w:r>
      <w:r w:rsidRPr="008738DB" w:rsidR="00415D0C">
        <w:rPr>
          <w:sz w:val="24"/>
          <w:szCs w:val="24"/>
        </w:rPr>
        <w:t>het gastland</w:t>
      </w:r>
      <w:r w:rsidRPr="001023D7" w:rsidR="00E335E2">
        <w:rPr>
          <w:sz w:val="24"/>
          <w:szCs w:val="24"/>
        </w:rPr>
        <w:t xml:space="preserve"> in kennis gesteld (zes</w:t>
      </w:r>
      <w:r w:rsidRPr="001023D7" w:rsidR="00B339A5">
        <w:rPr>
          <w:sz w:val="24"/>
          <w:szCs w:val="24"/>
        </w:rPr>
        <w:t>de lid).</w:t>
      </w:r>
      <w:r w:rsidRPr="001023D7" w:rsidR="00E335E2">
        <w:rPr>
          <w:sz w:val="24"/>
          <w:szCs w:val="24"/>
        </w:rPr>
        <w:t xml:space="preserve"> </w:t>
      </w:r>
      <w:r w:rsidR="0085395F">
        <w:rPr>
          <w:sz w:val="24"/>
          <w:szCs w:val="24"/>
        </w:rPr>
        <w:t xml:space="preserve">Op grond van het gestelde in het zevende lid verlenen de partijen elkaar hulp bij de uitvoering van alle noodzakelijke nasporingen ter zake van </w:t>
      </w:r>
      <w:r w:rsidR="00F97D84">
        <w:rPr>
          <w:sz w:val="24"/>
          <w:szCs w:val="24"/>
        </w:rPr>
        <w:t>een vergrijp</w:t>
      </w:r>
      <w:r w:rsidR="0085395F">
        <w:rPr>
          <w:sz w:val="24"/>
          <w:szCs w:val="24"/>
        </w:rPr>
        <w:t xml:space="preserve"> en bij het bijeenbrengen van bewijsmateriaal. Partijen stellen elkaar verder in kennis van de afdoening </w:t>
      </w:r>
      <w:r w:rsidR="00F97D84">
        <w:rPr>
          <w:sz w:val="24"/>
          <w:szCs w:val="24"/>
        </w:rPr>
        <w:t xml:space="preserve">hiervan </w:t>
      </w:r>
      <w:r w:rsidR="0085395F">
        <w:rPr>
          <w:sz w:val="24"/>
          <w:szCs w:val="24"/>
        </w:rPr>
        <w:t>door hun respectievelijke</w:t>
      </w:r>
      <w:r w:rsidR="00B55525">
        <w:rPr>
          <w:sz w:val="24"/>
          <w:szCs w:val="24"/>
        </w:rPr>
        <w:t xml:space="preserve"> </w:t>
      </w:r>
      <w:r w:rsidR="00251422">
        <w:rPr>
          <w:sz w:val="24"/>
          <w:szCs w:val="24"/>
        </w:rPr>
        <w:t xml:space="preserve">rechterlijke instanties. </w:t>
      </w:r>
      <w:r w:rsidRPr="001023D7" w:rsidR="00E335E2">
        <w:rPr>
          <w:sz w:val="24"/>
          <w:szCs w:val="24"/>
        </w:rPr>
        <w:t>In het achtste lid zijn basisrechten voor de verdachte vastgelegd</w:t>
      </w:r>
      <w:r w:rsidR="0000125C">
        <w:rPr>
          <w:sz w:val="24"/>
          <w:szCs w:val="24"/>
        </w:rPr>
        <w:t>,</w:t>
      </w:r>
      <w:r w:rsidRPr="001023D7" w:rsidR="00890173">
        <w:rPr>
          <w:sz w:val="24"/>
          <w:szCs w:val="24"/>
        </w:rPr>
        <w:t xml:space="preserve"> indien deze valt onder de rechtsmacht </w:t>
      </w:r>
      <w:r w:rsidRPr="001023D7" w:rsidR="00065890">
        <w:rPr>
          <w:sz w:val="24"/>
          <w:szCs w:val="24"/>
        </w:rPr>
        <w:t xml:space="preserve">van </w:t>
      </w:r>
      <w:r w:rsidRPr="008738DB" w:rsidR="007D3106">
        <w:rPr>
          <w:sz w:val="24"/>
          <w:szCs w:val="24"/>
        </w:rPr>
        <w:t>het gastland</w:t>
      </w:r>
      <w:r w:rsidRPr="001023D7" w:rsidR="00890173">
        <w:rPr>
          <w:sz w:val="24"/>
          <w:szCs w:val="24"/>
        </w:rPr>
        <w:t xml:space="preserve"> en door deze wordt vervolgd. </w:t>
      </w:r>
      <w:r w:rsidRPr="008738DB" w:rsidR="00862821">
        <w:rPr>
          <w:sz w:val="24"/>
          <w:szCs w:val="24"/>
        </w:rPr>
        <w:t xml:space="preserve">Wanneer een personeelslid of een gezinslid </w:t>
      </w:r>
      <w:r w:rsidRPr="008738DB" w:rsidR="00957F16">
        <w:rPr>
          <w:sz w:val="24"/>
          <w:szCs w:val="24"/>
        </w:rPr>
        <w:t xml:space="preserve">van de zendstaat </w:t>
      </w:r>
      <w:r w:rsidRPr="008738DB" w:rsidR="00862821">
        <w:rPr>
          <w:sz w:val="24"/>
          <w:szCs w:val="24"/>
        </w:rPr>
        <w:t xml:space="preserve">overeenkomstig de bepalingen van dit artikel is veroordeeld of </w:t>
      </w:r>
      <w:r w:rsidRPr="008738DB" w:rsidR="007E108E">
        <w:rPr>
          <w:sz w:val="24"/>
          <w:szCs w:val="24"/>
        </w:rPr>
        <w:t xml:space="preserve">is </w:t>
      </w:r>
      <w:r w:rsidRPr="008738DB" w:rsidR="00862821">
        <w:rPr>
          <w:sz w:val="24"/>
          <w:szCs w:val="24"/>
        </w:rPr>
        <w:t>vrijgesproken mag hij niet nogmaals voor hetzelfde vergrijp worden berech</w:t>
      </w:r>
      <w:r w:rsidRPr="008738DB" w:rsidR="00B77BB8">
        <w:rPr>
          <w:sz w:val="24"/>
          <w:szCs w:val="24"/>
        </w:rPr>
        <w:t>t door de gerechten</w:t>
      </w:r>
      <w:r w:rsidRPr="008738DB" w:rsidR="00862821">
        <w:rPr>
          <w:sz w:val="24"/>
          <w:szCs w:val="24"/>
        </w:rPr>
        <w:t xml:space="preserve"> van de andere staat (negende lid). </w:t>
      </w:r>
      <w:r w:rsidRPr="008738DB" w:rsidR="00EA5341">
        <w:rPr>
          <w:sz w:val="24"/>
          <w:szCs w:val="24"/>
        </w:rPr>
        <w:t>Als</w:t>
      </w:r>
      <w:r w:rsidRPr="008738DB" w:rsidR="00664F5B">
        <w:rPr>
          <w:sz w:val="24"/>
          <w:szCs w:val="24"/>
        </w:rPr>
        <w:t xml:space="preserve"> partijen hun respectievelijke rechtsbevoegdheid op grond van de bepali</w:t>
      </w:r>
      <w:r w:rsidRPr="008738DB" w:rsidR="00762DD7">
        <w:rPr>
          <w:sz w:val="24"/>
          <w:szCs w:val="24"/>
        </w:rPr>
        <w:t xml:space="preserve">ngen van dit artikel uitoefenen, </w:t>
      </w:r>
      <w:r w:rsidRPr="008738DB" w:rsidR="00EF473C">
        <w:rPr>
          <w:sz w:val="24"/>
          <w:szCs w:val="24"/>
        </w:rPr>
        <w:t>verplic</w:t>
      </w:r>
      <w:r w:rsidRPr="008738DB" w:rsidR="00CA5CB1">
        <w:rPr>
          <w:sz w:val="24"/>
          <w:szCs w:val="24"/>
        </w:rPr>
        <w:t>hten zij</w:t>
      </w:r>
      <w:r w:rsidRPr="008738DB" w:rsidR="00EF473C">
        <w:rPr>
          <w:sz w:val="24"/>
          <w:szCs w:val="24"/>
        </w:rPr>
        <w:t xml:space="preserve"> zich </w:t>
      </w:r>
      <w:r w:rsidRPr="008738DB" w:rsidR="001847E2">
        <w:rPr>
          <w:sz w:val="24"/>
          <w:szCs w:val="24"/>
        </w:rPr>
        <w:t xml:space="preserve">wederzijds </w:t>
      </w:r>
      <w:r w:rsidRPr="008738DB" w:rsidR="005A5C35">
        <w:rPr>
          <w:sz w:val="24"/>
          <w:szCs w:val="24"/>
        </w:rPr>
        <w:t>om het</w:t>
      </w:r>
      <w:r w:rsidRPr="008738DB" w:rsidR="00EF473C">
        <w:rPr>
          <w:sz w:val="24"/>
          <w:szCs w:val="24"/>
        </w:rPr>
        <w:t xml:space="preserve"> personeel en gezinsleden</w:t>
      </w:r>
      <w:r w:rsidRPr="008738DB" w:rsidR="00A62D5D">
        <w:rPr>
          <w:sz w:val="24"/>
          <w:szCs w:val="24"/>
        </w:rPr>
        <w:t>,</w:t>
      </w:r>
      <w:r w:rsidRPr="008738DB" w:rsidR="00EF473C">
        <w:rPr>
          <w:sz w:val="24"/>
          <w:szCs w:val="24"/>
        </w:rPr>
        <w:t xml:space="preserve"> </w:t>
      </w:r>
      <w:r w:rsidRPr="008738DB" w:rsidR="00A62D5D">
        <w:rPr>
          <w:sz w:val="24"/>
          <w:szCs w:val="24"/>
        </w:rPr>
        <w:t xml:space="preserve">die het vergrijp hebben gepleegd, </w:t>
      </w:r>
      <w:r w:rsidRPr="008738DB" w:rsidR="00A53F4F">
        <w:rPr>
          <w:sz w:val="24"/>
          <w:szCs w:val="24"/>
        </w:rPr>
        <w:t xml:space="preserve">weder </w:t>
      </w:r>
      <w:r w:rsidRPr="008738DB" w:rsidR="00EF473C">
        <w:rPr>
          <w:sz w:val="24"/>
          <w:szCs w:val="24"/>
        </w:rPr>
        <w:t xml:space="preserve">aan elkaar </w:t>
      </w:r>
      <w:r w:rsidRPr="008738DB" w:rsidR="00762DD7">
        <w:rPr>
          <w:sz w:val="24"/>
          <w:szCs w:val="24"/>
        </w:rPr>
        <w:t>over</w:t>
      </w:r>
      <w:r w:rsidRPr="008738DB" w:rsidR="00B91C86">
        <w:rPr>
          <w:sz w:val="24"/>
          <w:szCs w:val="24"/>
        </w:rPr>
        <w:t xml:space="preserve"> te leveren</w:t>
      </w:r>
      <w:r w:rsidRPr="008738DB" w:rsidR="00762DD7">
        <w:rPr>
          <w:sz w:val="24"/>
          <w:szCs w:val="24"/>
        </w:rPr>
        <w:t>, ongeacht</w:t>
      </w:r>
      <w:r w:rsidRPr="008738DB" w:rsidR="00E576FB">
        <w:rPr>
          <w:sz w:val="24"/>
          <w:szCs w:val="24"/>
        </w:rPr>
        <w:t xml:space="preserve"> de aard en </w:t>
      </w:r>
      <w:r w:rsidRPr="008738DB" w:rsidR="00CA5CB1">
        <w:rPr>
          <w:sz w:val="24"/>
          <w:szCs w:val="24"/>
        </w:rPr>
        <w:t xml:space="preserve">de </w:t>
      </w:r>
      <w:r w:rsidRPr="008738DB" w:rsidR="00E576FB">
        <w:rPr>
          <w:sz w:val="24"/>
          <w:szCs w:val="24"/>
        </w:rPr>
        <w:t xml:space="preserve">ernst van het gepleegde vergrijp </w:t>
      </w:r>
      <w:r w:rsidRPr="008738DB" w:rsidR="00762DD7">
        <w:rPr>
          <w:sz w:val="24"/>
          <w:szCs w:val="24"/>
        </w:rPr>
        <w:t>(</w:t>
      </w:r>
      <w:r w:rsidRPr="008738DB" w:rsidR="00664F5B">
        <w:rPr>
          <w:sz w:val="24"/>
          <w:szCs w:val="24"/>
        </w:rPr>
        <w:t>tiende lid</w:t>
      </w:r>
      <w:r w:rsidRPr="008738DB" w:rsidR="00762DD7">
        <w:rPr>
          <w:sz w:val="24"/>
          <w:szCs w:val="24"/>
        </w:rPr>
        <w:t>).</w:t>
      </w:r>
      <w:r w:rsidR="00664F5B">
        <w:rPr>
          <w:sz w:val="24"/>
          <w:szCs w:val="24"/>
        </w:rPr>
        <w:t xml:space="preserve"> </w:t>
      </w:r>
    </w:p>
    <w:p w:rsidRPr="001023D7" w:rsidR="00E53968" w:rsidP="001B15F8" w:rsidRDefault="00A7798A">
      <w:pPr>
        <w:jc w:val="both"/>
        <w:rPr>
          <w:sz w:val="24"/>
          <w:szCs w:val="24"/>
        </w:rPr>
      </w:pPr>
      <w:r w:rsidRPr="001023D7">
        <w:rPr>
          <w:sz w:val="24"/>
          <w:szCs w:val="24"/>
        </w:rPr>
        <w:t>Artikel IV</w:t>
      </w:r>
    </w:p>
    <w:p w:rsidRPr="001023D7" w:rsidR="00E53968" w:rsidP="001B15F8" w:rsidRDefault="001D0C37">
      <w:pPr>
        <w:jc w:val="both"/>
        <w:rPr>
          <w:sz w:val="24"/>
          <w:szCs w:val="24"/>
        </w:rPr>
      </w:pPr>
      <w:r w:rsidRPr="001023D7">
        <w:rPr>
          <w:sz w:val="24"/>
          <w:szCs w:val="24"/>
        </w:rPr>
        <w:t xml:space="preserve">Dit artikel omvat </w:t>
      </w:r>
      <w:r w:rsidR="00A32DB4">
        <w:rPr>
          <w:sz w:val="24"/>
          <w:szCs w:val="24"/>
        </w:rPr>
        <w:t>bepalingen</w:t>
      </w:r>
      <w:r w:rsidRPr="001023D7">
        <w:rPr>
          <w:sz w:val="24"/>
          <w:szCs w:val="24"/>
        </w:rPr>
        <w:t xml:space="preserve"> betreffende invoer- en uitvoerformaliteiten van goederen van strijdkrachten en personeelsleden, </w:t>
      </w:r>
      <w:r w:rsidR="00A32DB4">
        <w:rPr>
          <w:sz w:val="24"/>
          <w:szCs w:val="24"/>
        </w:rPr>
        <w:t>die</w:t>
      </w:r>
      <w:r w:rsidRPr="001023D7" w:rsidR="00265091">
        <w:rPr>
          <w:sz w:val="24"/>
          <w:szCs w:val="24"/>
        </w:rPr>
        <w:t xml:space="preserve"> van toepassing zijn in Gabon en in Nederland. Voor Gabon is de Gabonese</w:t>
      </w:r>
      <w:r w:rsidRPr="001023D7">
        <w:rPr>
          <w:sz w:val="24"/>
          <w:szCs w:val="24"/>
        </w:rPr>
        <w:t xml:space="preserve"> wetgeving van toepassing. Voor de Nederlandse situatie is </w:t>
      </w:r>
      <w:r w:rsidR="00A32DB4">
        <w:rPr>
          <w:sz w:val="24"/>
          <w:szCs w:val="24"/>
        </w:rPr>
        <w:t xml:space="preserve">behalve </w:t>
      </w:r>
      <w:r w:rsidRPr="001023D7">
        <w:rPr>
          <w:sz w:val="24"/>
          <w:szCs w:val="24"/>
        </w:rPr>
        <w:t xml:space="preserve">de Nederlandse wetgeving ook de regelgeving van de Europese Unie inzake in- en uitvoerrechten </w:t>
      </w:r>
      <w:r w:rsidR="00A32DB4">
        <w:rPr>
          <w:sz w:val="24"/>
          <w:szCs w:val="24"/>
        </w:rPr>
        <w:t>van toepassing</w:t>
      </w:r>
      <w:r w:rsidRPr="001023D7">
        <w:rPr>
          <w:sz w:val="24"/>
          <w:szCs w:val="24"/>
        </w:rPr>
        <w:t xml:space="preserve">.  </w:t>
      </w:r>
    </w:p>
    <w:p w:rsidRPr="001023D7" w:rsidR="00E53968" w:rsidP="001B15F8" w:rsidRDefault="00A7798A">
      <w:pPr>
        <w:jc w:val="both"/>
        <w:rPr>
          <w:sz w:val="24"/>
          <w:szCs w:val="24"/>
        </w:rPr>
      </w:pPr>
      <w:r w:rsidRPr="001023D7">
        <w:rPr>
          <w:sz w:val="24"/>
          <w:szCs w:val="24"/>
        </w:rPr>
        <w:t>Artikel V</w:t>
      </w:r>
    </w:p>
    <w:p w:rsidRPr="001023D7" w:rsidR="00616D1A" w:rsidP="001B15F8" w:rsidRDefault="00E53968">
      <w:pPr>
        <w:jc w:val="both"/>
        <w:rPr>
          <w:sz w:val="24"/>
          <w:szCs w:val="24"/>
        </w:rPr>
      </w:pPr>
      <w:r w:rsidRPr="001023D7">
        <w:rPr>
          <w:sz w:val="24"/>
          <w:szCs w:val="24"/>
        </w:rPr>
        <w:t>Op grond van het gestelde in het eerste lid</w:t>
      </w:r>
      <w:r w:rsidRPr="001023D7" w:rsidR="00CE7FD4">
        <w:rPr>
          <w:sz w:val="24"/>
          <w:szCs w:val="24"/>
        </w:rPr>
        <w:t xml:space="preserve"> is </w:t>
      </w:r>
      <w:r w:rsidRPr="001023D7">
        <w:rPr>
          <w:sz w:val="24"/>
          <w:szCs w:val="24"/>
        </w:rPr>
        <w:t xml:space="preserve">de zendstaat </w:t>
      </w:r>
      <w:r w:rsidRPr="001023D7" w:rsidR="00CE7FD4">
        <w:rPr>
          <w:sz w:val="24"/>
          <w:szCs w:val="24"/>
        </w:rPr>
        <w:t xml:space="preserve">gehouden om de regels en beperkingen </w:t>
      </w:r>
      <w:r w:rsidRPr="001023D7" w:rsidR="00616D1A">
        <w:rPr>
          <w:sz w:val="24"/>
          <w:szCs w:val="24"/>
        </w:rPr>
        <w:t xml:space="preserve">die </w:t>
      </w:r>
      <w:r w:rsidRPr="008738DB" w:rsidR="002D1006">
        <w:rPr>
          <w:sz w:val="24"/>
          <w:szCs w:val="24"/>
        </w:rPr>
        <w:t>het gastland</w:t>
      </w:r>
      <w:r w:rsidRPr="001023D7" w:rsidR="00616D1A">
        <w:rPr>
          <w:sz w:val="24"/>
          <w:szCs w:val="24"/>
        </w:rPr>
        <w:t xml:space="preserve"> voor het gebruik en de opslag van wapens en munitie</w:t>
      </w:r>
      <w:r w:rsidR="00311595">
        <w:rPr>
          <w:sz w:val="24"/>
          <w:szCs w:val="24"/>
        </w:rPr>
        <w:t xml:space="preserve"> heeft </w:t>
      </w:r>
      <w:r w:rsidR="00311595">
        <w:rPr>
          <w:sz w:val="24"/>
          <w:szCs w:val="24"/>
        </w:rPr>
        <w:lastRenderedPageBreak/>
        <w:t xml:space="preserve">opgelegd, te respecteren. Op grond van het gestelde in het tweede lid </w:t>
      </w:r>
      <w:r w:rsidR="0087068E">
        <w:rPr>
          <w:sz w:val="24"/>
          <w:szCs w:val="24"/>
        </w:rPr>
        <w:t xml:space="preserve">is het militaire personeel van de zendstaat gerechtigd tot het dragen van het nationale militaire </w:t>
      </w:r>
      <w:r w:rsidR="00504021">
        <w:rPr>
          <w:sz w:val="24"/>
          <w:szCs w:val="24"/>
        </w:rPr>
        <w:t xml:space="preserve">uniform bij de uitvoering van </w:t>
      </w:r>
      <w:r w:rsidR="0087068E">
        <w:rPr>
          <w:sz w:val="24"/>
          <w:szCs w:val="24"/>
        </w:rPr>
        <w:t>offici</w:t>
      </w:r>
      <w:r w:rsidR="00B74F9C">
        <w:rPr>
          <w:sz w:val="24"/>
          <w:szCs w:val="24"/>
        </w:rPr>
        <w:t>ële taken</w:t>
      </w:r>
      <w:r w:rsidR="0087068E">
        <w:rPr>
          <w:sz w:val="24"/>
          <w:szCs w:val="24"/>
        </w:rPr>
        <w:t xml:space="preserve">. </w:t>
      </w:r>
    </w:p>
    <w:p w:rsidRPr="001023D7" w:rsidR="00E53968" w:rsidP="001B15F8" w:rsidRDefault="00082684">
      <w:pPr>
        <w:jc w:val="both"/>
        <w:rPr>
          <w:sz w:val="24"/>
          <w:szCs w:val="24"/>
        </w:rPr>
      </w:pPr>
      <w:r w:rsidRPr="001023D7">
        <w:rPr>
          <w:sz w:val="24"/>
          <w:szCs w:val="24"/>
        </w:rPr>
        <w:t>Artikel VI</w:t>
      </w:r>
    </w:p>
    <w:p w:rsidRPr="001023D7" w:rsidR="00E53968" w:rsidP="001B15F8" w:rsidRDefault="00E53968">
      <w:pPr>
        <w:jc w:val="both"/>
        <w:rPr>
          <w:sz w:val="24"/>
          <w:szCs w:val="24"/>
        </w:rPr>
      </w:pPr>
      <w:r w:rsidRPr="001023D7">
        <w:rPr>
          <w:sz w:val="24"/>
          <w:szCs w:val="24"/>
        </w:rPr>
        <w:t xml:space="preserve">Dit artikel </w:t>
      </w:r>
      <w:r w:rsidR="008D7D48">
        <w:rPr>
          <w:sz w:val="24"/>
          <w:szCs w:val="24"/>
        </w:rPr>
        <w:t xml:space="preserve">regelt </w:t>
      </w:r>
      <w:r w:rsidR="00065890">
        <w:rPr>
          <w:sz w:val="24"/>
          <w:szCs w:val="24"/>
        </w:rPr>
        <w:t xml:space="preserve">dat </w:t>
      </w:r>
      <w:r w:rsidRPr="008738DB" w:rsidR="005A5C35">
        <w:rPr>
          <w:sz w:val="24"/>
          <w:szCs w:val="24"/>
        </w:rPr>
        <w:t>het gastland</w:t>
      </w:r>
      <w:r w:rsidR="008D7D48">
        <w:rPr>
          <w:sz w:val="24"/>
          <w:szCs w:val="24"/>
        </w:rPr>
        <w:t xml:space="preserve"> </w:t>
      </w:r>
      <w:r w:rsidR="00793952">
        <w:rPr>
          <w:sz w:val="24"/>
          <w:szCs w:val="24"/>
        </w:rPr>
        <w:t xml:space="preserve">geldig </w:t>
      </w:r>
      <w:r w:rsidRPr="001023D7" w:rsidR="008D7D48">
        <w:rPr>
          <w:sz w:val="24"/>
          <w:szCs w:val="24"/>
        </w:rPr>
        <w:t>door de zendstaat</w:t>
      </w:r>
      <w:r w:rsidR="008D7D48">
        <w:rPr>
          <w:sz w:val="24"/>
          <w:szCs w:val="24"/>
        </w:rPr>
        <w:t xml:space="preserve"> afgegeven </w:t>
      </w:r>
      <w:r w:rsidRPr="001023D7">
        <w:rPr>
          <w:sz w:val="24"/>
          <w:szCs w:val="24"/>
        </w:rPr>
        <w:t xml:space="preserve">rijbewijzen </w:t>
      </w:r>
      <w:r w:rsidRPr="001023D7" w:rsidR="008D7D48">
        <w:rPr>
          <w:sz w:val="24"/>
          <w:szCs w:val="24"/>
        </w:rPr>
        <w:t xml:space="preserve">voor personeel van de </w:t>
      </w:r>
      <w:r w:rsidRPr="001023D7" w:rsidR="00065890">
        <w:rPr>
          <w:sz w:val="24"/>
          <w:szCs w:val="24"/>
        </w:rPr>
        <w:t>zendstaat</w:t>
      </w:r>
      <w:r w:rsidRPr="001023D7" w:rsidDel="008D7D48" w:rsidR="00065890">
        <w:rPr>
          <w:sz w:val="24"/>
          <w:szCs w:val="24"/>
        </w:rPr>
        <w:t xml:space="preserve"> </w:t>
      </w:r>
      <w:r w:rsidR="008D7D48">
        <w:rPr>
          <w:sz w:val="24"/>
          <w:szCs w:val="24"/>
        </w:rPr>
        <w:t xml:space="preserve">kan erkennen, dan wel </w:t>
      </w:r>
      <w:r w:rsidRPr="008738DB" w:rsidR="008D7D48">
        <w:rPr>
          <w:sz w:val="24"/>
          <w:szCs w:val="24"/>
        </w:rPr>
        <w:t xml:space="preserve">dat </w:t>
      </w:r>
      <w:r w:rsidRPr="008738DB" w:rsidR="002D1006">
        <w:rPr>
          <w:sz w:val="24"/>
          <w:szCs w:val="24"/>
        </w:rPr>
        <w:t>het gastland</w:t>
      </w:r>
      <w:r w:rsidR="008D7D48">
        <w:rPr>
          <w:sz w:val="24"/>
          <w:szCs w:val="24"/>
        </w:rPr>
        <w:t xml:space="preserve"> </w:t>
      </w:r>
      <w:r w:rsidR="00354955">
        <w:rPr>
          <w:sz w:val="24"/>
          <w:szCs w:val="24"/>
        </w:rPr>
        <w:t xml:space="preserve">het eigen </w:t>
      </w:r>
      <w:r w:rsidR="008D7D48">
        <w:rPr>
          <w:sz w:val="24"/>
          <w:szCs w:val="24"/>
        </w:rPr>
        <w:t xml:space="preserve">rijbewijs </w:t>
      </w:r>
      <w:r w:rsidR="00354955">
        <w:rPr>
          <w:sz w:val="24"/>
          <w:szCs w:val="24"/>
        </w:rPr>
        <w:t>afgeeft aan personeel van de zendstaat in het bezit van een geldig rijbewijs van de zendstaat</w:t>
      </w:r>
      <w:r w:rsidRPr="001023D7">
        <w:rPr>
          <w:sz w:val="24"/>
          <w:szCs w:val="24"/>
        </w:rPr>
        <w:t>. In b</w:t>
      </w:r>
      <w:r w:rsidR="003E5864">
        <w:rPr>
          <w:sz w:val="24"/>
          <w:szCs w:val="24"/>
        </w:rPr>
        <w:t>eide gevallen wordt geen rijexamen</w:t>
      </w:r>
      <w:r w:rsidRPr="001023D7">
        <w:rPr>
          <w:sz w:val="24"/>
          <w:szCs w:val="24"/>
        </w:rPr>
        <w:t xml:space="preserve"> verlangd. De bepalingen in dit artikel zijn identiek aan de bepalingen inzake rijbewijzen voor NAVO-personeel, zoals vermeld in artikel IV van de NAVO SOFA.</w:t>
      </w:r>
    </w:p>
    <w:p w:rsidRPr="001023D7" w:rsidR="00E53968" w:rsidP="001B15F8" w:rsidRDefault="00B4760B">
      <w:pPr>
        <w:jc w:val="both"/>
        <w:rPr>
          <w:sz w:val="24"/>
          <w:szCs w:val="24"/>
        </w:rPr>
      </w:pPr>
      <w:r>
        <w:rPr>
          <w:sz w:val="24"/>
          <w:szCs w:val="24"/>
        </w:rPr>
        <w:t>A</w:t>
      </w:r>
      <w:r w:rsidRPr="001023D7" w:rsidR="004D65E6">
        <w:rPr>
          <w:sz w:val="24"/>
          <w:szCs w:val="24"/>
        </w:rPr>
        <w:t>rtikel VII</w:t>
      </w:r>
    </w:p>
    <w:p w:rsidR="0099758B" w:rsidP="001B15F8" w:rsidRDefault="00E53968">
      <w:pPr>
        <w:jc w:val="both"/>
        <w:rPr>
          <w:sz w:val="24"/>
          <w:szCs w:val="24"/>
        </w:rPr>
      </w:pPr>
      <w:r w:rsidRPr="001023D7">
        <w:rPr>
          <w:sz w:val="24"/>
          <w:szCs w:val="24"/>
        </w:rPr>
        <w:t xml:space="preserve">Op grond van het </w:t>
      </w:r>
      <w:r w:rsidR="000618DA">
        <w:rPr>
          <w:sz w:val="24"/>
          <w:szCs w:val="24"/>
        </w:rPr>
        <w:t>gestelde in het eerste</w:t>
      </w:r>
      <w:r w:rsidRPr="001023D7">
        <w:rPr>
          <w:sz w:val="24"/>
          <w:szCs w:val="24"/>
        </w:rPr>
        <w:t xml:space="preserve"> lid, doen partijen over en weer afstand van aanspraken jegens elkaar </w:t>
      </w:r>
      <w:r w:rsidR="001F15E1">
        <w:rPr>
          <w:sz w:val="24"/>
          <w:szCs w:val="24"/>
        </w:rPr>
        <w:t xml:space="preserve">of jegens een personeelslid van de andere partij, </w:t>
      </w:r>
      <w:r w:rsidRPr="001023D7">
        <w:rPr>
          <w:sz w:val="24"/>
          <w:szCs w:val="24"/>
        </w:rPr>
        <w:t xml:space="preserve">ter zake </w:t>
      </w:r>
      <w:r w:rsidR="001F15E1">
        <w:rPr>
          <w:sz w:val="24"/>
          <w:szCs w:val="24"/>
        </w:rPr>
        <w:t>van schade aan hun eigendommen</w:t>
      </w:r>
      <w:r w:rsidRPr="001023D7">
        <w:rPr>
          <w:sz w:val="24"/>
          <w:szCs w:val="24"/>
        </w:rPr>
        <w:t xml:space="preserve"> en ter zake van letsel</w:t>
      </w:r>
      <w:r w:rsidR="0004619C">
        <w:rPr>
          <w:sz w:val="24"/>
          <w:szCs w:val="24"/>
        </w:rPr>
        <w:t xml:space="preserve"> (met inbegrip van letsel dat de dood tot gevolg heeft</w:t>
      </w:r>
      <w:r w:rsidR="001F15E1">
        <w:rPr>
          <w:sz w:val="24"/>
          <w:szCs w:val="24"/>
        </w:rPr>
        <w:t>)</w:t>
      </w:r>
      <w:r w:rsidRPr="001023D7">
        <w:rPr>
          <w:sz w:val="24"/>
          <w:szCs w:val="24"/>
        </w:rPr>
        <w:t xml:space="preserve"> van hun personeel, toegebracht in het kader van de uitoefening van de dienst. Het afstand nemen van aansprakelijkheid is niet van toepassing in geval van opzet en grove schuld (tweede </w:t>
      </w:r>
      <w:r w:rsidR="00AF5621">
        <w:rPr>
          <w:sz w:val="24"/>
          <w:szCs w:val="24"/>
        </w:rPr>
        <w:t xml:space="preserve">lid). Op grond van </w:t>
      </w:r>
      <w:r w:rsidRPr="001023D7">
        <w:rPr>
          <w:sz w:val="24"/>
          <w:szCs w:val="24"/>
        </w:rPr>
        <w:t xml:space="preserve">het derde lid </w:t>
      </w:r>
      <w:r w:rsidR="00AF5621">
        <w:rPr>
          <w:sz w:val="24"/>
          <w:szCs w:val="24"/>
        </w:rPr>
        <w:t xml:space="preserve">treedt het gastland op namens de zendstaat </w:t>
      </w:r>
      <w:r w:rsidRPr="001023D7">
        <w:rPr>
          <w:sz w:val="24"/>
          <w:szCs w:val="24"/>
        </w:rPr>
        <w:t xml:space="preserve">voor de afhandeling van schade aan derden </w:t>
      </w:r>
      <w:r w:rsidR="00A76B1B">
        <w:rPr>
          <w:sz w:val="24"/>
          <w:szCs w:val="24"/>
        </w:rPr>
        <w:t>die</w:t>
      </w:r>
      <w:r w:rsidRPr="001023D7" w:rsidR="00A76B1B">
        <w:rPr>
          <w:sz w:val="24"/>
          <w:szCs w:val="24"/>
        </w:rPr>
        <w:t xml:space="preserve"> </w:t>
      </w:r>
      <w:r w:rsidRPr="001023D7">
        <w:rPr>
          <w:sz w:val="24"/>
          <w:szCs w:val="24"/>
        </w:rPr>
        <w:t>door personeel van de zendstaat wordt veroorzaakt i</w:t>
      </w:r>
      <w:r w:rsidR="00AF5621">
        <w:rPr>
          <w:sz w:val="24"/>
          <w:szCs w:val="24"/>
        </w:rPr>
        <w:t>n de uitoefening van de dienst.</w:t>
      </w:r>
      <w:r w:rsidR="0099758B">
        <w:rPr>
          <w:sz w:val="24"/>
          <w:szCs w:val="24"/>
        </w:rPr>
        <w:t xml:space="preserve"> Wat betreft de verdeling van schade geldt het volgende:</w:t>
      </w:r>
    </w:p>
    <w:p w:rsidR="0099758B" w:rsidP="0099758B" w:rsidRDefault="0099758B">
      <w:pPr>
        <w:pStyle w:val="ListParagraph"/>
        <w:numPr>
          <w:ilvl w:val="0"/>
          <w:numId w:val="1"/>
        </w:numPr>
        <w:jc w:val="both"/>
        <w:rPr>
          <w:sz w:val="24"/>
          <w:szCs w:val="24"/>
        </w:rPr>
      </w:pPr>
      <w:r>
        <w:rPr>
          <w:sz w:val="24"/>
          <w:szCs w:val="24"/>
        </w:rPr>
        <w:t xml:space="preserve">Indien schade </w:t>
      </w:r>
      <w:r w:rsidR="007128ED">
        <w:rPr>
          <w:sz w:val="24"/>
          <w:szCs w:val="24"/>
        </w:rPr>
        <w:t>toerekenbaar is aan</w:t>
      </w:r>
      <w:r>
        <w:rPr>
          <w:sz w:val="24"/>
          <w:szCs w:val="24"/>
        </w:rPr>
        <w:t xml:space="preserve"> een partij zal deze partij voor vergoeding zorgdragen. </w:t>
      </w:r>
    </w:p>
    <w:p w:rsidR="00E53968" w:rsidP="0099758B" w:rsidRDefault="0099758B">
      <w:pPr>
        <w:pStyle w:val="ListParagraph"/>
        <w:numPr>
          <w:ilvl w:val="0"/>
          <w:numId w:val="1"/>
        </w:numPr>
        <w:jc w:val="both"/>
        <w:rPr>
          <w:sz w:val="24"/>
          <w:szCs w:val="24"/>
        </w:rPr>
      </w:pPr>
      <w:r>
        <w:rPr>
          <w:sz w:val="24"/>
          <w:szCs w:val="24"/>
        </w:rPr>
        <w:t xml:space="preserve">Indien schade </w:t>
      </w:r>
      <w:r w:rsidR="007128ED">
        <w:rPr>
          <w:sz w:val="24"/>
          <w:szCs w:val="24"/>
        </w:rPr>
        <w:t>toe te schrijven is aan</w:t>
      </w:r>
      <w:r>
        <w:rPr>
          <w:sz w:val="24"/>
          <w:szCs w:val="24"/>
        </w:rPr>
        <w:t xml:space="preserve"> beide partijen of indien schade niet kan worden toegeschreven aan de ene of de andere partij, </w:t>
      </w:r>
      <w:r w:rsidR="003803F5">
        <w:rPr>
          <w:sz w:val="24"/>
          <w:szCs w:val="24"/>
        </w:rPr>
        <w:t xml:space="preserve">vindt </w:t>
      </w:r>
      <w:r>
        <w:rPr>
          <w:sz w:val="24"/>
          <w:szCs w:val="24"/>
        </w:rPr>
        <w:t>ve</w:t>
      </w:r>
      <w:r w:rsidR="00025F73">
        <w:rPr>
          <w:sz w:val="24"/>
          <w:szCs w:val="24"/>
        </w:rPr>
        <w:t xml:space="preserve">rdeling </w:t>
      </w:r>
      <w:r w:rsidR="001B4471">
        <w:rPr>
          <w:sz w:val="24"/>
          <w:szCs w:val="24"/>
        </w:rPr>
        <w:t xml:space="preserve">over partijen </w:t>
      </w:r>
      <w:r w:rsidR="00025F73">
        <w:rPr>
          <w:sz w:val="24"/>
          <w:szCs w:val="24"/>
        </w:rPr>
        <w:t xml:space="preserve">op basis van gelijkheid </w:t>
      </w:r>
      <w:r w:rsidR="003803F5">
        <w:rPr>
          <w:sz w:val="24"/>
          <w:szCs w:val="24"/>
        </w:rPr>
        <w:t>plaats</w:t>
      </w:r>
      <w:r w:rsidR="001B4471">
        <w:rPr>
          <w:sz w:val="24"/>
          <w:szCs w:val="24"/>
        </w:rPr>
        <w:t>.</w:t>
      </w:r>
      <w:r>
        <w:rPr>
          <w:sz w:val="24"/>
          <w:szCs w:val="24"/>
        </w:rPr>
        <w:t xml:space="preserve"> </w:t>
      </w:r>
    </w:p>
    <w:p w:rsidRPr="0099758B" w:rsidR="00CF65E6" w:rsidP="0099758B" w:rsidRDefault="00CF65E6">
      <w:pPr>
        <w:pStyle w:val="ListParagraph"/>
        <w:numPr>
          <w:ilvl w:val="0"/>
          <w:numId w:val="1"/>
        </w:numPr>
        <w:jc w:val="both"/>
        <w:rPr>
          <w:sz w:val="24"/>
          <w:szCs w:val="24"/>
        </w:rPr>
      </w:pPr>
      <w:r>
        <w:rPr>
          <w:sz w:val="24"/>
          <w:szCs w:val="24"/>
        </w:rPr>
        <w:t xml:space="preserve">Partijen bepalen in onderling overleg de hoogte van het schadebedrag en aan wie deze moet worden </w:t>
      </w:r>
      <w:r w:rsidR="00065890">
        <w:rPr>
          <w:sz w:val="24"/>
          <w:szCs w:val="24"/>
        </w:rPr>
        <w:t xml:space="preserve">toegerekend. </w:t>
      </w:r>
    </w:p>
    <w:p w:rsidR="00FC6F38" w:rsidP="001B15F8" w:rsidRDefault="00FC6F38">
      <w:pPr>
        <w:jc w:val="both"/>
        <w:rPr>
          <w:sz w:val="24"/>
          <w:szCs w:val="24"/>
        </w:rPr>
      </w:pPr>
      <w:r>
        <w:rPr>
          <w:sz w:val="24"/>
          <w:szCs w:val="24"/>
        </w:rPr>
        <w:t>Artikel VIII</w:t>
      </w:r>
    </w:p>
    <w:p w:rsidR="00FC6F38" w:rsidP="001B15F8" w:rsidRDefault="00D42BAE">
      <w:pPr>
        <w:jc w:val="both"/>
        <w:rPr>
          <w:sz w:val="24"/>
          <w:szCs w:val="24"/>
        </w:rPr>
      </w:pPr>
      <w:r>
        <w:rPr>
          <w:sz w:val="24"/>
          <w:szCs w:val="24"/>
        </w:rPr>
        <w:t xml:space="preserve">Op grond van het gestelde in het tweede lid verlenen de Partijen </w:t>
      </w:r>
      <w:r w:rsidR="00936D11">
        <w:rPr>
          <w:sz w:val="24"/>
          <w:szCs w:val="24"/>
        </w:rPr>
        <w:t>elkaar kosteloos s</w:t>
      </w:r>
      <w:r w:rsidRPr="00204D92" w:rsidR="00204D92">
        <w:rPr>
          <w:sz w:val="24"/>
          <w:szCs w:val="24"/>
        </w:rPr>
        <w:t xml:space="preserve">poedeisende </w:t>
      </w:r>
      <w:r w:rsidR="00936D11">
        <w:rPr>
          <w:sz w:val="24"/>
          <w:szCs w:val="24"/>
        </w:rPr>
        <w:t xml:space="preserve">medische en tandheelkundige </w:t>
      </w:r>
      <w:r w:rsidRPr="00204D92" w:rsidR="00204D92">
        <w:rPr>
          <w:sz w:val="24"/>
          <w:szCs w:val="24"/>
        </w:rPr>
        <w:t xml:space="preserve">hulp bij de </w:t>
      </w:r>
      <w:r w:rsidR="00936D11">
        <w:rPr>
          <w:sz w:val="24"/>
          <w:szCs w:val="24"/>
        </w:rPr>
        <w:t xml:space="preserve">militair </w:t>
      </w:r>
      <w:r w:rsidRPr="00204D92" w:rsidR="00204D92">
        <w:rPr>
          <w:sz w:val="24"/>
          <w:szCs w:val="24"/>
        </w:rPr>
        <w:t>geneeskundige</w:t>
      </w:r>
      <w:r w:rsidR="00414AB9">
        <w:rPr>
          <w:sz w:val="24"/>
          <w:szCs w:val="24"/>
        </w:rPr>
        <w:t xml:space="preserve"> instellingen</w:t>
      </w:r>
      <w:r w:rsidR="00936D11">
        <w:rPr>
          <w:sz w:val="24"/>
          <w:szCs w:val="24"/>
        </w:rPr>
        <w:t xml:space="preserve"> </w:t>
      </w:r>
      <w:r w:rsidRPr="008738DB" w:rsidR="00204D92">
        <w:rPr>
          <w:sz w:val="24"/>
          <w:szCs w:val="24"/>
        </w:rPr>
        <w:t xml:space="preserve">van </w:t>
      </w:r>
      <w:r w:rsidRPr="008738DB" w:rsidR="00B556BA">
        <w:rPr>
          <w:sz w:val="24"/>
          <w:szCs w:val="24"/>
        </w:rPr>
        <w:t>het gastland</w:t>
      </w:r>
      <w:r w:rsidRPr="008738DB" w:rsidR="00D77BA7">
        <w:rPr>
          <w:sz w:val="24"/>
          <w:szCs w:val="24"/>
        </w:rPr>
        <w:t>,</w:t>
      </w:r>
      <w:r w:rsidRPr="00204D92" w:rsidR="00204D92">
        <w:rPr>
          <w:sz w:val="24"/>
          <w:szCs w:val="24"/>
        </w:rPr>
        <w:t xml:space="preserve"> </w:t>
      </w:r>
      <w:r w:rsidR="00936D11">
        <w:rPr>
          <w:sz w:val="24"/>
          <w:szCs w:val="24"/>
        </w:rPr>
        <w:t xml:space="preserve">gedurende het verblijf in </w:t>
      </w:r>
      <w:r w:rsidRPr="008738DB" w:rsidR="00B556BA">
        <w:rPr>
          <w:sz w:val="24"/>
          <w:szCs w:val="24"/>
        </w:rPr>
        <w:t>het gastland</w:t>
      </w:r>
      <w:r w:rsidR="00936D11">
        <w:rPr>
          <w:sz w:val="24"/>
          <w:szCs w:val="24"/>
        </w:rPr>
        <w:t xml:space="preserve"> in het kader van de onderhavige overeenkomst. Alle overige medische </w:t>
      </w:r>
      <w:r w:rsidR="00D77BA7">
        <w:rPr>
          <w:sz w:val="24"/>
          <w:szCs w:val="24"/>
        </w:rPr>
        <w:t xml:space="preserve">en tandheelkundige </w:t>
      </w:r>
      <w:r w:rsidR="00936D11">
        <w:rPr>
          <w:sz w:val="24"/>
          <w:szCs w:val="24"/>
        </w:rPr>
        <w:t>verzorging vindt plaats op dezelfde voorwaarden als die welke gelden voor het personeel van het gastland.</w:t>
      </w:r>
    </w:p>
    <w:p w:rsidR="00065890" w:rsidRDefault="00065890">
      <w:pPr>
        <w:rPr>
          <w:sz w:val="24"/>
          <w:szCs w:val="24"/>
        </w:rPr>
      </w:pPr>
      <w:r>
        <w:rPr>
          <w:sz w:val="24"/>
          <w:szCs w:val="24"/>
        </w:rPr>
        <w:br w:type="page"/>
      </w:r>
    </w:p>
    <w:p w:rsidR="00D60989" w:rsidP="001B15F8" w:rsidRDefault="00D60989">
      <w:pPr>
        <w:jc w:val="both"/>
        <w:rPr>
          <w:sz w:val="24"/>
          <w:szCs w:val="24"/>
        </w:rPr>
      </w:pPr>
      <w:r>
        <w:rPr>
          <w:sz w:val="24"/>
          <w:szCs w:val="24"/>
        </w:rPr>
        <w:lastRenderedPageBreak/>
        <w:t>Artikel IX</w:t>
      </w:r>
    </w:p>
    <w:p w:rsidR="00FC6F38" w:rsidP="001B15F8" w:rsidRDefault="007764CC">
      <w:pPr>
        <w:jc w:val="both"/>
        <w:rPr>
          <w:sz w:val="24"/>
          <w:szCs w:val="24"/>
        </w:rPr>
      </w:pPr>
      <w:r>
        <w:rPr>
          <w:sz w:val="24"/>
          <w:szCs w:val="24"/>
        </w:rPr>
        <w:t xml:space="preserve">In dit artikel zijn bepalingen opgenomen in geval een personeelslid van de zendstaat of een lid van zijn gezin komt te overlijden. </w:t>
      </w:r>
      <w:r w:rsidR="00D42BAE">
        <w:rPr>
          <w:sz w:val="24"/>
          <w:szCs w:val="24"/>
        </w:rPr>
        <w:t xml:space="preserve">Op grond van het gestelde in het tweede lid vindt autopsie op het lichaam </w:t>
      </w:r>
      <w:r w:rsidR="00764705">
        <w:rPr>
          <w:sz w:val="24"/>
          <w:szCs w:val="24"/>
        </w:rPr>
        <w:t>al</w:t>
      </w:r>
      <w:r w:rsidR="00E76D92">
        <w:rPr>
          <w:sz w:val="24"/>
          <w:szCs w:val="24"/>
        </w:rPr>
        <w:t xml:space="preserve">leen plaats met toestemming van </w:t>
      </w:r>
      <w:r w:rsidR="00764705">
        <w:rPr>
          <w:sz w:val="24"/>
          <w:szCs w:val="24"/>
        </w:rPr>
        <w:t xml:space="preserve">de autoriteiten van de zendstaat </w:t>
      </w:r>
      <w:r w:rsidR="00E76D92">
        <w:rPr>
          <w:sz w:val="24"/>
          <w:szCs w:val="24"/>
        </w:rPr>
        <w:t xml:space="preserve">en in het bijzijn van een vertegenwoordiger van die </w:t>
      </w:r>
      <w:r w:rsidR="00065890">
        <w:rPr>
          <w:sz w:val="24"/>
          <w:szCs w:val="24"/>
        </w:rPr>
        <w:t xml:space="preserve">staat. </w:t>
      </w:r>
    </w:p>
    <w:p w:rsidR="00E53968" w:rsidP="001B15F8" w:rsidRDefault="00957B0D">
      <w:pPr>
        <w:jc w:val="both"/>
        <w:rPr>
          <w:sz w:val="24"/>
          <w:szCs w:val="24"/>
        </w:rPr>
      </w:pPr>
      <w:r w:rsidRPr="001023D7">
        <w:rPr>
          <w:sz w:val="24"/>
          <w:szCs w:val="24"/>
        </w:rPr>
        <w:t>A</w:t>
      </w:r>
      <w:r w:rsidR="00D147ED">
        <w:rPr>
          <w:sz w:val="24"/>
          <w:szCs w:val="24"/>
        </w:rPr>
        <w:t>rtikel X</w:t>
      </w:r>
    </w:p>
    <w:p w:rsidRPr="00F507BF" w:rsidR="001D4298" w:rsidP="001D4298" w:rsidRDefault="001D4298">
      <w:r w:rsidRPr="001D4298">
        <w:t>Nadere afspraken inzake de praktische uitvoering van trainingen en opleidingen kunnen worden vastgelegd in niet juri</w:t>
      </w:r>
      <w:r>
        <w:t>disch verbindende regelingen (Mo</w:t>
      </w:r>
      <w:r w:rsidRPr="001D4298">
        <w:t>Us) tussen de Ministers van Defensie van de Partijen.</w:t>
      </w:r>
    </w:p>
    <w:p w:rsidR="00D147ED" w:rsidP="001B15F8" w:rsidRDefault="00D147ED">
      <w:pPr>
        <w:jc w:val="both"/>
        <w:rPr>
          <w:sz w:val="24"/>
          <w:szCs w:val="24"/>
        </w:rPr>
      </w:pPr>
      <w:r>
        <w:rPr>
          <w:sz w:val="24"/>
          <w:szCs w:val="24"/>
        </w:rPr>
        <w:t>Artikel XI</w:t>
      </w:r>
    </w:p>
    <w:p w:rsidRPr="001023D7" w:rsidR="00E53968" w:rsidP="001B15F8" w:rsidRDefault="00E53968">
      <w:pPr>
        <w:jc w:val="both"/>
        <w:rPr>
          <w:sz w:val="24"/>
          <w:szCs w:val="24"/>
        </w:rPr>
      </w:pPr>
      <w:r w:rsidRPr="001023D7">
        <w:rPr>
          <w:sz w:val="24"/>
          <w:szCs w:val="24"/>
        </w:rPr>
        <w:t xml:space="preserve">De </w:t>
      </w:r>
      <w:r w:rsidR="007128ED">
        <w:rPr>
          <w:sz w:val="24"/>
          <w:szCs w:val="24"/>
        </w:rPr>
        <w:t>P</w:t>
      </w:r>
      <w:r w:rsidRPr="001023D7">
        <w:rPr>
          <w:sz w:val="24"/>
          <w:szCs w:val="24"/>
        </w:rPr>
        <w:t xml:space="preserve">artijen komen overeen dat geschillen die voortvloeien uit of verband houden met het verdrag, in overleg tussen </w:t>
      </w:r>
      <w:r w:rsidR="007128ED">
        <w:rPr>
          <w:sz w:val="24"/>
          <w:szCs w:val="24"/>
        </w:rPr>
        <w:t>de bevoegde autoriteiten van de P</w:t>
      </w:r>
      <w:r w:rsidRPr="001023D7">
        <w:rPr>
          <w:sz w:val="24"/>
          <w:szCs w:val="24"/>
        </w:rPr>
        <w:t xml:space="preserve">artijen </w:t>
      </w:r>
      <w:r w:rsidR="003853CC">
        <w:rPr>
          <w:sz w:val="24"/>
          <w:szCs w:val="24"/>
        </w:rPr>
        <w:t xml:space="preserve">en </w:t>
      </w:r>
      <w:r w:rsidR="007128ED">
        <w:rPr>
          <w:sz w:val="24"/>
          <w:szCs w:val="24"/>
        </w:rPr>
        <w:t xml:space="preserve">langs diplomatieke weg </w:t>
      </w:r>
      <w:r w:rsidRPr="001023D7">
        <w:rPr>
          <w:sz w:val="24"/>
          <w:szCs w:val="24"/>
        </w:rPr>
        <w:t xml:space="preserve">worden </w:t>
      </w:r>
      <w:r w:rsidR="00343E32">
        <w:rPr>
          <w:sz w:val="24"/>
          <w:szCs w:val="24"/>
        </w:rPr>
        <w:t>beslecht</w:t>
      </w:r>
      <w:r w:rsidRPr="001023D7">
        <w:rPr>
          <w:sz w:val="24"/>
          <w:szCs w:val="24"/>
        </w:rPr>
        <w:t>.</w:t>
      </w:r>
    </w:p>
    <w:p w:rsidRPr="001023D7" w:rsidR="00E53968" w:rsidP="001B15F8" w:rsidRDefault="00D147ED">
      <w:pPr>
        <w:jc w:val="both"/>
        <w:rPr>
          <w:sz w:val="24"/>
          <w:szCs w:val="24"/>
        </w:rPr>
      </w:pPr>
      <w:r>
        <w:rPr>
          <w:sz w:val="24"/>
          <w:szCs w:val="24"/>
        </w:rPr>
        <w:t>Artikel XII</w:t>
      </w:r>
      <w:r w:rsidR="002C0397">
        <w:rPr>
          <w:sz w:val="24"/>
          <w:szCs w:val="24"/>
        </w:rPr>
        <w:t>I</w:t>
      </w:r>
    </w:p>
    <w:p w:rsidRPr="001023D7" w:rsidR="00E53968" w:rsidP="001B15F8" w:rsidRDefault="00E53968">
      <w:pPr>
        <w:jc w:val="both"/>
        <w:rPr>
          <w:sz w:val="24"/>
          <w:szCs w:val="24"/>
        </w:rPr>
      </w:pPr>
      <w:r w:rsidRPr="001023D7">
        <w:rPr>
          <w:sz w:val="24"/>
          <w:szCs w:val="24"/>
        </w:rPr>
        <w:t>Dit artikel bevat gebruikelijke bepalingen inzake de inwerkingtreding van het verdrag.</w:t>
      </w:r>
    </w:p>
    <w:p w:rsidR="00065890" w:rsidP="001B15F8" w:rsidRDefault="00065890">
      <w:pPr>
        <w:jc w:val="both"/>
        <w:rPr>
          <w:b/>
          <w:sz w:val="24"/>
          <w:szCs w:val="24"/>
        </w:rPr>
      </w:pPr>
    </w:p>
    <w:p w:rsidRPr="007C027F" w:rsidR="00E53968" w:rsidP="001B15F8" w:rsidRDefault="00E53968">
      <w:pPr>
        <w:jc w:val="both"/>
        <w:rPr>
          <w:b/>
          <w:sz w:val="24"/>
          <w:szCs w:val="24"/>
        </w:rPr>
      </w:pPr>
      <w:r w:rsidRPr="007C027F">
        <w:rPr>
          <w:b/>
          <w:sz w:val="24"/>
          <w:szCs w:val="24"/>
        </w:rPr>
        <w:t>Koninkrijkspositie</w:t>
      </w:r>
    </w:p>
    <w:p w:rsidRPr="001023D7" w:rsidR="00E53968" w:rsidP="001B15F8" w:rsidRDefault="00E53968">
      <w:pPr>
        <w:jc w:val="both"/>
        <w:rPr>
          <w:sz w:val="24"/>
          <w:szCs w:val="24"/>
        </w:rPr>
      </w:pPr>
      <w:r w:rsidRPr="001023D7">
        <w:rPr>
          <w:sz w:val="24"/>
          <w:szCs w:val="24"/>
        </w:rPr>
        <w:t xml:space="preserve">Wat het Koninkrijk betreft, zal dit verdrag alleen voor </w:t>
      </w:r>
      <w:r w:rsidR="003853CC">
        <w:rPr>
          <w:sz w:val="24"/>
          <w:szCs w:val="24"/>
        </w:rPr>
        <w:t xml:space="preserve">het Europese deel van </w:t>
      </w:r>
      <w:r w:rsidRPr="001023D7">
        <w:rPr>
          <w:sz w:val="24"/>
          <w:szCs w:val="24"/>
        </w:rPr>
        <w:t>Nederland gelden.</w:t>
      </w:r>
    </w:p>
    <w:p w:rsidR="007C027F" w:rsidP="001B15F8" w:rsidRDefault="007C027F">
      <w:pPr>
        <w:jc w:val="both"/>
        <w:rPr>
          <w:sz w:val="24"/>
          <w:szCs w:val="24"/>
        </w:rPr>
      </w:pPr>
    </w:p>
    <w:p w:rsidRPr="001023D7" w:rsidR="00E53968" w:rsidP="001B15F8" w:rsidRDefault="00CE1D15">
      <w:pPr>
        <w:jc w:val="both"/>
        <w:rPr>
          <w:sz w:val="24"/>
          <w:szCs w:val="24"/>
        </w:rPr>
      </w:pPr>
      <w:r>
        <w:rPr>
          <w:sz w:val="24"/>
          <w:szCs w:val="24"/>
        </w:rPr>
        <w:t>D</w:t>
      </w:r>
      <w:r w:rsidRPr="001023D7" w:rsidR="00E53968">
        <w:rPr>
          <w:sz w:val="24"/>
          <w:szCs w:val="24"/>
        </w:rPr>
        <w:t>e minister van Defensie</w:t>
      </w:r>
    </w:p>
    <w:p w:rsidR="00E53968" w:rsidP="001B15F8" w:rsidRDefault="00E53968">
      <w:pPr>
        <w:jc w:val="both"/>
        <w:rPr>
          <w:sz w:val="24"/>
          <w:szCs w:val="24"/>
        </w:rPr>
      </w:pPr>
    </w:p>
    <w:p w:rsidR="00065890" w:rsidP="001B15F8" w:rsidRDefault="00065890">
      <w:pPr>
        <w:jc w:val="both"/>
        <w:rPr>
          <w:sz w:val="24"/>
          <w:szCs w:val="24"/>
        </w:rPr>
      </w:pPr>
    </w:p>
    <w:p w:rsidRPr="001023D7" w:rsidR="004D6145" w:rsidP="001B15F8" w:rsidRDefault="004D6145">
      <w:pPr>
        <w:jc w:val="both"/>
        <w:rPr>
          <w:sz w:val="24"/>
          <w:szCs w:val="24"/>
        </w:rPr>
      </w:pPr>
    </w:p>
    <w:p w:rsidRPr="001023D7" w:rsidR="00E53968" w:rsidP="001B15F8" w:rsidRDefault="007C027F">
      <w:pPr>
        <w:jc w:val="both"/>
        <w:rPr>
          <w:sz w:val="24"/>
          <w:szCs w:val="24"/>
        </w:rPr>
      </w:pPr>
      <w:r>
        <w:rPr>
          <w:sz w:val="24"/>
          <w:szCs w:val="24"/>
        </w:rPr>
        <w:t>D</w:t>
      </w:r>
      <w:r w:rsidRPr="001023D7" w:rsidR="00E53968">
        <w:rPr>
          <w:sz w:val="24"/>
          <w:szCs w:val="24"/>
        </w:rPr>
        <w:t>e minister van Buitenlandse Zaken</w:t>
      </w:r>
    </w:p>
    <w:sectPr w:rsidRPr="001023D7" w:rsidR="00E53968" w:rsidSect="00D75566">
      <w:footerReference w:type="default" r:id="rId9"/>
      <w:footerReference w:type="first" r:id="rId10"/>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D0" w:rsidRDefault="009D51D0" w:rsidP="007B01A8">
      <w:pPr>
        <w:spacing w:after="0" w:line="240" w:lineRule="auto"/>
      </w:pPr>
      <w:r>
        <w:separator/>
      </w:r>
    </w:p>
  </w:endnote>
  <w:endnote w:type="continuationSeparator" w:id="0">
    <w:p w:rsidR="009D51D0" w:rsidRDefault="009D51D0" w:rsidP="007B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990399"/>
      <w:docPartObj>
        <w:docPartGallery w:val="Page Numbers (Bottom of Page)"/>
        <w:docPartUnique/>
      </w:docPartObj>
    </w:sdtPr>
    <w:sdtEndPr>
      <w:rPr>
        <w:noProof/>
      </w:rPr>
    </w:sdtEndPr>
    <w:sdtContent>
      <w:p w:rsidR="00941CF5" w:rsidRDefault="00941CF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9D51D0" w:rsidRPr="00D75566" w:rsidRDefault="009D51D0">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66" w:rsidRPr="00D75566" w:rsidRDefault="00D75566">
    <w:pPr>
      <w:pStyle w:val="Footer"/>
      <w:pBdr>
        <w:bottom w:val="single" w:sz="12" w:space="1" w:color="auto"/>
      </w:pBdr>
      <w:rPr>
        <w:sz w:val="18"/>
        <w:szCs w:val="18"/>
      </w:rPr>
    </w:pPr>
  </w:p>
  <w:p w:rsidR="00D75566" w:rsidRPr="00D75566" w:rsidRDefault="00D75566">
    <w:pPr>
      <w:pStyle w:val="Footer"/>
      <w:rPr>
        <w:sz w:val="18"/>
        <w:szCs w:val="18"/>
      </w:rPr>
    </w:pPr>
    <w:r w:rsidRPr="00D75566">
      <w:rPr>
        <w:sz w:val="18"/>
        <w:szCs w:val="18"/>
      </w:rPr>
      <w:t>Het advies van de Afdeling advisering van de Raad van State van het Koninkrijk wordt niet openbaar gemaakt, omdat het uitsluitend opmerkingen van redactionele aard bevat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D0" w:rsidRDefault="009D51D0" w:rsidP="007B01A8">
      <w:pPr>
        <w:spacing w:after="0" w:line="240" w:lineRule="auto"/>
      </w:pPr>
      <w:r>
        <w:separator/>
      </w:r>
    </w:p>
  </w:footnote>
  <w:footnote w:type="continuationSeparator" w:id="0">
    <w:p w:rsidR="009D51D0" w:rsidRDefault="009D51D0" w:rsidP="007B0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965EE"/>
    <w:multiLevelType w:val="hybridMultilevel"/>
    <w:tmpl w:val="251631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7EBD5CFB"/>
    <w:multiLevelType w:val="hybridMultilevel"/>
    <w:tmpl w:val="B0985E2A"/>
    <w:lvl w:ilvl="0" w:tplc="059A24A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5A"/>
    <w:rsid w:val="0000125C"/>
    <w:rsid w:val="00025F73"/>
    <w:rsid w:val="00035274"/>
    <w:rsid w:val="00041325"/>
    <w:rsid w:val="0004619C"/>
    <w:rsid w:val="000618DA"/>
    <w:rsid w:val="00065890"/>
    <w:rsid w:val="00082684"/>
    <w:rsid w:val="000F71A0"/>
    <w:rsid w:val="001023D7"/>
    <w:rsid w:val="0011492F"/>
    <w:rsid w:val="00123ECA"/>
    <w:rsid w:val="00183638"/>
    <w:rsid w:val="001847E2"/>
    <w:rsid w:val="001A53C1"/>
    <w:rsid w:val="001A5D42"/>
    <w:rsid w:val="001A7F6F"/>
    <w:rsid w:val="001B15F8"/>
    <w:rsid w:val="001B4471"/>
    <w:rsid w:val="001B5F08"/>
    <w:rsid w:val="001B7A3D"/>
    <w:rsid w:val="001D0C37"/>
    <w:rsid w:val="001D4298"/>
    <w:rsid w:val="001F15E1"/>
    <w:rsid w:val="0020162E"/>
    <w:rsid w:val="00204D92"/>
    <w:rsid w:val="00207B9B"/>
    <w:rsid w:val="002320A8"/>
    <w:rsid w:val="002469BC"/>
    <w:rsid w:val="002503C4"/>
    <w:rsid w:val="00251422"/>
    <w:rsid w:val="002567EE"/>
    <w:rsid w:val="00265091"/>
    <w:rsid w:val="00280EBE"/>
    <w:rsid w:val="002B3B7C"/>
    <w:rsid w:val="002C0397"/>
    <w:rsid w:val="002C2B2E"/>
    <w:rsid w:val="002C6CD3"/>
    <w:rsid w:val="002D1006"/>
    <w:rsid w:val="002D431E"/>
    <w:rsid w:val="00311595"/>
    <w:rsid w:val="00337770"/>
    <w:rsid w:val="00343E32"/>
    <w:rsid w:val="00354955"/>
    <w:rsid w:val="003569BD"/>
    <w:rsid w:val="00365991"/>
    <w:rsid w:val="003750F4"/>
    <w:rsid w:val="003803F5"/>
    <w:rsid w:val="003853CC"/>
    <w:rsid w:val="003950A7"/>
    <w:rsid w:val="003A72C6"/>
    <w:rsid w:val="003B4C4A"/>
    <w:rsid w:val="003C2B33"/>
    <w:rsid w:val="003C6C7D"/>
    <w:rsid w:val="003E05E9"/>
    <w:rsid w:val="003E5864"/>
    <w:rsid w:val="003E673C"/>
    <w:rsid w:val="003F11AA"/>
    <w:rsid w:val="003F17CF"/>
    <w:rsid w:val="003F7C3D"/>
    <w:rsid w:val="00414AB9"/>
    <w:rsid w:val="00415D0C"/>
    <w:rsid w:val="00425E00"/>
    <w:rsid w:val="00454DCA"/>
    <w:rsid w:val="004839CC"/>
    <w:rsid w:val="004D6145"/>
    <w:rsid w:val="004D65E6"/>
    <w:rsid w:val="004D79A0"/>
    <w:rsid w:val="004E0D8E"/>
    <w:rsid w:val="004E5D29"/>
    <w:rsid w:val="00504021"/>
    <w:rsid w:val="005661AC"/>
    <w:rsid w:val="00570F3F"/>
    <w:rsid w:val="00577D2E"/>
    <w:rsid w:val="005A5C35"/>
    <w:rsid w:val="005F0662"/>
    <w:rsid w:val="00616D1A"/>
    <w:rsid w:val="006363F6"/>
    <w:rsid w:val="00664F5B"/>
    <w:rsid w:val="00675A86"/>
    <w:rsid w:val="006A7ECB"/>
    <w:rsid w:val="006C0900"/>
    <w:rsid w:val="006C1AB8"/>
    <w:rsid w:val="006C3EA6"/>
    <w:rsid w:val="006C7045"/>
    <w:rsid w:val="006D4594"/>
    <w:rsid w:val="007041EB"/>
    <w:rsid w:val="00711B7E"/>
    <w:rsid w:val="007128ED"/>
    <w:rsid w:val="0072128B"/>
    <w:rsid w:val="0076240C"/>
    <w:rsid w:val="00762DD7"/>
    <w:rsid w:val="00764705"/>
    <w:rsid w:val="007764CC"/>
    <w:rsid w:val="00793952"/>
    <w:rsid w:val="007A1894"/>
    <w:rsid w:val="007B01A8"/>
    <w:rsid w:val="007C027F"/>
    <w:rsid w:val="007C57F6"/>
    <w:rsid w:val="007D2FA3"/>
    <w:rsid w:val="007D3065"/>
    <w:rsid w:val="007D3106"/>
    <w:rsid w:val="007E108E"/>
    <w:rsid w:val="00802E25"/>
    <w:rsid w:val="008123E9"/>
    <w:rsid w:val="008157D3"/>
    <w:rsid w:val="00841EA8"/>
    <w:rsid w:val="0085395F"/>
    <w:rsid w:val="00857720"/>
    <w:rsid w:val="00862821"/>
    <w:rsid w:val="0087068E"/>
    <w:rsid w:val="008738DB"/>
    <w:rsid w:val="008854E5"/>
    <w:rsid w:val="00890173"/>
    <w:rsid w:val="00895631"/>
    <w:rsid w:val="008C19A0"/>
    <w:rsid w:val="008C4F5C"/>
    <w:rsid w:val="008D29B0"/>
    <w:rsid w:val="008D7D48"/>
    <w:rsid w:val="008F3F30"/>
    <w:rsid w:val="008F55D2"/>
    <w:rsid w:val="008F66F5"/>
    <w:rsid w:val="008F7A9C"/>
    <w:rsid w:val="00906872"/>
    <w:rsid w:val="009149EF"/>
    <w:rsid w:val="00920585"/>
    <w:rsid w:val="00936D11"/>
    <w:rsid w:val="00941CF5"/>
    <w:rsid w:val="00945EF4"/>
    <w:rsid w:val="00957B0D"/>
    <w:rsid w:val="00957F16"/>
    <w:rsid w:val="0099260E"/>
    <w:rsid w:val="0099334F"/>
    <w:rsid w:val="0099758B"/>
    <w:rsid w:val="0099765A"/>
    <w:rsid w:val="009A6804"/>
    <w:rsid w:val="009B5C12"/>
    <w:rsid w:val="009D51D0"/>
    <w:rsid w:val="009D60D6"/>
    <w:rsid w:val="00A25B85"/>
    <w:rsid w:val="00A2759A"/>
    <w:rsid w:val="00A32DB4"/>
    <w:rsid w:val="00A46F9D"/>
    <w:rsid w:val="00A53F4F"/>
    <w:rsid w:val="00A565CF"/>
    <w:rsid w:val="00A62D5D"/>
    <w:rsid w:val="00A75B30"/>
    <w:rsid w:val="00A76B1B"/>
    <w:rsid w:val="00A7798A"/>
    <w:rsid w:val="00A809A4"/>
    <w:rsid w:val="00A95834"/>
    <w:rsid w:val="00AB13DA"/>
    <w:rsid w:val="00AB7EA8"/>
    <w:rsid w:val="00AD64CC"/>
    <w:rsid w:val="00AD79A9"/>
    <w:rsid w:val="00AF15BD"/>
    <w:rsid w:val="00AF5621"/>
    <w:rsid w:val="00B07805"/>
    <w:rsid w:val="00B146CA"/>
    <w:rsid w:val="00B1525A"/>
    <w:rsid w:val="00B31720"/>
    <w:rsid w:val="00B334CE"/>
    <w:rsid w:val="00B339A5"/>
    <w:rsid w:val="00B357C7"/>
    <w:rsid w:val="00B4760B"/>
    <w:rsid w:val="00B55525"/>
    <w:rsid w:val="00B556BA"/>
    <w:rsid w:val="00B65AB4"/>
    <w:rsid w:val="00B74F9C"/>
    <w:rsid w:val="00B77BB8"/>
    <w:rsid w:val="00B91C86"/>
    <w:rsid w:val="00BA12CA"/>
    <w:rsid w:val="00BC3414"/>
    <w:rsid w:val="00BC61F0"/>
    <w:rsid w:val="00BD381E"/>
    <w:rsid w:val="00BF0846"/>
    <w:rsid w:val="00C0160A"/>
    <w:rsid w:val="00C02824"/>
    <w:rsid w:val="00C06CA2"/>
    <w:rsid w:val="00C20F9B"/>
    <w:rsid w:val="00C251CB"/>
    <w:rsid w:val="00C27C2F"/>
    <w:rsid w:val="00C417CE"/>
    <w:rsid w:val="00C43C26"/>
    <w:rsid w:val="00CA5CB1"/>
    <w:rsid w:val="00CB0688"/>
    <w:rsid w:val="00CC106E"/>
    <w:rsid w:val="00CC5A01"/>
    <w:rsid w:val="00CC6A3F"/>
    <w:rsid w:val="00CD2D55"/>
    <w:rsid w:val="00CD41E3"/>
    <w:rsid w:val="00CD5F50"/>
    <w:rsid w:val="00CE1D15"/>
    <w:rsid w:val="00CE7FD4"/>
    <w:rsid w:val="00CF65E6"/>
    <w:rsid w:val="00D00F51"/>
    <w:rsid w:val="00D147ED"/>
    <w:rsid w:val="00D3380E"/>
    <w:rsid w:val="00D42BAE"/>
    <w:rsid w:val="00D561E9"/>
    <w:rsid w:val="00D5740C"/>
    <w:rsid w:val="00D60989"/>
    <w:rsid w:val="00D64D20"/>
    <w:rsid w:val="00D75566"/>
    <w:rsid w:val="00D77BA7"/>
    <w:rsid w:val="00D862F7"/>
    <w:rsid w:val="00D94484"/>
    <w:rsid w:val="00DD07D7"/>
    <w:rsid w:val="00DF6471"/>
    <w:rsid w:val="00E118A4"/>
    <w:rsid w:val="00E2610C"/>
    <w:rsid w:val="00E335E2"/>
    <w:rsid w:val="00E53968"/>
    <w:rsid w:val="00E576FB"/>
    <w:rsid w:val="00E76D92"/>
    <w:rsid w:val="00EA05C7"/>
    <w:rsid w:val="00EA5341"/>
    <w:rsid w:val="00EB5705"/>
    <w:rsid w:val="00EF473C"/>
    <w:rsid w:val="00EF5E4D"/>
    <w:rsid w:val="00F07F4C"/>
    <w:rsid w:val="00F10FAD"/>
    <w:rsid w:val="00F1297F"/>
    <w:rsid w:val="00F25709"/>
    <w:rsid w:val="00F26408"/>
    <w:rsid w:val="00F2715D"/>
    <w:rsid w:val="00F3503F"/>
    <w:rsid w:val="00F60D91"/>
    <w:rsid w:val="00F71D84"/>
    <w:rsid w:val="00F72EDE"/>
    <w:rsid w:val="00F81FD4"/>
    <w:rsid w:val="00F900EA"/>
    <w:rsid w:val="00F944DE"/>
    <w:rsid w:val="00F96461"/>
    <w:rsid w:val="00F97D84"/>
    <w:rsid w:val="00FA340C"/>
    <w:rsid w:val="00FC6F38"/>
    <w:rsid w:val="00FE14A9"/>
    <w:rsid w:val="00FE2602"/>
    <w:rsid w:val="00FF2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58B"/>
    <w:pPr>
      <w:ind w:left="720"/>
      <w:contextualSpacing/>
    </w:pPr>
  </w:style>
  <w:style w:type="paragraph" w:styleId="BalloonText">
    <w:name w:val="Balloon Text"/>
    <w:basedOn w:val="Normal"/>
    <w:link w:val="BalloonTextChar"/>
    <w:uiPriority w:val="99"/>
    <w:semiHidden/>
    <w:unhideWhenUsed/>
    <w:rsid w:val="00CD2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D55"/>
    <w:rPr>
      <w:rFonts w:ascii="Tahoma" w:hAnsi="Tahoma" w:cs="Tahoma"/>
      <w:sz w:val="16"/>
      <w:szCs w:val="16"/>
    </w:rPr>
  </w:style>
  <w:style w:type="paragraph" w:styleId="Header">
    <w:name w:val="header"/>
    <w:basedOn w:val="Normal"/>
    <w:link w:val="HeaderChar"/>
    <w:uiPriority w:val="99"/>
    <w:unhideWhenUsed/>
    <w:rsid w:val="007B0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1A8"/>
  </w:style>
  <w:style w:type="paragraph" w:styleId="Footer">
    <w:name w:val="footer"/>
    <w:basedOn w:val="Normal"/>
    <w:link w:val="FooterChar"/>
    <w:uiPriority w:val="99"/>
    <w:unhideWhenUsed/>
    <w:rsid w:val="007B0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1A8"/>
  </w:style>
  <w:style w:type="character" w:styleId="CommentReference">
    <w:name w:val="annotation reference"/>
    <w:basedOn w:val="DefaultParagraphFont"/>
    <w:uiPriority w:val="99"/>
    <w:semiHidden/>
    <w:unhideWhenUsed/>
    <w:rsid w:val="003F7C3D"/>
    <w:rPr>
      <w:sz w:val="16"/>
      <w:szCs w:val="16"/>
    </w:rPr>
  </w:style>
  <w:style w:type="paragraph" w:styleId="CommentText">
    <w:name w:val="annotation text"/>
    <w:basedOn w:val="Normal"/>
    <w:link w:val="CommentTextChar"/>
    <w:uiPriority w:val="99"/>
    <w:semiHidden/>
    <w:unhideWhenUsed/>
    <w:rsid w:val="003F7C3D"/>
    <w:pPr>
      <w:spacing w:line="240" w:lineRule="auto"/>
    </w:pPr>
    <w:rPr>
      <w:sz w:val="20"/>
      <w:szCs w:val="20"/>
    </w:rPr>
  </w:style>
  <w:style w:type="character" w:customStyle="1" w:styleId="CommentTextChar">
    <w:name w:val="Comment Text Char"/>
    <w:basedOn w:val="DefaultParagraphFont"/>
    <w:link w:val="CommentText"/>
    <w:uiPriority w:val="99"/>
    <w:semiHidden/>
    <w:rsid w:val="003F7C3D"/>
    <w:rPr>
      <w:sz w:val="20"/>
      <w:szCs w:val="20"/>
    </w:rPr>
  </w:style>
  <w:style w:type="paragraph" w:styleId="CommentSubject">
    <w:name w:val="annotation subject"/>
    <w:basedOn w:val="CommentText"/>
    <w:next w:val="CommentText"/>
    <w:link w:val="CommentSubjectChar"/>
    <w:uiPriority w:val="99"/>
    <w:semiHidden/>
    <w:unhideWhenUsed/>
    <w:rsid w:val="003F7C3D"/>
    <w:rPr>
      <w:b/>
      <w:bCs/>
    </w:rPr>
  </w:style>
  <w:style w:type="character" w:customStyle="1" w:styleId="CommentSubjectChar">
    <w:name w:val="Comment Subject Char"/>
    <w:basedOn w:val="CommentTextChar"/>
    <w:link w:val="CommentSubject"/>
    <w:uiPriority w:val="99"/>
    <w:semiHidden/>
    <w:rsid w:val="003F7C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58B"/>
    <w:pPr>
      <w:ind w:left="720"/>
      <w:contextualSpacing/>
    </w:pPr>
  </w:style>
  <w:style w:type="paragraph" w:styleId="BalloonText">
    <w:name w:val="Balloon Text"/>
    <w:basedOn w:val="Normal"/>
    <w:link w:val="BalloonTextChar"/>
    <w:uiPriority w:val="99"/>
    <w:semiHidden/>
    <w:unhideWhenUsed/>
    <w:rsid w:val="00CD2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D55"/>
    <w:rPr>
      <w:rFonts w:ascii="Tahoma" w:hAnsi="Tahoma" w:cs="Tahoma"/>
      <w:sz w:val="16"/>
      <w:szCs w:val="16"/>
    </w:rPr>
  </w:style>
  <w:style w:type="paragraph" w:styleId="Header">
    <w:name w:val="header"/>
    <w:basedOn w:val="Normal"/>
    <w:link w:val="HeaderChar"/>
    <w:uiPriority w:val="99"/>
    <w:unhideWhenUsed/>
    <w:rsid w:val="007B0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1A8"/>
  </w:style>
  <w:style w:type="paragraph" w:styleId="Footer">
    <w:name w:val="footer"/>
    <w:basedOn w:val="Normal"/>
    <w:link w:val="FooterChar"/>
    <w:uiPriority w:val="99"/>
    <w:unhideWhenUsed/>
    <w:rsid w:val="007B0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1A8"/>
  </w:style>
  <w:style w:type="character" w:styleId="CommentReference">
    <w:name w:val="annotation reference"/>
    <w:basedOn w:val="DefaultParagraphFont"/>
    <w:uiPriority w:val="99"/>
    <w:semiHidden/>
    <w:unhideWhenUsed/>
    <w:rsid w:val="003F7C3D"/>
    <w:rPr>
      <w:sz w:val="16"/>
      <w:szCs w:val="16"/>
    </w:rPr>
  </w:style>
  <w:style w:type="paragraph" w:styleId="CommentText">
    <w:name w:val="annotation text"/>
    <w:basedOn w:val="Normal"/>
    <w:link w:val="CommentTextChar"/>
    <w:uiPriority w:val="99"/>
    <w:semiHidden/>
    <w:unhideWhenUsed/>
    <w:rsid w:val="003F7C3D"/>
    <w:pPr>
      <w:spacing w:line="240" w:lineRule="auto"/>
    </w:pPr>
    <w:rPr>
      <w:sz w:val="20"/>
      <w:szCs w:val="20"/>
    </w:rPr>
  </w:style>
  <w:style w:type="character" w:customStyle="1" w:styleId="CommentTextChar">
    <w:name w:val="Comment Text Char"/>
    <w:basedOn w:val="DefaultParagraphFont"/>
    <w:link w:val="CommentText"/>
    <w:uiPriority w:val="99"/>
    <w:semiHidden/>
    <w:rsid w:val="003F7C3D"/>
    <w:rPr>
      <w:sz w:val="20"/>
      <w:szCs w:val="20"/>
    </w:rPr>
  </w:style>
  <w:style w:type="paragraph" w:styleId="CommentSubject">
    <w:name w:val="annotation subject"/>
    <w:basedOn w:val="CommentText"/>
    <w:next w:val="CommentText"/>
    <w:link w:val="CommentSubjectChar"/>
    <w:uiPriority w:val="99"/>
    <w:semiHidden/>
    <w:unhideWhenUsed/>
    <w:rsid w:val="003F7C3D"/>
    <w:rPr>
      <w:b/>
      <w:bCs/>
    </w:rPr>
  </w:style>
  <w:style w:type="character" w:customStyle="1" w:styleId="CommentSubjectChar">
    <w:name w:val="Comment Subject Char"/>
    <w:basedOn w:val="CommentTextChar"/>
    <w:link w:val="CommentSubject"/>
    <w:uiPriority w:val="99"/>
    <w:semiHidden/>
    <w:rsid w:val="003F7C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1806</ap:Words>
  <ap:Characters>9934</ap:Characters>
  <ap:DocSecurity>0</ap:DocSecurity>
  <ap:Lines>82</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2015-03-23T15:09:00.0000000Z</lastPrinted>
  <dcterms:created xsi:type="dcterms:W3CDTF">2015-03-23T15:18:00.0000000Z</dcterms:created>
  <dcterms:modified xsi:type="dcterms:W3CDTF">2015-03-23T15:18:00.0000000Z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0x010100B746F46C12D99245841173DDEDDF5CBF</vt:lpwstr>
  </property>
</Properties>
</file>