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768730976"/>
        <w:lock w:val="contentLocked"/>
        <w:placeholder>
          <w:docPart w:val="DefaultPlaceholder_1082065158"/>
        </w:placeholder>
        <w:group/>
      </w:sdtPr>
      <w:sdtEndPr/>
      <w:sdtContent>
        <w:p w:rsidR="00D2526B" w:rsidP="00D2526B" w:rsidRDefault="00977969">
          <w:pPr>
            <w:tabs>
              <w:tab w:val="left" w:pos="3686"/>
            </w:tabs>
          </w:pPr>
          <w:r w:rsidRPr="00831363">
            <w:rPr>
              <w:noProof/>
            </w:rPr>
            <mc:AlternateContent>
              <mc:Choice Requires="wps">
                <w:drawing>
                  <wp:anchor distT="0" distB="0" distL="114300" distR="114300" simplePos="0" relativeHeight="251657728" behindDoc="0" locked="0" layoutInCell="1" allowOverlap="1" wp14:editId="7B4CD9A9" wp14:anchorId="448347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sidRPr="00831363">
            <w:rPr>
              <w:noProof/>
            </w:rPr>
            <w:drawing>
              <wp:anchor distT="0" distB="0" distL="114300" distR="114300" simplePos="0" relativeHeight="251656704" behindDoc="1" locked="0" layoutInCell="1" allowOverlap="1" wp14:editId="19D673CD" wp14:anchorId="4E472154">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31363" w:rsidR="00907421">
            <w:t>No.</w:t>
          </w:r>
          <w:sdt>
            <w:sdtPr>
              <w:alias w:val="ZaakNummerPlus"/>
              <w:tag w:val="ZaakNummerPlus"/>
              <w:id w:val="-1666084793"/>
              <w:lock w:val="sdtContentLocked"/>
              <w:placeholder>
                <w:docPart w:val="D4CFDB6C696D4A60944E1E577854833F"/>
              </w:placeholder>
              <w:text/>
            </w:sdtPr>
            <w:sdtEndPr/>
            <w:sdtContent>
              <w:r>
                <w:rPr>
                  <w:caps/>
                </w:rPr>
                <w:t>W03.14.0385/II</w:t>
              </w:r>
            </w:sdtContent>
          </w:sdt>
          <w:r w:rsidR="00D2526B">
            <w:tab/>
            <w:t xml:space="preserve">'s-Gravenhage, </w:t>
          </w:r>
          <w:sdt>
            <w:sdtPr>
              <w:alias w:val="DatumAdvies"/>
              <w:tag w:val="DatumAdvies"/>
              <w:id w:val="-287518040"/>
              <w:lock w:val="sdtContentLocked"/>
              <w:placeholder>
                <w:docPart w:val="48FC23674C4A4B198BB982E556E53853"/>
              </w:placeholder>
              <w:text/>
            </w:sdtPr>
            <w:sdtEndPr/>
            <w:sdtContent>
              <w:r>
                <w:t>13 november 2014</w:t>
              </w:r>
            </w:sdtContent>
          </w:sdt>
        </w:p>
        <w:p w:rsidRPr="00831363" w:rsidR="001410FD" w:rsidP="00AC5AD9" w:rsidRDefault="001410FD">
          <w:pPr>
            <w:tabs>
              <w:tab w:val="left" w:pos="3686"/>
            </w:tabs>
          </w:pPr>
        </w:p>
        <w:p w:rsidRPr="00831363" w:rsidR="00636D17" w:rsidP="00636D17" w:rsidRDefault="00636D17">
          <w:pPr>
            <w:tabs>
              <w:tab w:val="left" w:pos="3685"/>
            </w:tabs>
          </w:pPr>
        </w:p>
        <w:p w:rsidRPr="00831363"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6556C7" w:rsidRDefault="007E6919">
              <w:r>
                <w:t>Bij Kabinetsmissive van 24 oktober 2014, no.2014002046, heeft Uwe Majesteit, op voordracht van de Minister van Veiligheid en Justitie, bij de Afdeling advisering van de Raad van State ter overweging aanhangig gemaakt het voorstel van wet tot wijziging van de Wet rechtspositie rechterlijke ambtenaren en enkele andere wetten in verband met een herziening van de opleiding van rechters en officieren van justitie, met memorie van toelichting.</w:t>
              </w:r>
            </w:p>
          </w:sdtContent>
        </w:sdt>
        <w:p w:rsidRPr="00831363" w:rsidR="00CE4655" w:rsidP="003C7608" w:rsidRDefault="00CE4655"/>
        <w:sdt>
          <w:sdtPr>
            <w:alias w:val="VrijeTekst1"/>
            <w:tag w:val="VrijeTekst1"/>
            <w:id w:val="-437221631"/>
            <w:lock w:val="sdtLocked"/>
          </w:sdtPr>
          <w:sdtEndPr/>
          <w:sdtContent>
            <w:p w:rsidR="001778D9" w:rsidP="001778D9" w:rsidRDefault="007E6919">
              <w:r>
                <w:t>Het voorstel strekt tot wijziging van de Wet rechtspositie rechterlijke ambtenaren in verband met de vernieuwing van de regeling van de opleiding tot rechter en officier van justitie. Uitgangspunt van het voorstel is dat alle personen die worden opgeleid tot rechter of officier van justitie voortaan wettelijk als rechterlijk ambtenaar worden beschouwd. Hierdoor worden tevens de algemene bepalingen omtrent de functionele autoriteit van rechterlijke ambtenaren op hen van toepassing. Het voorstel voorziet in overgangsrecht voor de huidige rechterlijke ambtenaren in opleiding.</w:t>
              </w:r>
            </w:p>
            <w:p w:rsidR="001778D9" w:rsidP="001778D9" w:rsidRDefault="009D5041"/>
            <w:p w:rsidR="001778D9" w:rsidP="001778D9" w:rsidRDefault="007E6919">
              <w:r w:rsidRPr="00840708">
                <w:t xml:space="preserve">De Afdeling advisering van de Raad van State onderschrijft de strekking van het wetsvoorstel, maar maakt </w:t>
              </w:r>
              <w:r>
                <w:t>een opmerking</w:t>
              </w:r>
              <w:r w:rsidRPr="00840708">
                <w:t xml:space="preserve"> over</w:t>
              </w:r>
              <w:r>
                <w:t xml:space="preserve"> de mogelijkheid tot ontslag van de rechter in opleiding die tevens rechter-plaatvervanger is, en over de vormgeving van het voorstel</w:t>
              </w:r>
              <w:r w:rsidRPr="00840708">
                <w:t>. Zij is van oordeel dat in verband daarmee aanpassing van het wetsvoorstel wenselijk is.</w:t>
              </w:r>
            </w:p>
            <w:p w:rsidR="001778D9" w:rsidP="001778D9" w:rsidRDefault="009D5041"/>
            <w:p w:rsidR="001778D9" w:rsidP="001778D9" w:rsidRDefault="007E6919">
              <w:r>
                <w:t>1.</w:t>
              </w:r>
              <w:r>
                <w:tab/>
              </w:r>
              <w:r w:rsidRPr="00E853A4">
                <w:rPr>
                  <w:u w:val="single"/>
                </w:rPr>
                <w:t>Ontslaggrond</w:t>
              </w:r>
              <w:r>
                <w:rPr>
                  <w:u w:val="single"/>
                </w:rPr>
                <w:t>en</w:t>
              </w:r>
              <w:r w:rsidRPr="00E853A4">
                <w:rPr>
                  <w:u w:val="single"/>
                </w:rPr>
                <w:t xml:space="preserve"> rechter</w:t>
              </w:r>
              <w:r>
                <w:rPr>
                  <w:u w:val="single"/>
                </w:rPr>
                <w:t>-plaatsvervanger</w:t>
              </w:r>
              <w:r>
                <w:t xml:space="preserve"> </w:t>
              </w:r>
            </w:p>
            <w:p w:rsidR="001778D9" w:rsidP="001778D9" w:rsidRDefault="009D5041"/>
            <w:p w:rsidR="00CD05EF" w:rsidP="00CD05EF" w:rsidRDefault="007E6919">
              <w:r>
                <w:t>Blijkens de toelichting wordt de rechter in opleiding na de introductieperiode van drie maanden benoemd tot rechter-plaatsvervanger. Op deze manier wordt betrokkene reeds na korte tijd bevoegd om deel te nemen aan de rechtspraak.</w:t>
              </w:r>
              <w:r>
                <w:rPr>
                  <w:rStyle w:val="Voetnootmarkering"/>
                </w:rPr>
                <w:footnoteReference w:id="1"/>
              </w:r>
              <w:r>
                <w:t xml:space="preserve"> In de huidige Raio-opleiding vindt de benoeming tot rechter-plaatsvervanger of plaatsvervangend officier pas na het vierde jaar van de opleiding plaats, omdat de betrokkene dan pas een keuze voor een van beide beroepen maakt. Dit betekent dat in de nieuwe opzet de rechter in opleiding in een aanmerkelijk vroeger stadium tot rechter-plaatsvervanger wordt benoemd dan in de huidige opleiding het geval is.</w:t>
              </w:r>
            </w:p>
            <w:p w:rsidR="00CD05EF" w:rsidP="001778D9" w:rsidRDefault="009D5041"/>
            <w:p w:rsidR="001778D9" w:rsidP="001778D9" w:rsidRDefault="007E6919">
              <w:r>
                <w:t xml:space="preserve">Indien het opleidingsresultaat onvoldoende is of de betrokkene niet geschikt is voor </w:t>
              </w:r>
              <w:r w:rsidRPr="005F2342">
                <w:t xml:space="preserve">het ambt </w:t>
              </w:r>
              <w:r>
                <w:t xml:space="preserve">waarvoor hij wordt opgeleid, </w:t>
              </w:r>
              <w:r w:rsidRPr="00E853A4">
                <w:t xml:space="preserve">dan </w:t>
              </w:r>
              <w:r>
                <w:t>vindt ontslag plaats als rechter in opleiding.</w:t>
              </w:r>
              <w:r>
                <w:rPr>
                  <w:rStyle w:val="Voetnootmarkering"/>
                </w:rPr>
                <w:footnoteReference w:id="2"/>
              </w:r>
              <w:r>
                <w:t xml:space="preserve"> </w:t>
              </w:r>
              <w:r w:rsidRPr="00E853A4">
                <w:t xml:space="preserve">Omdat het niet wenselijk is dat een rechter in opleiding die vanwege onvoldoende opleidingsresultaat </w:t>
              </w:r>
              <w:r>
                <w:t>is o</w:t>
              </w:r>
              <w:r w:rsidRPr="00E853A4">
                <w:t xml:space="preserve">ntslagen, als rechter-plaatsvervanger </w:t>
              </w:r>
              <w:r>
                <w:t>aan</w:t>
              </w:r>
              <w:r w:rsidRPr="00E853A4">
                <w:t>blijft</w:t>
              </w:r>
              <w:r>
                <w:t xml:space="preserve">, </w:t>
              </w:r>
              <w:r w:rsidRPr="00E853A4">
                <w:t xml:space="preserve">heeft de Raad voor de rechtspraak geadviseerd </w:t>
              </w:r>
              <w:r>
                <w:t xml:space="preserve">voor deze specifieke situatie </w:t>
              </w:r>
              <w:r w:rsidRPr="00E853A4">
                <w:t xml:space="preserve">een ontslaggrond in de </w:t>
              </w:r>
              <w:r w:rsidRPr="00800E97">
                <w:t>Wet rechtspositie rechterlijke ambtenaren (Wrra</w:t>
              </w:r>
              <w:r>
                <w:t xml:space="preserve">) </w:t>
              </w:r>
              <w:r w:rsidRPr="00E853A4">
                <w:t xml:space="preserve">op te nemen. </w:t>
              </w:r>
              <w:r>
                <w:t>Dit a</w:t>
              </w:r>
              <w:r w:rsidRPr="00E853A4">
                <w:t>dvies</w:t>
              </w:r>
              <w:r>
                <w:t xml:space="preserve"> is</w:t>
              </w:r>
              <w:r w:rsidRPr="00E853A4">
                <w:t xml:space="preserve"> niet overgenomen, omdat </w:t>
              </w:r>
              <w:r>
                <w:t xml:space="preserve">de </w:t>
              </w:r>
              <w:r w:rsidRPr="00E853A4">
                <w:t xml:space="preserve">verwachting bestaat dat </w:t>
              </w:r>
              <w:r>
                <w:t xml:space="preserve">in dat geval </w:t>
              </w:r>
              <w:r w:rsidRPr="00E853A4">
                <w:t xml:space="preserve">de betrokkene zelf ontslag </w:t>
              </w:r>
              <w:r>
                <w:t>zal nemen. Mocht dat onverhoopt niet gebeuren dan biedt d</w:t>
              </w:r>
              <w:r w:rsidRPr="00E853A4">
                <w:t xml:space="preserve">e </w:t>
              </w:r>
              <w:r>
                <w:t xml:space="preserve">Wrra </w:t>
              </w:r>
              <w:r w:rsidRPr="00E853A4">
                <w:t xml:space="preserve">de mogelijkheid voor ontslag in verband met ongeschiktheid voor het verrichten van het </w:t>
              </w:r>
              <w:r w:rsidRPr="00E853A4">
                <w:lastRenderedPageBreak/>
                <w:t>ambt, anders dan wegens ziekte</w:t>
              </w:r>
              <w:r>
                <w:t xml:space="preserve"> (artikel 46l). Indien deze procedure te lang duurt of om andere redenen onwenselijk is</w:t>
              </w:r>
              <w:r w:rsidRPr="00E853A4">
                <w:t>,</w:t>
              </w:r>
              <w:r>
                <w:t xml:space="preserve"> is op grond van artikel 46m Wrra </w:t>
              </w:r>
              <w:r w:rsidRPr="00E853A4">
                <w:t>ontslag mogelijk als de betrokkene twee jaar lang niet als rechter-plaatsvervanger is opgeroepen</w:t>
              </w:r>
              <w:r>
                <w:t>, aldus de toelichting.</w:t>
              </w:r>
              <w:r w:rsidRPr="00E853A4">
                <w:t xml:space="preserve"> </w:t>
              </w:r>
              <w:r>
                <w:t>Ontslag anders dan op eigen verzoek kan in beide gevallen alleen worden gegeven door de Hoge Raad, op vordering van de procureur-generaal.</w:t>
              </w:r>
            </w:p>
            <w:p w:rsidR="008A2E63" w:rsidP="001778D9" w:rsidRDefault="007E6919">
              <w:r>
                <w:br/>
                <w:t>De Afdeling acht deze toelichting niet toereikend. In de Wrra is vastgelegd dat de functionele autoriteit beslist over het al dan niet oproepen van een rechter-plaatsvervanger (art. 5f, tweede lid). Hierdoor heeft de functionele autoriteit zelf in de hand of een plaatsvervanger door het verstrijken van de tijd op grond van artikel 46m Wrra voor een verzoek tot ontslag door de procureur-generaal in aanmerking komt. Zoals de regering eerder terecht heeft opgemerkt kan een dergelijke bepalende invloed van de functionele autoriteit zonder toetsbare motivering op gespannen voet komen te staan met de onafhankelijkheid van de rechter.</w:t>
              </w:r>
              <w:r w:rsidRPr="007B64C9">
                <w:rPr>
                  <w:rStyle w:val="Voetnootmarkering"/>
                </w:rPr>
                <w:t xml:space="preserve"> </w:t>
              </w:r>
              <w:r>
                <w:rPr>
                  <w:rStyle w:val="Voetnootmarkering"/>
                </w:rPr>
                <w:footnoteReference w:id="3"/>
              </w:r>
              <w:r>
                <w:t xml:space="preserve"> Om die reden kan het </w:t>
              </w:r>
              <w:r w:rsidRPr="009511AC">
                <w:t xml:space="preserve">enkele feit dat de functionele autoriteit een plaatsvervanger </w:t>
              </w:r>
              <w:r>
                <w:t xml:space="preserve">twee jaar lang </w:t>
              </w:r>
              <w:r w:rsidRPr="009511AC">
                <w:t xml:space="preserve">niet heeft opgeroepen, </w:t>
              </w:r>
              <w:r>
                <w:t xml:space="preserve">onvoldoende grond zijn voor ontslag. </w:t>
              </w:r>
            </w:p>
            <w:p w:rsidR="008A2E63" w:rsidP="001778D9" w:rsidRDefault="009D5041"/>
            <w:p w:rsidR="008A2E63" w:rsidP="001778D9" w:rsidRDefault="007E6919">
              <w:r>
                <w:t>Uit de wetsgeschiedenis blijkt dat artikel 46m met name beoogt uitkomst te bieden in het geval dat de functionele autoriteit de plaatsvervanger regelmatig heeft opgeroepen en deze daaraan stelselmatig geen gevolg geeft, omdat hij bijvoorbeeld in het buitenland verblijft of anderszins geen gevolg wenst te geven aan de oproeping. Daarbij heeft de regering in het licht van de eis van onafhankelijkheid van de rechter expliciet gesteld dat voorkomen moet worden dat deze ontslaggrond wordt ingeroepen, terwijl eigenlijk een andere ontslaggrond toepasselijk is, zoals ongeschiktheid voor het ambt, anders dan wegens ziekte.</w:t>
              </w:r>
              <w:r>
                <w:rPr>
                  <w:rStyle w:val="Voetnootmarkering"/>
                </w:rPr>
                <w:footnoteReference w:id="4"/>
              </w:r>
              <w:r>
                <w:t xml:space="preserve"> Gelet hierop staat het op gespannen voet met de bedoeling van de wetgever om in het geval dat een rechter in opleiding onvoldoende opleidingsresultaten heeft behaald, deze als rechter-plaatsvervanger op grond van artikel 46m Wrra te ontslaan.</w:t>
              </w:r>
              <w:r>
                <w:rPr>
                  <w:rStyle w:val="Voetnootmarkering"/>
                </w:rPr>
                <w:footnoteReference w:id="5"/>
              </w:r>
              <w:r>
                <w:t xml:space="preserve"> </w:t>
              </w:r>
            </w:p>
            <w:p w:rsidR="008A2E63" w:rsidP="001778D9" w:rsidRDefault="009D5041"/>
            <w:p w:rsidR="00546EBD" w:rsidP="001778D9" w:rsidRDefault="007E6919">
              <w:r>
                <w:t>Het voorgaande betekent dat indien de rechter in opleiding niet op vrijwillige basis ontslag neemt, deze in het in de toelichting geschetste stramien slechts op grond van artikel 46l Wrra voor ontslag wegens ongeschiktheid, anders dan wegens ziekte, zou kunnen worden voorgedragen. Volgens de jurisprudentie dient deze bepaling strikt te worden toegepast. V</w:t>
              </w:r>
              <w:r w:rsidRPr="00800E97">
                <w:t xml:space="preserve">oorwaarde voor ontslag in verband met ongeschiktheid voor het ambt </w:t>
              </w:r>
              <w:r>
                <w:t xml:space="preserve">is </w:t>
              </w:r>
              <w:r w:rsidRPr="00800E97">
                <w:t xml:space="preserve">dat het betrokkene ontbreekt aan eigenschappen, mentaliteit en instelling die voor het op goede wijze vervullen van de taak als rechter vereist zijn. </w:t>
              </w:r>
              <w:r>
                <w:t xml:space="preserve">De ongeschiktheid moet </w:t>
              </w:r>
              <w:r w:rsidRPr="00800E97">
                <w:t xml:space="preserve">objectief vast te stellen </w:t>
              </w:r>
              <w:r>
                <w:t>zijn</w:t>
              </w:r>
              <w:r>
                <w:rPr>
                  <w:rStyle w:val="Voetnootmarkering"/>
                </w:rPr>
                <w:footnoteReference w:id="6"/>
              </w:r>
              <w:r>
                <w:t>. In dat licht bezien is de vraag of deze ontslaggrond met succes kan worden ingeroepen in de specifieke situatie dat de opleidingsresultaten van de rechter in opleiding onvoldoende zijn. In die situatie lijkt behoefte te bestaan aan ruimere mogelijkheden voor ontslag die verband houden met de inhoudelijke kwaliteit van de tijdens de opleiding geleverde prestaties.</w:t>
              </w:r>
              <w:r w:rsidRPr="00800E97">
                <w:t xml:space="preserve"> </w:t>
              </w:r>
              <w:r>
                <w:t xml:space="preserve">Tegen die achtergrond is het ook begrijpelijk dat in de </w:t>
              </w:r>
              <w:r w:rsidRPr="009511AC">
                <w:t xml:space="preserve">ontslaggronden voor de </w:t>
              </w:r>
              <w:r>
                <w:t xml:space="preserve">huidige </w:t>
              </w:r>
              <w:r w:rsidRPr="009511AC">
                <w:t xml:space="preserve">rechterlijk ambtenaar in opleiding </w:t>
              </w:r>
              <w:r>
                <w:t xml:space="preserve">een </w:t>
              </w:r>
              <w:r w:rsidRPr="009511AC">
                <w:t xml:space="preserve">onderscheid gemaakt </w:t>
              </w:r>
              <w:r>
                <w:t xml:space="preserve">is </w:t>
              </w:r>
              <w:r w:rsidRPr="009511AC">
                <w:t xml:space="preserve">tussen het niet behalen van </w:t>
              </w:r>
              <w:r>
                <w:t>voldoende opleidingsresultaten enerzijds</w:t>
              </w:r>
              <w:r w:rsidRPr="009511AC">
                <w:t xml:space="preserve">, en het ongeschikt zijn voor </w:t>
              </w:r>
              <w:r>
                <w:t>een rechterlijke functie</w:t>
              </w:r>
              <w:r w:rsidRPr="009511AC">
                <w:t xml:space="preserve"> anderzijds.</w:t>
              </w:r>
              <w:r>
                <w:rPr>
                  <w:rStyle w:val="Voetnootmarkering"/>
                </w:rPr>
                <w:footnoteReference w:id="7"/>
              </w:r>
              <w:r w:rsidRPr="009511AC">
                <w:t xml:space="preserve"> </w:t>
              </w:r>
            </w:p>
            <w:p w:rsidR="00546EBD" w:rsidP="001778D9" w:rsidRDefault="009D5041"/>
            <w:p w:rsidR="001778D9" w:rsidP="001778D9" w:rsidRDefault="007E6919">
              <w:r>
                <w:t>De Afdeling adviseert in de toelichting nader op het bovenstaande in te gaan en zo nodig een specifieke ontslaggrond in de Wrra op te nemen voor de rechter-plaatsvervanger die tevens rechter in opleiding is en die on</w:t>
              </w:r>
              <w:r w:rsidRPr="005F2342">
                <w:t>voldoende opleidingsresultaten</w:t>
              </w:r>
              <w:r>
                <w:t xml:space="preserve"> behaald heeft. </w:t>
              </w:r>
            </w:p>
            <w:p w:rsidR="001778D9" w:rsidP="001778D9" w:rsidRDefault="009D5041"/>
            <w:p w:rsidRPr="00661E86" w:rsidR="001778D9" w:rsidP="001778D9" w:rsidRDefault="007E6919">
              <w:pPr>
                <w:rPr>
                  <w:u w:val="single"/>
                </w:rPr>
              </w:pPr>
              <w:r>
                <w:t>2.</w:t>
              </w:r>
              <w:r>
                <w:tab/>
              </w:r>
              <w:r>
                <w:rPr>
                  <w:u w:val="single"/>
                </w:rPr>
                <w:t>Vormgeving van het voorstel</w:t>
              </w:r>
            </w:p>
            <w:p w:rsidR="001778D9" w:rsidP="001778D9" w:rsidRDefault="009D5041"/>
            <w:p w:rsidR="001778D9" w:rsidP="001778D9" w:rsidRDefault="007E6919">
              <w:r>
                <w:t xml:space="preserve">Blijkens de toelichting wordt bij de vormgeving van het voorstel uitgegaan van de Wet rechtspositie rechterlijke ambtenaren zoals deze zou komen te luiden </w:t>
              </w:r>
              <w:r w:rsidRPr="00840708">
                <w:t xml:space="preserve">op het moment dat </w:t>
              </w:r>
              <w:r>
                <w:t>het voorstel van wet tot w</w:t>
              </w:r>
              <w:r w:rsidRPr="00840708">
                <w:t>ijziging van de Wet rechtspositie rechterlijke ambtenaren en enige andere wetten in verband met de uitbreiding van de mogelijkheden om ten aanzien van voor het leven benoemde rechterlijke ambtenaren disciplinaire maatregelen op te leggen en tevens andere maatregelen te treffen</w:t>
              </w:r>
              <w:r>
                <w:rPr>
                  <w:rStyle w:val="Voetnootmarkering"/>
                </w:rPr>
                <w:footnoteReference w:id="8"/>
              </w:r>
              <w:r>
                <w:t xml:space="preserve"> tot wet is verheven en in werking is getreden.</w:t>
              </w:r>
              <w:r>
                <w:rPr>
                  <w:rStyle w:val="Voetnootmarkering"/>
                </w:rPr>
                <w:footnoteReference w:id="9"/>
              </w:r>
              <w:r>
                <w:t xml:space="preserve"> </w:t>
              </w:r>
              <w:r w:rsidRPr="00840708">
                <w:t>D</w:t>
              </w:r>
              <w:r>
                <w:t>it l</w:t>
              </w:r>
              <w:r w:rsidRPr="00840708">
                <w:t xml:space="preserve">aatstgenoemd wetsvoorstel </w:t>
              </w:r>
              <w:r>
                <w:t>is nog aanhangig</w:t>
              </w:r>
              <w:r w:rsidRPr="00840708">
                <w:t xml:space="preserve"> bij de Tweede Kamer. De tekstuele afhankelijkheid die daardoor tussen beide wetsvoor</w:t>
              </w:r>
              <w:r w:rsidRPr="00840708">
                <w:softHyphen/>
                <w:t xml:space="preserve">stellen bestaat brengt het risico op fouten mee. </w:t>
              </w:r>
              <w:r>
                <w:t xml:space="preserve">Daarbij gaat het om een betrekkelijk klein aantal artikelen dat door beide voorstellen wordt gewijzigd. </w:t>
              </w:r>
              <w:r w:rsidRPr="00840708">
                <w:t xml:space="preserve">Tegen die achtergrond verdient het aanbeveling het voorliggende wetsvoorstel vorm te geven als een wijziging ten opzichte van de geldende tekst van de </w:t>
              </w:r>
              <w:r>
                <w:t xml:space="preserve">Wet rechtspositie rechterlijke ambtenaren </w:t>
              </w:r>
              <w:r w:rsidRPr="00840708">
                <w:t xml:space="preserve">en hierin een samenloopbepaling op te nemen met betrekking tot het </w:t>
              </w:r>
              <w:r>
                <w:t>reeds aanhangige wetsvoorstel.</w:t>
              </w:r>
              <w:r>
                <w:rPr>
                  <w:rStyle w:val="Voetnootmarkering"/>
                </w:rPr>
                <w:footnoteReference w:id="10"/>
              </w:r>
            </w:p>
            <w:p w:rsidR="001778D9" w:rsidP="001778D9" w:rsidRDefault="007E6919">
              <w:r w:rsidRPr="00840708">
                <w:t xml:space="preserve">De Afdeling adviseert het wetsvoorstel </w:t>
              </w:r>
              <w:r>
                <w:t xml:space="preserve">op dit punt </w:t>
              </w:r>
              <w:r w:rsidRPr="00840708">
                <w:t>aan te passen.</w:t>
              </w:r>
            </w:p>
          </w:sdtContent>
        </w:sdt>
        <w:p w:rsidRPr="00831363" w:rsidR="008C5EDD" w:rsidP="00CE4655" w:rsidRDefault="008C5EDD"/>
        <w:sdt>
          <w:sdtPr>
            <w:alias w:val="VrijeTekst2"/>
            <w:tag w:val="VrijeTekst2"/>
            <w:id w:val="-1010833392"/>
            <w:lock w:val="sdtLocked"/>
            <w:placeholder>
              <w:docPart w:val="DefaultPlaceholder_1082065158"/>
            </w:placeholder>
          </w:sdtPr>
          <w:sdtEndPr/>
          <w:sdtContent>
            <w:p w:rsidR="007212F1" w:rsidP="00891BB0" w:rsidRDefault="007E6919">
              <w:r>
                <w:t>3.</w:t>
              </w:r>
              <w:r>
                <w:tab/>
              </w:r>
              <w:r w:rsidRPr="005F7A2B">
                <w:t>De Afdeling verwijst naar de bij dit advies behorende redactionele bijlage.</w:t>
              </w:r>
            </w:p>
          </w:sdtContent>
        </w:sdt>
        <w:p w:rsidRPr="00831363" w:rsidR="001410FD" w:rsidP="00796479" w:rsidRDefault="001410FD"/>
        <w:sdt>
          <w:sdtPr>
            <w:alias w:val="Dictum"/>
            <w:tag w:val="Dictum"/>
            <w:id w:val="316161467"/>
            <w:lock w:val="sdtContentLocked"/>
            <w:placeholder>
              <w:docPart w:val="DefaultPlaceholder_1082065158"/>
            </w:placeholder>
            <w:text w:multiLine="1"/>
          </w:sdtPr>
          <w:sdtEndPr/>
          <w:sdtContent>
            <w:p w:rsidR="006556C7" w:rsidRDefault="007E6919">
              <w:r>
                <w:t>De Afdeling advisering van de Raad van State geeft U in overweging het voorstel van wet te zenden aan de Tweede Kamer der Staten-Generaal, nadat met het vorenstaande rekening zal zijn gehouden.</w:t>
              </w:r>
              <w:r>
                <w:br/>
              </w:r>
              <w:r>
                <w:br/>
              </w:r>
              <w:r>
                <w:br/>
                <w:t>De vice-president van de Raad van State,</w:t>
              </w:r>
            </w:p>
          </w:sdtContent>
        </w:sdt>
        <w:p w:rsidRPr="00831363" w:rsidR="0037367E" w:rsidRDefault="0037367E">
          <w:pPr>
            <w:sectPr w:rsidRPr="00831363" w:rsidR="0037367E"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Pr="00831363" w:rsidR="00907421" w:rsidP="00907421" w:rsidRDefault="00907421">
          <w:r w:rsidRPr="00831363">
            <w:t xml:space="preserve">Redactionele bijlage bij het advies van de Afdeling advisering van de Raad van State </w:t>
          </w:r>
          <w:sdt>
            <w:sdtPr>
              <w:alias w:val="Koninkrijk"/>
              <w:tag w:val="Koninkrijk"/>
              <w:id w:val="-483087506"/>
              <w:lock w:val="sdtContentLocked"/>
              <w:text/>
            </w:sdtPr>
            <w:sdtEndPr/>
            <w:sdtContent/>
          </w:sdt>
          <w:r w:rsidRPr="00831363">
            <w:t>betreffende no.</w:t>
          </w:r>
          <w:sdt>
            <w:sdtPr>
              <w:alias w:val="ZaakNummer"/>
              <w:tag w:val="ZaakNummer"/>
              <w:id w:val="809745491"/>
              <w:lock w:val="sdtContentLocked"/>
              <w:text/>
            </w:sdtPr>
            <w:sdtEndPr/>
            <w:sdtContent>
              <w:r>
                <w:t>W03.14.0385</w:t>
              </w:r>
            </w:sdtContent>
          </w:sdt>
          <w:r w:rsidRPr="00831363">
            <w:t>/</w:t>
          </w:r>
          <w:sdt>
            <w:sdtPr>
              <w:alias w:val="Sectie"/>
              <w:tag w:val="Sectie"/>
              <w:id w:val="743463611"/>
              <w:lock w:val="sdtContentLocked"/>
              <w:text/>
            </w:sdtPr>
            <w:sdtEndPr/>
            <w:sdtContent>
              <w:r>
                <w:t>II</w:t>
              </w:r>
            </w:sdtContent>
          </w:sdt>
        </w:p>
        <w:p w:rsidRPr="00831363" w:rsidR="001410FD" w:rsidRDefault="001410FD"/>
        <w:sdt>
          <w:sdtPr>
            <w:alias w:val="VrijeTekst3"/>
            <w:tag w:val="VrijeTekst3"/>
            <w:id w:val="2141764690"/>
            <w:lock w:val="sdtLocked"/>
          </w:sdtPr>
          <w:sdtEndPr/>
          <w:sdtContent>
            <w:p w:rsidR="00E70C71" w:rsidP="00D969CB" w:rsidRDefault="007E6919">
              <w:pPr>
                <w:numPr>
                  <w:ilvl w:val="0"/>
                  <w:numId w:val="1"/>
                </w:numPr>
              </w:pPr>
              <w:r>
                <w:t>In artikel I, onderdeel C en O na vervalt invoegen ‘telkens’ aangezien in de betreffende artikelen het te vervallen begrip meerdere keren voorkomt.</w:t>
              </w:r>
            </w:p>
          </w:sdtContent>
        </w:sdt>
        <w:p w:rsidR="00C50D4F" w:rsidP="005841EA" w:rsidRDefault="009D5041">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FF4" w:rsidRDefault="007E6919" w:rsidP="001778D9">
      <w:r>
        <w:separator/>
      </w:r>
    </w:p>
    <w:p w:rsidR="00E35FF4" w:rsidRDefault="009D5041"/>
  </w:endnote>
  <w:endnote w:type="continuationSeparator" w:id="0">
    <w:p w:rsidR="00E35FF4" w:rsidRDefault="007E6919" w:rsidP="001778D9">
      <w:r>
        <w:continuationSeparator/>
      </w:r>
    </w:p>
    <w:p w:rsidR="00E35FF4" w:rsidRDefault="009D50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7C1C" w:rsidRDefault="000C7C1C">
    <w:pPr>
      <w:pStyle w:val="Voettekst"/>
    </w:pPr>
    <w:r w:rsidRPr="00831363">
      <w:rPr>
        <w:noProof/>
        <w:lang w:val="nl-NL" w:eastAsia="nl-NL"/>
      </w:rPr>
      <mc:AlternateContent>
        <mc:Choice Requires="wps">
          <w:drawing>
            <wp:anchor distT="0" distB="0" distL="114300" distR="114300" simplePos="0" relativeHeight="251659264" behindDoc="0" locked="1" layoutInCell="1" allowOverlap="1" wp14:anchorId="44D835F4" wp14:editId="359A9F91">
              <wp:simplePos x="0" y="0"/>
              <wp:positionH relativeFrom="page">
                <wp:posOffset>1262380</wp:posOffset>
              </wp:positionH>
              <wp:positionV relativeFrom="page">
                <wp:posOffset>10198100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4pt;margin-top:80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" stroked="f">
              <v:textbox>
                <w:txbxContent>
                  <w:p w:rsidR="000C7C1C" w:rsidRPr="00B71C66" w:rsidRDefault="000C7C1C" w:rsidP="000C7C1C">
                    <w:pPr>
                      <w:shd w:val="solid" w:color="FFFFFF" w:fill="FFFFFF"/>
                      <w:rPr>
                        <w:rFonts w:ascii="Bembo" w:hAnsi="Bembo"/>
                        <w:sz w:val="32"/>
                        <w:szCs w:val="32"/>
                      </w:rPr>
                    </w:pPr>
                    <w:r w:rsidRPr="00DF2258">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FF4" w:rsidRDefault="007E6919" w:rsidP="001778D9">
      <w:r>
        <w:separator/>
      </w:r>
    </w:p>
    <w:p w:rsidR="00E35FF4" w:rsidRDefault="009D5041"/>
  </w:footnote>
  <w:footnote w:type="continuationSeparator" w:id="0">
    <w:p w:rsidR="00E35FF4" w:rsidRDefault="007E6919" w:rsidP="001778D9">
      <w:r>
        <w:continuationSeparator/>
      </w:r>
    </w:p>
    <w:p w:rsidR="00E35FF4" w:rsidRDefault="009D5041"/>
  </w:footnote>
  <w:footnote w:id="1">
    <w:p w:rsidR="00E35FF4" w:rsidRDefault="007E6919">
      <w:pPr>
        <w:pStyle w:val="Voetnoottekst"/>
      </w:pPr>
      <w:r>
        <w:rPr>
          <w:rStyle w:val="Voetnootmarkering"/>
        </w:rPr>
        <w:footnoteRef/>
      </w:r>
      <w:r>
        <w:t xml:space="preserve"> </w:t>
      </w:r>
      <w:r>
        <w:tab/>
        <w:t>Toelichting, par</w:t>
      </w:r>
      <w:r w:rsidR="00455460">
        <w:t>agraaf</w:t>
      </w:r>
      <w:r>
        <w:t xml:space="preserve"> 3 (onder kopjes ‘Benoeming en duur van de opleiding’ en ‘Ontslag’).</w:t>
      </w:r>
    </w:p>
  </w:footnote>
  <w:footnote w:id="2">
    <w:p w:rsidR="00E35FF4" w:rsidRDefault="007E6919">
      <w:pPr>
        <w:pStyle w:val="Voetnoottekst"/>
      </w:pPr>
      <w:r>
        <w:rPr>
          <w:rStyle w:val="Voetnootmarkering"/>
        </w:rPr>
        <w:footnoteRef/>
      </w:r>
      <w:r>
        <w:t xml:space="preserve"> </w:t>
      </w:r>
      <w:r>
        <w:tab/>
        <w:t>Artikel 8 van het Besluit opleiding rechterlijke ambtenaren. Volgens de toelichting, paragraaf 3 (</w:t>
      </w:r>
      <w:r w:rsidRPr="00800E97">
        <w:rPr>
          <w:i/>
        </w:rPr>
        <w:t>Ontslag</w:t>
      </w:r>
      <w:r>
        <w:t xml:space="preserve">), zullen deze ontslaggronden terugkeren in een nieuw op te stellen algemene maatregel van bestuur.  </w:t>
      </w:r>
    </w:p>
  </w:footnote>
  <w:footnote w:id="3">
    <w:p w:rsidR="00E35FF4" w:rsidRDefault="007E6919" w:rsidP="007B64C9">
      <w:pPr>
        <w:pStyle w:val="Voetnoottekst"/>
      </w:pPr>
      <w:r>
        <w:rPr>
          <w:rStyle w:val="Voetnootmarkering"/>
        </w:rPr>
        <w:footnoteRef/>
      </w:r>
      <w:r>
        <w:t xml:space="preserve"> </w:t>
      </w:r>
      <w:r>
        <w:tab/>
        <w:t>Kamerstukken I 2011/12, 29 937, C, blz. 5.</w:t>
      </w:r>
    </w:p>
  </w:footnote>
  <w:footnote w:id="4">
    <w:p w:rsidR="00E35FF4" w:rsidRDefault="007E6919" w:rsidP="001778D9">
      <w:pPr>
        <w:pStyle w:val="Voetnoottekst"/>
      </w:pPr>
      <w:r>
        <w:rPr>
          <w:rStyle w:val="Voetnootmarkering"/>
        </w:rPr>
        <w:footnoteRef/>
      </w:r>
      <w:r>
        <w:t xml:space="preserve"> </w:t>
      </w:r>
      <w:r>
        <w:tab/>
        <w:t>Kamerstukken I 2011/12, 29 937, C, blz. 5. Zie ook het advies van de Raad van State, K</w:t>
      </w:r>
      <w:r w:rsidRPr="009511AC">
        <w:t>amerstukken II 2007/0</w:t>
      </w:r>
      <w:r>
        <w:t>8</w:t>
      </w:r>
      <w:r w:rsidRPr="009511AC">
        <w:t>, 29</w:t>
      </w:r>
      <w:r>
        <w:t xml:space="preserve"> </w:t>
      </w:r>
      <w:r w:rsidRPr="009511AC">
        <w:t xml:space="preserve">937, nr. 16 </w:t>
      </w:r>
      <w:r>
        <w:t>.</w:t>
      </w:r>
    </w:p>
  </w:footnote>
  <w:footnote w:id="5">
    <w:p w:rsidR="00C734B1" w:rsidRDefault="007E6919">
      <w:pPr>
        <w:pStyle w:val="Voetnoottekst"/>
      </w:pPr>
      <w:r>
        <w:rPr>
          <w:rStyle w:val="Voetnootmarkering"/>
        </w:rPr>
        <w:footnoteRef/>
      </w:r>
      <w:r>
        <w:t xml:space="preserve"> </w:t>
      </w:r>
      <w:r>
        <w:tab/>
        <w:t>Dat geldt ook voor de huidige rechter in opleiding die als rechter-plaatsvervanger is benoemd. Een wezenlijk verschil met de toekomstige situatie is echter dat de rechter in opleiding in een veel vroeger stadium als rechter plaatsvervanger zal worden benoemd. In de huidige situatie vindt zodanige benoeming pas plaats na vier jaar.</w:t>
      </w:r>
    </w:p>
  </w:footnote>
  <w:footnote w:id="6">
    <w:p w:rsidR="00E35FF4" w:rsidRDefault="007E6919">
      <w:pPr>
        <w:pStyle w:val="Voetnoottekst"/>
      </w:pPr>
      <w:r>
        <w:rPr>
          <w:rStyle w:val="Voetnootmarkering"/>
        </w:rPr>
        <w:footnoteRef/>
      </w:r>
      <w:r>
        <w:t xml:space="preserve"> </w:t>
      </w:r>
      <w:r>
        <w:tab/>
        <w:t xml:space="preserve">Hoge Raad, 15 december 2009, </w:t>
      </w:r>
      <w:r w:rsidRPr="00800E97">
        <w:t>ECLI:NL:HR:2009:BK6646</w:t>
      </w:r>
      <w:r>
        <w:t>.</w:t>
      </w:r>
    </w:p>
  </w:footnote>
  <w:footnote w:id="7">
    <w:p w:rsidR="000F7480" w:rsidRDefault="007E6919">
      <w:pPr>
        <w:pStyle w:val="Voetnoottekst"/>
      </w:pPr>
      <w:r>
        <w:rPr>
          <w:rStyle w:val="Voetnootmarkering"/>
        </w:rPr>
        <w:footnoteRef/>
      </w:r>
      <w:r>
        <w:t xml:space="preserve"> </w:t>
      </w:r>
      <w:r>
        <w:tab/>
        <w:t>Artikel 8, eerste en tweede lid, jo. artikel 2 van het Besluit opleiding rechterlijke ambtenaren.</w:t>
      </w:r>
    </w:p>
  </w:footnote>
  <w:footnote w:id="8">
    <w:p w:rsidR="00E35FF4" w:rsidRDefault="007E6919">
      <w:pPr>
        <w:pStyle w:val="Voetnoottekst"/>
      </w:pPr>
      <w:r>
        <w:rPr>
          <w:rStyle w:val="Voetnootmarkering"/>
        </w:rPr>
        <w:footnoteRef/>
      </w:r>
      <w:r>
        <w:t xml:space="preserve"> </w:t>
      </w:r>
      <w:r>
        <w:tab/>
        <w:t>Kamerstukken II 2013/14, 33 681.</w:t>
      </w:r>
    </w:p>
  </w:footnote>
  <w:footnote w:id="9">
    <w:p w:rsidR="00E35FF4" w:rsidRDefault="007E6919">
      <w:pPr>
        <w:pStyle w:val="Voetnoottekst"/>
      </w:pPr>
      <w:r>
        <w:rPr>
          <w:rStyle w:val="Voetnootmarkering"/>
        </w:rPr>
        <w:footnoteRef/>
      </w:r>
      <w:r>
        <w:t xml:space="preserve"> </w:t>
      </w:r>
      <w:r>
        <w:tab/>
        <w:t>Toelichting, paragraaf 1, vijfde tekstblok.</w:t>
      </w:r>
    </w:p>
  </w:footnote>
  <w:footnote w:id="10">
    <w:p w:rsidR="00E35FF4" w:rsidRDefault="007E6919">
      <w:pPr>
        <w:pStyle w:val="Voetnoottekst"/>
      </w:pPr>
      <w:r>
        <w:rPr>
          <w:rStyle w:val="Voetnootmarkering"/>
        </w:rPr>
        <w:footnoteRef/>
      </w:r>
      <w:r>
        <w:t xml:space="preserve"> </w:t>
      </w:r>
      <w:r>
        <w:tab/>
        <w:t xml:space="preserve">Zie ook het advies van de </w:t>
      </w:r>
      <w:r w:rsidRPr="00840708">
        <w:t xml:space="preserve">Afdeling advisering van de Raad van State </w:t>
      </w:r>
      <w:r>
        <w:t>over</w:t>
      </w:r>
      <w:r w:rsidRPr="00840708">
        <w:t xml:space="preserve"> het voorstel van wet tot wijziging van de Algemene wet bestuursrecht en de Wet griffierechten burgerlijke zaken in verband met de invoering van kostendekkende griffierechten</w:t>
      </w:r>
      <w:r>
        <w:t xml:space="preserve"> (</w:t>
      </w:r>
      <w:r w:rsidRPr="00840708">
        <w:t>W03.11.0297/II</w:t>
      </w:r>
      <w:r>
        <w:t xml:space="preserve">), </w:t>
      </w:r>
      <w:r w:rsidRPr="00840708">
        <w:t>Kamerstukken II 2011/12, 33</w:t>
      </w:r>
      <w:r>
        <w:t xml:space="preserve"> </w:t>
      </w:r>
      <w:r w:rsidRPr="00840708">
        <w:t>071, nr. 4</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7E6919">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C95FDC">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C95FDC">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60342"/>
    <w:rsid w:val="00070267"/>
    <w:rsid w:val="000854C3"/>
    <w:rsid w:val="000C7C1C"/>
    <w:rsid w:val="00102C23"/>
    <w:rsid w:val="00122633"/>
    <w:rsid w:val="00127596"/>
    <w:rsid w:val="001410FD"/>
    <w:rsid w:val="00156F0B"/>
    <w:rsid w:val="001E27B0"/>
    <w:rsid w:val="002276F4"/>
    <w:rsid w:val="002B7D8A"/>
    <w:rsid w:val="002F16D1"/>
    <w:rsid w:val="0031280A"/>
    <w:rsid w:val="00365EF8"/>
    <w:rsid w:val="003706AD"/>
    <w:rsid w:val="0037367E"/>
    <w:rsid w:val="003C7608"/>
    <w:rsid w:val="00411DBC"/>
    <w:rsid w:val="00455460"/>
    <w:rsid w:val="00554D49"/>
    <w:rsid w:val="005841EA"/>
    <w:rsid w:val="005E41CC"/>
    <w:rsid w:val="00635836"/>
    <w:rsid w:val="00636D17"/>
    <w:rsid w:val="006556C7"/>
    <w:rsid w:val="00687984"/>
    <w:rsid w:val="006C5E3C"/>
    <w:rsid w:val="006D53BA"/>
    <w:rsid w:val="007009C5"/>
    <w:rsid w:val="00743072"/>
    <w:rsid w:val="00796479"/>
    <w:rsid w:val="007E6919"/>
    <w:rsid w:val="008108EA"/>
    <w:rsid w:val="00831363"/>
    <w:rsid w:val="00883369"/>
    <w:rsid w:val="008C5EDD"/>
    <w:rsid w:val="00907421"/>
    <w:rsid w:val="00977969"/>
    <w:rsid w:val="009D5041"/>
    <w:rsid w:val="009E537C"/>
    <w:rsid w:val="009E72D2"/>
    <w:rsid w:val="00A316AD"/>
    <w:rsid w:val="00A31DA9"/>
    <w:rsid w:val="00AC5AD9"/>
    <w:rsid w:val="00B15811"/>
    <w:rsid w:val="00B82659"/>
    <w:rsid w:val="00B97BA6"/>
    <w:rsid w:val="00C5066A"/>
    <w:rsid w:val="00C50D4F"/>
    <w:rsid w:val="00C5589A"/>
    <w:rsid w:val="00C93CC0"/>
    <w:rsid w:val="00C94D31"/>
    <w:rsid w:val="00C95FDC"/>
    <w:rsid w:val="00CA109A"/>
    <w:rsid w:val="00CE4655"/>
    <w:rsid w:val="00D2526B"/>
    <w:rsid w:val="00D92754"/>
    <w:rsid w:val="00DB6AF4"/>
    <w:rsid w:val="00DE4E42"/>
    <w:rsid w:val="00DE6F31"/>
    <w:rsid w:val="00E4090A"/>
    <w:rsid w:val="00F374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4070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210837"/>
    <w:pPr>
      <w:tabs>
        <w:tab w:val="left" w:pos="227"/>
      </w:tabs>
      <w:ind w:left="227" w:hanging="227"/>
    </w:pPr>
    <w:rPr>
      <w:sz w:val="18"/>
      <w:szCs w:val="20"/>
    </w:rPr>
  </w:style>
  <w:style w:type="character" w:customStyle="1" w:styleId="VoetnoottekstChar">
    <w:name w:val="Voetnoottekst Char"/>
    <w:link w:val="Voetnoottekst"/>
    <w:rsid w:val="00210837"/>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rsid w:val="008407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fault%20User\Application%20Data\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4CFDB6C696D4A60944E1E577854833F"/>
        <w:category>
          <w:name w:val="Algemeen"/>
          <w:gallery w:val="placeholder"/>
        </w:category>
        <w:types>
          <w:type w:val="bbPlcHdr"/>
        </w:types>
        <w:behaviors>
          <w:behavior w:val="content"/>
        </w:behaviors>
        <w:guid w:val="{37115776-2F05-4C72-922A-2971C992C05D}"/>
      </w:docPartPr>
      <w:docPartBody>
        <w:p w:rsidR="00AC4E03" w:rsidRDefault="00807779" w:rsidP="00807779">
          <w:pPr>
            <w:pStyle w:val="D4CFDB6C696D4A60944E1E577854833F12"/>
          </w:pPr>
          <w:r w:rsidRPr="00831363">
            <w:rPr>
              <w:caps/>
            </w:rPr>
            <w:t xml:space="preserve"> </w:t>
          </w:r>
        </w:p>
      </w:docPartBody>
    </w:docPart>
    <w:docPart>
      <w:docPartPr>
        <w:name w:val="DefaultPlaceholder_1082065158"/>
        <w:category>
          <w:name w:val="Algemeen"/>
          <w:gallery w:val="placeholder"/>
        </w:category>
        <w:types>
          <w:type w:val="bbPlcHdr"/>
        </w:types>
        <w:behaviors>
          <w:behavior w:val="content"/>
        </w:behaviors>
        <w:guid w:val="{1984DE86-417B-4460-8E56-4DC6F11146AD}"/>
      </w:docPartPr>
      <w:docPartBody>
        <w:p w:rsidR="00025DF2" w:rsidRDefault="00AC4E03">
          <w:r w:rsidRPr="00666A3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25DF2"/>
    <w:rsid w:val="00073CC8"/>
    <w:rsid w:val="00112371"/>
    <w:rsid w:val="002C2E73"/>
    <w:rsid w:val="00361A3B"/>
    <w:rsid w:val="00397005"/>
    <w:rsid w:val="00423278"/>
    <w:rsid w:val="004411E8"/>
    <w:rsid w:val="00596E02"/>
    <w:rsid w:val="005A620A"/>
    <w:rsid w:val="005C4AF3"/>
    <w:rsid w:val="00652572"/>
    <w:rsid w:val="00807779"/>
    <w:rsid w:val="008272F7"/>
    <w:rsid w:val="008A560E"/>
    <w:rsid w:val="0091252E"/>
    <w:rsid w:val="009C474B"/>
    <w:rsid w:val="009D4964"/>
    <w:rsid w:val="00A242CC"/>
    <w:rsid w:val="00A42DF5"/>
    <w:rsid w:val="00A63C2F"/>
    <w:rsid w:val="00AC4E03"/>
    <w:rsid w:val="00AD6749"/>
    <w:rsid w:val="00B51BA8"/>
    <w:rsid w:val="00C25140"/>
    <w:rsid w:val="00C306F8"/>
    <w:rsid w:val="00C523B1"/>
    <w:rsid w:val="00CE7358"/>
    <w:rsid w:val="00D14296"/>
    <w:rsid w:val="00DD0EB2"/>
    <w:rsid w:val="00DF5AAB"/>
    <w:rsid w:val="00EC3CE3"/>
    <w:rsid w:val="00FB26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807779"/>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8272F7"/>
    <w:pPr>
      <w:spacing w:after="0" w:line="240" w:lineRule="auto"/>
    </w:pPr>
    <w:rPr>
      <w:rFonts w:ascii="Univers" w:eastAsia="Times New Roman" w:hAnsi="Univers" w:cs="Times New Roman"/>
      <w:szCs w:val="24"/>
    </w:rPr>
  </w:style>
  <w:style w:type="paragraph" w:customStyle="1" w:styleId="32BE68060844452C8ECCF8BC2E6F40327">
    <w:name w:val="32BE68060844452C8ECCF8BC2E6F40327"/>
    <w:rsid w:val="00397005"/>
    <w:pPr>
      <w:spacing w:after="0" w:line="240" w:lineRule="auto"/>
    </w:pPr>
    <w:rPr>
      <w:rFonts w:ascii="Univers" w:eastAsia="Times New Roman" w:hAnsi="Univers" w:cs="Times New Roman"/>
      <w:szCs w:val="24"/>
    </w:rPr>
  </w:style>
  <w:style w:type="paragraph" w:customStyle="1" w:styleId="342F22FECE914953AEC598A27BF1D895">
    <w:name w:val="342F22FECE914953AEC598A27BF1D895"/>
    <w:rsid w:val="00397005"/>
  </w:style>
  <w:style w:type="paragraph" w:customStyle="1" w:styleId="342F22FECE914953AEC598A27BF1D8951">
    <w:name w:val="342F22FECE914953AEC598A27BF1D8951"/>
    <w:rsid w:val="00CE7358"/>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CE7358"/>
    <w:pPr>
      <w:spacing w:after="0" w:line="240" w:lineRule="auto"/>
    </w:pPr>
    <w:rPr>
      <w:rFonts w:ascii="Univers" w:eastAsia="Times New Roman" w:hAnsi="Univers" w:cs="Times New Roman"/>
      <w:szCs w:val="24"/>
    </w:rPr>
  </w:style>
  <w:style w:type="paragraph" w:customStyle="1" w:styleId="D4CFDB6C696D4A60944E1E577854833F">
    <w:name w:val="D4CFDB6C696D4A60944E1E577854833F"/>
    <w:rsid w:val="008A560E"/>
  </w:style>
  <w:style w:type="paragraph" w:customStyle="1" w:styleId="29A8D394BB0B4AFA9DB641C0B1851A31">
    <w:name w:val="29A8D394BB0B4AFA9DB641C0B1851A31"/>
    <w:rsid w:val="008A560E"/>
  </w:style>
  <w:style w:type="paragraph" w:customStyle="1" w:styleId="3CE88AE5A3AB4308BA7DCA8058A38D15">
    <w:name w:val="3CE88AE5A3AB4308BA7DCA8058A38D15"/>
    <w:rsid w:val="008A560E"/>
  </w:style>
  <w:style w:type="paragraph" w:customStyle="1" w:styleId="D10883FDE47A4B5184FB25F7A2C50263">
    <w:name w:val="D10883FDE47A4B5184FB25F7A2C50263"/>
    <w:rsid w:val="008A560E"/>
  </w:style>
  <w:style w:type="paragraph" w:customStyle="1" w:styleId="4085B26BE27641DDA14812F166C7FAC0">
    <w:name w:val="4085B26BE27641DDA14812F166C7FAC0"/>
    <w:rsid w:val="008A560E"/>
  </w:style>
  <w:style w:type="paragraph" w:customStyle="1" w:styleId="D4CFDB6C696D4A60944E1E577854833F1">
    <w:name w:val="D4CFDB6C696D4A60944E1E577854833F1"/>
    <w:rsid w:val="00AC4E03"/>
    <w:pPr>
      <w:spacing w:after="0" w:line="240" w:lineRule="auto"/>
    </w:pPr>
    <w:rPr>
      <w:rFonts w:ascii="Univers" w:eastAsia="Times New Roman" w:hAnsi="Univers" w:cs="Times New Roman"/>
      <w:szCs w:val="24"/>
    </w:rPr>
  </w:style>
  <w:style w:type="paragraph" w:customStyle="1" w:styleId="29A8D394BB0B4AFA9DB641C0B1851A311">
    <w:name w:val="29A8D394BB0B4AFA9DB641C0B1851A311"/>
    <w:rsid w:val="00AC4E03"/>
    <w:pPr>
      <w:spacing w:after="0" w:line="240" w:lineRule="auto"/>
    </w:pPr>
    <w:rPr>
      <w:rFonts w:ascii="Univers" w:eastAsia="Times New Roman" w:hAnsi="Univers" w:cs="Times New Roman"/>
      <w:szCs w:val="24"/>
    </w:rPr>
  </w:style>
  <w:style w:type="paragraph" w:customStyle="1" w:styleId="342F22FECE914953AEC598A27BF1D8952">
    <w:name w:val="342F22FECE914953AEC598A27BF1D8952"/>
    <w:rsid w:val="00AC4E0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AC4E03"/>
    <w:pPr>
      <w:spacing w:after="0" w:line="240" w:lineRule="auto"/>
    </w:pPr>
    <w:rPr>
      <w:rFonts w:ascii="Univers" w:eastAsia="Times New Roman" w:hAnsi="Univers" w:cs="Times New Roman"/>
      <w:szCs w:val="24"/>
    </w:rPr>
  </w:style>
  <w:style w:type="paragraph" w:customStyle="1" w:styleId="D4CFDB6C696D4A60944E1E577854833F2">
    <w:name w:val="D4CFDB6C696D4A60944E1E577854833F2"/>
    <w:rsid w:val="00025DF2"/>
    <w:pPr>
      <w:spacing w:after="0" w:line="240" w:lineRule="auto"/>
    </w:pPr>
    <w:rPr>
      <w:rFonts w:ascii="Univers" w:eastAsia="Times New Roman" w:hAnsi="Univers" w:cs="Times New Roman"/>
      <w:szCs w:val="24"/>
    </w:rPr>
  </w:style>
  <w:style w:type="paragraph" w:customStyle="1" w:styleId="29A8D394BB0B4AFA9DB641C0B1851A312">
    <w:name w:val="29A8D394BB0B4AFA9DB641C0B1851A312"/>
    <w:rsid w:val="00025DF2"/>
    <w:pPr>
      <w:spacing w:after="0" w:line="240" w:lineRule="auto"/>
    </w:pPr>
    <w:rPr>
      <w:rFonts w:ascii="Univers" w:eastAsia="Times New Roman" w:hAnsi="Univers" w:cs="Times New Roman"/>
      <w:szCs w:val="24"/>
    </w:rPr>
  </w:style>
  <w:style w:type="paragraph" w:customStyle="1" w:styleId="342F22FECE914953AEC598A27BF1D8953">
    <w:name w:val="342F22FECE914953AEC598A27BF1D8953"/>
    <w:rsid w:val="00025DF2"/>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025DF2"/>
    <w:pPr>
      <w:spacing w:after="0" w:line="240" w:lineRule="auto"/>
    </w:pPr>
    <w:rPr>
      <w:rFonts w:ascii="Univers" w:eastAsia="Times New Roman" w:hAnsi="Univers" w:cs="Times New Roman"/>
      <w:szCs w:val="24"/>
    </w:rPr>
  </w:style>
  <w:style w:type="paragraph" w:customStyle="1" w:styleId="D4CFDB6C696D4A60944E1E577854833F3">
    <w:name w:val="D4CFDB6C696D4A60944E1E577854833F3"/>
    <w:rsid w:val="009D4964"/>
    <w:pPr>
      <w:spacing w:after="0" w:line="240" w:lineRule="auto"/>
    </w:pPr>
    <w:rPr>
      <w:rFonts w:ascii="Univers" w:eastAsia="Times New Roman" w:hAnsi="Univers" w:cs="Times New Roman"/>
      <w:szCs w:val="24"/>
    </w:rPr>
  </w:style>
  <w:style w:type="paragraph" w:customStyle="1" w:styleId="29A8D394BB0B4AFA9DB641C0B1851A313">
    <w:name w:val="29A8D394BB0B4AFA9DB641C0B1851A313"/>
    <w:rsid w:val="009D4964"/>
    <w:pPr>
      <w:spacing w:after="0" w:line="240" w:lineRule="auto"/>
    </w:pPr>
    <w:rPr>
      <w:rFonts w:ascii="Univers" w:eastAsia="Times New Roman" w:hAnsi="Univers" w:cs="Times New Roman"/>
      <w:szCs w:val="24"/>
    </w:rPr>
  </w:style>
  <w:style w:type="paragraph" w:customStyle="1" w:styleId="342F22FECE914953AEC598A27BF1D8954">
    <w:name w:val="342F22FECE914953AEC598A27BF1D8954"/>
    <w:rsid w:val="009D4964"/>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9D4964"/>
    <w:pPr>
      <w:spacing w:after="0" w:line="240" w:lineRule="auto"/>
    </w:pPr>
    <w:rPr>
      <w:rFonts w:ascii="Univers" w:eastAsia="Times New Roman" w:hAnsi="Univers" w:cs="Times New Roman"/>
      <w:szCs w:val="24"/>
    </w:rPr>
  </w:style>
  <w:style w:type="paragraph" w:customStyle="1" w:styleId="D4CFDB6C696D4A60944E1E577854833F4">
    <w:name w:val="D4CFDB6C696D4A60944E1E577854833F4"/>
    <w:rsid w:val="002C2E73"/>
    <w:pPr>
      <w:spacing w:after="0" w:line="240" w:lineRule="auto"/>
    </w:pPr>
    <w:rPr>
      <w:rFonts w:ascii="Univers" w:eastAsia="Times New Roman" w:hAnsi="Univers" w:cs="Times New Roman"/>
      <w:szCs w:val="24"/>
    </w:rPr>
  </w:style>
  <w:style w:type="paragraph" w:customStyle="1" w:styleId="29A8D394BB0B4AFA9DB641C0B1851A314">
    <w:name w:val="29A8D394BB0B4AFA9DB641C0B1851A314"/>
    <w:rsid w:val="002C2E73"/>
    <w:pPr>
      <w:spacing w:after="0" w:line="240" w:lineRule="auto"/>
    </w:pPr>
    <w:rPr>
      <w:rFonts w:ascii="Univers" w:eastAsia="Times New Roman" w:hAnsi="Univers" w:cs="Times New Roman"/>
      <w:szCs w:val="24"/>
    </w:rPr>
  </w:style>
  <w:style w:type="paragraph" w:customStyle="1" w:styleId="342F22FECE914953AEC598A27BF1D8955">
    <w:name w:val="342F22FECE914953AEC598A27BF1D8955"/>
    <w:rsid w:val="002C2E73"/>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2C2E73"/>
    <w:pPr>
      <w:spacing w:after="0" w:line="240" w:lineRule="auto"/>
    </w:pPr>
    <w:rPr>
      <w:rFonts w:ascii="Univers" w:eastAsia="Times New Roman" w:hAnsi="Univers" w:cs="Times New Roman"/>
      <w:szCs w:val="24"/>
    </w:rPr>
  </w:style>
  <w:style w:type="paragraph" w:customStyle="1" w:styleId="D4CFDB6C696D4A60944E1E577854833F5">
    <w:name w:val="D4CFDB6C696D4A60944E1E577854833F5"/>
    <w:rsid w:val="009C474B"/>
    <w:pPr>
      <w:spacing w:after="0" w:line="240" w:lineRule="auto"/>
    </w:pPr>
    <w:rPr>
      <w:rFonts w:ascii="Univers" w:eastAsia="Times New Roman" w:hAnsi="Univers" w:cs="Times New Roman"/>
      <w:szCs w:val="24"/>
    </w:rPr>
  </w:style>
  <w:style w:type="paragraph" w:customStyle="1" w:styleId="342F22FECE914953AEC598A27BF1D8956">
    <w:name w:val="342F22FECE914953AEC598A27BF1D8956"/>
    <w:rsid w:val="009C474B"/>
    <w:pPr>
      <w:spacing w:after="0" w:line="240" w:lineRule="auto"/>
    </w:pPr>
    <w:rPr>
      <w:rFonts w:ascii="Univers" w:eastAsia="Times New Roman" w:hAnsi="Univers" w:cs="Times New Roman"/>
      <w:szCs w:val="24"/>
    </w:rPr>
  </w:style>
  <w:style w:type="paragraph" w:customStyle="1" w:styleId="32BE68060844452C8ECCF8BC2E6F403213">
    <w:name w:val="32BE68060844452C8ECCF8BC2E6F403213"/>
    <w:rsid w:val="009C474B"/>
    <w:pPr>
      <w:spacing w:after="0" w:line="240" w:lineRule="auto"/>
    </w:pPr>
    <w:rPr>
      <w:rFonts w:ascii="Univers" w:eastAsia="Times New Roman" w:hAnsi="Univers" w:cs="Times New Roman"/>
      <w:szCs w:val="24"/>
    </w:rPr>
  </w:style>
  <w:style w:type="paragraph" w:customStyle="1" w:styleId="D4CFDB6C696D4A60944E1E577854833F6">
    <w:name w:val="D4CFDB6C696D4A60944E1E577854833F6"/>
    <w:rsid w:val="00652572"/>
    <w:pPr>
      <w:spacing w:after="0" w:line="240" w:lineRule="auto"/>
    </w:pPr>
    <w:rPr>
      <w:rFonts w:ascii="Univers" w:eastAsia="Times New Roman" w:hAnsi="Univers" w:cs="Times New Roman"/>
      <w:szCs w:val="24"/>
    </w:rPr>
  </w:style>
  <w:style w:type="paragraph" w:customStyle="1" w:styleId="342F22FECE914953AEC598A27BF1D8957">
    <w:name w:val="342F22FECE914953AEC598A27BF1D8957"/>
    <w:rsid w:val="00652572"/>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652572"/>
    <w:pPr>
      <w:spacing w:after="0" w:line="240" w:lineRule="auto"/>
    </w:pPr>
    <w:rPr>
      <w:rFonts w:ascii="Univers" w:eastAsia="Times New Roman" w:hAnsi="Univers" w:cs="Times New Roman"/>
      <w:szCs w:val="24"/>
    </w:rPr>
  </w:style>
  <w:style w:type="paragraph" w:customStyle="1" w:styleId="D4CFDB6C696D4A60944E1E577854833F7">
    <w:name w:val="D4CFDB6C696D4A60944E1E577854833F7"/>
    <w:rsid w:val="00C306F8"/>
    <w:pPr>
      <w:spacing w:after="0" w:line="240" w:lineRule="auto"/>
    </w:pPr>
    <w:rPr>
      <w:rFonts w:ascii="Univers" w:eastAsia="Times New Roman" w:hAnsi="Univers" w:cs="Times New Roman"/>
      <w:szCs w:val="24"/>
    </w:rPr>
  </w:style>
  <w:style w:type="paragraph" w:customStyle="1" w:styleId="342F22FECE914953AEC598A27BF1D8958">
    <w:name w:val="342F22FECE914953AEC598A27BF1D8958"/>
    <w:rsid w:val="00C306F8"/>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C306F8"/>
    <w:pPr>
      <w:spacing w:after="0" w:line="240" w:lineRule="auto"/>
    </w:pPr>
    <w:rPr>
      <w:rFonts w:ascii="Univers" w:eastAsia="Times New Roman" w:hAnsi="Univers" w:cs="Times New Roman"/>
      <w:szCs w:val="24"/>
    </w:rPr>
  </w:style>
  <w:style w:type="paragraph" w:customStyle="1" w:styleId="D4CFDB6C696D4A60944E1E577854833F8">
    <w:name w:val="D4CFDB6C696D4A60944E1E577854833F8"/>
    <w:rsid w:val="00FB26E0"/>
    <w:pPr>
      <w:spacing w:after="0" w:line="240" w:lineRule="auto"/>
    </w:pPr>
    <w:rPr>
      <w:rFonts w:ascii="Univers" w:eastAsia="Times New Roman" w:hAnsi="Univers" w:cs="Times New Roman"/>
      <w:szCs w:val="24"/>
    </w:rPr>
  </w:style>
  <w:style w:type="paragraph" w:customStyle="1" w:styleId="342F22FECE914953AEC598A27BF1D8959">
    <w:name w:val="342F22FECE914953AEC598A27BF1D8959"/>
    <w:rsid w:val="00FB26E0"/>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FB26E0"/>
    <w:pPr>
      <w:spacing w:after="0" w:line="240" w:lineRule="auto"/>
    </w:pPr>
    <w:rPr>
      <w:rFonts w:ascii="Univers" w:eastAsia="Times New Roman" w:hAnsi="Univers" w:cs="Times New Roman"/>
      <w:szCs w:val="24"/>
    </w:rPr>
  </w:style>
  <w:style w:type="paragraph" w:customStyle="1" w:styleId="D4CFDB6C696D4A60944E1E577854833F9">
    <w:name w:val="D4CFDB6C696D4A60944E1E577854833F9"/>
    <w:rsid w:val="00C523B1"/>
    <w:pPr>
      <w:spacing w:after="0" w:line="240" w:lineRule="auto"/>
    </w:pPr>
    <w:rPr>
      <w:rFonts w:ascii="Univers" w:eastAsia="Times New Roman" w:hAnsi="Univers" w:cs="Times New Roman"/>
      <w:szCs w:val="24"/>
    </w:rPr>
  </w:style>
  <w:style w:type="paragraph" w:customStyle="1" w:styleId="342F22FECE914953AEC598A27BF1D89510">
    <w:name w:val="342F22FECE914953AEC598A27BF1D89510"/>
    <w:rsid w:val="00C523B1"/>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C523B1"/>
    <w:pPr>
      <w:spacing w:after="0" w:line="240" w:lineRule="auto"/>
    </w:pPr>
    <w:rPr>
      <w:rFonts w:ascii="Univers" w:eastAsia="Times New Roman" w:hAnsi="Univers" w:cs="Times New Roman"/>
      <w:szCs w:val="24"/>
    </w:rPr>
  </w:style>
  <w:style w:type="paragraph" w:customStyle="1" w:styleId="D4CFDB6C696D4A60944E1E577854833F10">
    <w:name w:val="D4CFDB6C696D4A60944E1E577854833F10"/>
    <w:rsid w:val="00112371"/>
    <w:pPr>
      <w:spacing w:after="0" w:line="240" w:lineRule="auto"/>
    </w:pPr>
    <w:rPr>
      <w:rFonts w:ascii="Univers" w:eastAsia="Times New Roman" w:hAnsi="Univers" w:cs="Times New Roman"/>
      <w:szCs w:val="24"/>
    </w:rPr>
  </w:style>
  <w:style w:type="paragraph" w:customStyle="1" w:styleId="342F22FECE914953AEC598A27BF1D89511">
    <w:name w:val="342F22FECE914953AEC598A27BF1D89511"/>
    <w:rsid w:val="00112371"/>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112371"/>
    <w:pPr>
      <w:spacing w:after="0" w:line="240" w:lineRule="auto"/>
    </w:pPr>
    <w:rPr>
      <w:rFonts w:ascii="Univers" w:eastAsia="Times New Roman" w:hAnsi="Univers" w:cs="Times New Roman"/>
      <w:szCs w:val="24"/>
    </w:rPr>
  </w:style>
  <w:style w:type="paragraph" w:customStyle="1" w:styleId="D4CFDB6C696D4A60944E1E577854833F11">
    <w:name w:val="D4CFDB6C696D4A60944E1E577854833F11"/>
    <w:rsid w:val="0091252E"/>
    <w:pPr>
      <w:spacing w:after="0" w:line="240" w:lineRule="auto"/>
    </w:pPr>
    <w:rPr>
      <w:rFonts w:ascii="Univers" w:eastAsia="Times New Roman" w:hAnsi="Univers" w:cs="Times New Roman"/>
      <w:szCs w:val="24"/>
    </w:rPr>
  </w:style>
  <w:style w:type="paragraph" w:customStyle="1" w:styleId="F585A59CF56D404D815553E5E2A49500">
    <w:name w:val="F585A59CF56D404D815553E5E2A49500"/>
    <w:rsid w:val="0091252E"/>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91252E"/>
    <w:pPr>
      <w:spacing w:after="0" w:line="240" w:lineRule="auto"/>
    </w:pPr>
    <w:rPr>
      <w:rFonts w:ascii="Univers" w:eastAsia="Times New Roman" w:hAnsi="Univers" w:cs="Times New Roman"/>
      <w:szCs w:val="24"/>
    </w:rPr>
  </w:style>
  <w:style w:type="paragraph" w:customStyle="1" w:styleId="D4CFDB6C696D4A60944E1E577854833F12">
    <w:name w:val="D4CFDB6C696D4A60944E1E577854833F12"/>
    <w:rsid w:val="00807779"/>
    <w:pPr>
      <w:spacing w:after="0" w:line="240" w:lineRule="auto"/>
    </w:pPr>
    <w:rPr>
      <w:rFonts w:ascii="Univers" w:eastAsia="Times New Roman" w:hAnsi="Univers" w:cs="Times New Roman"/>
      <w:szCs w:val="24"/>
    </w:rPr>
  </w:style>
  <w:style w:type="paragraph" w:customStyle="1" w:styleId="F585A59CF56D404D815553E5E2A495001">
    <w:name w:val="F585A59CF56D404D815553E5E2A495001"/>
    <w:rsid w:val="00807779"/>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80777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1275</ap:Words>
  <ap:Characters>7016</ap:Characters>
  <ap:DocSecurity>0</ap:DocSecurity>
  <ap:Lines>58</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2014-11-13T10:48:00.0000000Z</lastPrinted>
  <dcterms:created xsi:type="dcterms:W3CDTF">2015-02-23T14:23:00.0000000Z</dcterms:created>
  <dcterms:modified xsi:type="dcterms:W3CDTF">2015-02-23T14:23:00.0000000Z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0x010100EAD615FA1D7D364582D83200F18070F7</vt:lpwstr>
  </property>
</Properties>
</file>