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W06.14.0487/III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28 januari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716584" w:rsidRDefault="00861088">
              <w:r>
                <w:t>Bij Kabinetsmissive van 21 januari 2015, no.2015000066, heeft Uwe Majesteit, op voordracht van de Minister van Buitenlandse Zaken, mede namens de Minister van Financiën, bij de Afdeling advisering van de Raad van State ter overweging aanhangig gemaakt het voorstel van wet houdende goedkeuring van het op 21 mei 2014 te Brussel tot stand gekomen verdrag betreffende de overdracht en mutualisatie van de bijdragen aan het gemeenschappelijk afwikkelingsfonds, met memorie van toelichting.</w:t>
              </w:r>
            </w:p>
          </w:sdtContent>
        </w:sdt>
        <w:p w:rsidR="0071031E" w:rsidRDefault="0071031E"/>
        <w:p w:rsidR="00C50D4F" w:rsidRDefault="00AC15D0">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861088" w:rsidP="005B3E03">
      <w:r>
        <w:separator/>
      </w:r>
    </w:p>
  </w:endnote>
  <w:endnote w:type="continuationSeparator" w:id="0">
    <w:p w:rsidR="00954004" w:rsidRDefault="0086108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861088" w:rsidP="005B3E03">
      <w:r>
        <w:separator/>
      </w:r>
    </w:p>
  </w:footnote>
  <w:footnote w:type="continuationSeparator" w:id="0">
    <w:p w:rsidR="00954004" w:rsidRDefault="00861088"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61088">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65721"/>
    <w:rsid w:val="006B68E7"/>
    <w:rsid w:val="007077E5"/>
    <w:rsid w:val="0071031E"/>
    <w:rsid w:val="00716584"/>
    <w:rsid w:val="00724C4B"/>
    <w:rsid w:val="00743D19"/>
    <w:rsid w:val="007B1CCB"/>
    <w:rsid w:val="00801259"/>
    <w:rsid w:val="008179AD"/>
    <w:rsid w:val="00831756"/>
    <w:rsid w:val="00861088"/>
    <w:rsid w:val="008A2D35"/>
    <w:rsid w:val="009E72D2"/>
    <w:rsid w:val="00A349AF"/>
    <w:rsid w:val="00AC15D0"/>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845</ap:Characters>
  <ap:DocSecurity>4</ap:DocSecurity>
  <ap:Lines>7</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2015-01-29T13:51:00.0000000Z</lastPrinted>
  <dcterms:created xsi:type="dcterms:W3CDTF">2015-02-03T13:09:00.0000000Z</dcterms:created>
  <dcterms:modified xsi:type="dcterms:W3CDTF">2015-02-03T13:09:00.0000000Z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0x0101002A53DCE0B663324AACBD2DA318B2809F</vt:lpwstr>
  </property>
</Properties>
</file>