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customXml/itemProps4.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04D65" w:rsidR="00E014EE" w:rsidP="00592E38" w:rsidRDefault="00E014EE" w14:paraId="79785C9F" w14:textId="10101645">
      <w:pPr>
        <w:rPr>
          <w:b/>
          <w:sz w:val="20"/>
          <w:szCs w:val="20"/>
          <w:lang w:val="nl-NL"/>
        </w:rPr>
      </w:pPr>
      <w:bookmarkStart w:name="_GoBack" w:id="0"/>
      <w:bookmarkEnd w:id="0"/>
      <w:r w:rsidRPr="00F04D65">
        <w:rPr>
          <w:b/>
          <w:sz w:val="20"/>
          <w:szCs w:val="20"/>
          <w:lang w:val="nl-NL"/>
        </w:rPr>
        <w:t>VERSLAG RAAD BUITENLANDSE ZAKEN</w:t>
      </w:r>
      <w:r w:rsidRPr="00F04D65" w:rsidR="00FD15BB">
        <w:rPr>
          <w:b/>
          <w:sz w:val="20"/>
          <w:szCs w:val="20"/>
          <w:lang w:val="nl-NL"/>
        </w:rPr>
        <w:t xml:space="preserve"> </w:t>
      </w:r>
      <w:r w:rsidR="00592E38">
        <w:rPr>
          <w:b/>
          <w:sz w:val="20"/>
          <w:szCs w:val="20"/>
          <w:lang w:val="nl-NL"/>
        </w:rPr>
        <w:t xml:space="preserve">VAN </w:t>
      </w:r>
      <w:r w:rsidRPr="00F04D65" w:rsidR="00A46305">
        <w:rPr>
          <w:b/>
          <w:sz w:val="20"/>
          <w:szCs w:val="20"/>
          <w:lang w:val="nl-NL"/>
        </w:rPr>
        <w:t xml:space="preserve">15 </w:t>
      </w:r>
      <w:r w:rsidR="00592E38">
        <w:rPr>
          <w:b/>
          <w:sz w:val="20"/>
          <w:szCs w:val="20"/>
          <w:lang w:val="nl-NL"/>
        </w:rPr>
        <w:t xml:space="preserve">DECEMBER </w:t>
      </w:r>
      <w:r w:rsidRPr="00F04D65" w:rsidR="00A46305">
        <w:rPr>
          <w:b/>
          <w:sz w:val="20"/>
          <w:szCs w:val="20"/>
          <w:lang w:val="nl-NL"/>
        </w:rPr>
        <w:t>2014</w:t>
      </w:r>
    </w:p>
    <w:p w:rsidRPr="00F04D65" w:rsidR="00E014EE" w:rsidP="00DD4AD3" w:rsidRDefault="00E014EE" w14:paraId="198635DA" w14:textId="77777777">
      <w:pPr>
        <w:rPr>
          <w:sz w:val="20"/>
          <w:szCs w:val="20"/>
          <w:lang w:val="nl-NL"/>
        </w:rPr>
      </w:pPr>
    </w:p>
    <w:p w:rsidR="005B3BC6" w:rsidP="00DD4AD3" w:rsidRDefault="005B3BC6" w14:paraId="26CCFBD7" w14:textId="1779FAC3">
      <w:pPr>
        <w:rPr>
          <w:b/>
          <w:sz w:val="20"/>
          <w:szCs w:val="20"/>
          <w:lang w:val="nl-NL"/>
        </w:rPr>
      </w:pPr>
      <w:r>
        <w:rPr>
          <w:b/>
          <w:sz w:val="20"/>
          <w:szCs w:val="20"/>
          <w:lang w:val="nl-NL"/>
        </w:rPr>
        <w:t>Syrië</w:t>
      </w:r>
      <w:r w:rsidR="00BF5A67">
        <w:rPr>
          <w:b/>
          <w:sz w:val="20"/>
          <w:szCs w:val="20"/>
          <w:lang w:val="nl-NL"/>
        </w:rPr>
        <w:t>, Irak en de strijd tegen ISIS</w:t>
      </w:r>
    </w:p>
    <w:p w:rsidR="00BF5A67" w:rsidP="00DD4AD3" w:rsidRDefault="00BF5A67" w14:paraId="2E9591F3" w14:textId="2F6DC89C">
      <w:pPr>
        <w:rPr>
          <w:b/>
          <w:sz w:val="20"/>
          <w:szCs w:val="20"/>
          <w:lang w:val="nl-NL"/>
        </w:rPr>
      </w:pPr>
      <w:r>
        <w:rPr>
          <w:i/>
          <w:sz w:val="20"/>
          <w:szCs w:val="20"/>
          <w:lang w:val="nl-NL"/>
        </w:rPr>
        <w:t>Syrië</w:t>
      </w:r>
    </w:p>
    <w:p w:rsidR="005A5EB8" w:rsidP="00DD4AD3" w:rsidRDefault="005B3BC6" w14:paraId="06CC95F6" w14:textId="6E259205">
      <w:pPr>
        <w:rPr>
          <w:sz w:val="20"/>
          <w:szCs w:val="20"/>
          <w:lang w:val="nl-NL"/>
        </w:rPr>
      </w:pPr>
      <w:r>
        <w:rPr>
          <w:sz w:val="20"/>
          <w:szCs w:val="20"/>
          <w:lang w:val="nl-NL"/>
        </w:rPr>
        <w:t xml:space="preserve">De </w:t>
      </w:r>
      <w:r w:rsidR="00DC5AAC">
        <w:rPr>
          <w:sz w:val="20"/>
          <w:szCs w:val="20"/>
          <w:lang w:val="nl-NL"/>
        </w:rPr>
        <w:t>Raad</w:t>
      </w:r>
      <w:r>
        <w:rPr>
          <w:sz w:val="20"/>
          <w:szCs w:val="20"/>
          <w:lang w:val="nl-NL"/>
        </w:rPr>
        <w:t xml:space="preserve"> sprak zijn ernstige zorgen uit over de voortdurende verslechtering van de humanitaire en veiligheidssitu</w:t>
      </w:r>
      <w:r w:rsidR="000C36F3">
        <w:rPr>
          <w:sz w:val="20"/>
          <w:szCs w:val="20"/>
          <w:lang w:val="nl-NL"/>
        </w:rPr>
        <w:t>atie in Syrië. De EU veroordeelde ten zeerste</w:t>
      </w:r>
      <w:r>
        <w:rPr>
          <w:sz w:val="20"/>
          <w:szCs w:val="20"/>
          <w:lang w:val="nl-NL"/>
        </w:rPr>
        <w:t xml:space="preserve"> de wreedheden en mensenrechtensc</w:t>
      </w:r>
      <w:r w:rsidR="00592E38">
        <w:rPr>
          <w:sz w:val="20"/>
          <w:szCs w:val="20"/>
          <w:lang w:val="nl-NL"/>
        </w:rPr>
        <w:t>hendingen begaan door het Assad-</w:t>
      </w:r>
      <w:r>
        <w:rPr>
          <w:sz w:val="20"/>
          <w:szCs w:val="20"/>
          <w:lang w:val="nl-NL"/>
        </w:rPr>
        <w:t>regime en ook door ISIS, Jabhat al-Nusra en andere terro</w:t>
      </w:r>
      <w:r w:rsidR="00EA7F0C">
        <w:rPr>
          <w:sz w:val="20"/>
          <w:szCs w:val="20"/>
          <w:lang w:val="nl-NL"/>
        </w:rPr>
        <w:t>ristische groeperingen</w:t>
      </w:r>
      <w:r>
        <w:rPr>
          <w:sz w:val="20"/>
          <w:szCs w:val="20"/>
          <w:lang w:val="nl-NL"/>
        </w:rPr>
        <w:t xml:space="preserve">. </w:t>
      </w:r>
    </w:p>
    <w:p w:rsidR="005A5EB8" w:rsidP="00DD4AD3" w:rsidRDefault="005A5EB8" w14:paraId="047DB15B" w14:textId="77777777">
      <w:pPr>
        <w:rPr>
          <w:sz w:val="20"/>
          <w:szCs w:val="20"/>
          <w:lang w:val="nl-NL"/>
        </w:rPr>
      </w:pPr>
    </w:p>
    <w:p w:rsidR="00DC5AAC" w:rsidP="00592E38" w:rsidRDefault="00DC5AAC" w14:paraId="28975BC3" w14:textId="368D03CA">
      <w:pPr>
        <w:rPr>
          <w:sz w:val="20"/>
          <w:szCs w:val="20"/>
          <w:lang w:val="nl-NL"/>
        </w:rPr>
      </w:pPr>
      <w:r>
        <w:rPr>
          <w:sz w:val="20"/>
          <w:szCs w:val="20"/>
          <w:lang w:val="nl-NL"/>
        </w:rPr>
        <w:t>De Raad sprak zijn sterke steun uit voor de inspanningen van de Speciaal Gezant van de VN voor Syrië, Staffan de Mistura, om een strategische de-escalatie van geweld te bereiken als een basis voor een breder duurzaam politiek proces. De ministers spraken aan de vooravond van de Raad informeel met hem over zijn plannen. De EU gaf daarbij aan klaar te staan om zijn voorstellen te steunen</w:t>
      </w:r>
      <w:r w:rsidRPr="002A6646">
        <w:rPr>
          <w:sz w:val="20"/>
          <w:szCs w:val="20"/>
          <w:lang w:val="nl-NL"/>
        </w:rPr>
        <w:t xml:space="preserve">, in het bijzonder het voorstel voor </w:t>
      </w:r>
      <w:r w:rsidRPr="002A6646" w:rsidR="00592E38">
        <w:rPr>
          <w:sz w:val="20"/>
          <w:szCs w:val="20"/>
          <w:lang w:val="nl-NL"/>
        </w:rPr>
        <w:t>het lokaal staken van gewelddadigheden, de zogenaamde lokale ‘freezes’</w:t>
      </w:r>
      <w:r w:rsidRPr="002A6646">
        <w:rPr>
          <w:sz w:val="20"/>
          <w:szCs w:val="20"/>
          <w:lang w:val="nl-NL"/>
        </w:rPr>
        <w:t xml:space="preserve"> in Aleppo</w:t>
      </w:r>
      <w:r>
        <w:rPr>
          <w:sz w:val="20"/>
          <w:szCs w:val="20"/>
          <w:lang w:val="nl-NL"/>
        </w:rPr>
        <w:t xml:space="preserve"> en elders</w:t>
      </w:r>
      <w:r w:rsidR="00592E38">
        <w:rPr>
          <w:sz w:val="20"/>
          <w:szCs w:val="20"/>
          <w:lang w:val="nl-NL"/>
        </w:rPr>
        <w:t>,</w:t>
      </w:r>
      <w:r>
        <w:rPr>
          <w:sz w:val="20"/>
          <w:szCs w:val="20"/>
          <w:lang w:val="nl-NL"/>
        </w:rPr>
        <w:t xml:space="preserve"> in overeenstemming met het internationaal humanitair recht. Nederland steunde de plannen van De Mistura </w:t>
      </w:r>
      <w:r w:rsidR="00621E88">
        <w:rPr>
          <w:sz w:val="20"/>
          <w:szCs w:val="20"/>
          <w:lang w:val="nl-NL"/>
        </w:rPr>
        <w:t xml:space="preserve">en gaf daarbij aan dat het belangrijk is hierbij goede randvoorwaarden te formuleren zodat </w:t>
      </w:r>
      <w:r>
        <w:rPr>
          <w:sz w:val="20"/>
          <w:szCs w:val="20"/>
          <w:lang w:val="nl-NL"/>
        </w:rPr>
        <w:t xml:space="preserve">een ‘freeze’ niet </w:t>
      </w:r>
      <w:r w:rsidR="00621E88">
        <w:rPr>
          <w:sz w:val="20"/>
          <w:szCs w:val="20"/>
          <w:lang w:val="nl-NL"/>
        </w:rPr>
        <w:t>leidt</w:t>
      </w:r>
      <w:r>
        <w:rPr>
          <w:sz w:val="20"/>
          <w:szCs w:val="20"/>
          <w:lang w:val="nl-NL"/>
        </w:rPr>
        <w:t xml:space="preserve"> tot een </w:t>
      </w:r>
      <w:r w:rsidR="00621E88">
        <w:rPr>
          <w:sz w:val="20"/>
          <w:szCs w:val="20"/>
          <w:lang w:val="nl-NL"/>
        </w:rPr>
        <w:t>her</w:t>
      </w:r>
      <w:r>
        <w:rPr>
          <w:sz w:val="20"/>
          <w:szCs w:val="20"/>
          <w:lang w:val="nl-NL"/>
        </w:rPr>
        <w:t xml:space="preserve">bewapening </w:t>
      </w:r>
      <w:r w:rsidR="00621E88">
        <w:rPr>
          <w:sz w:val="20"/>
          <w:szCs w:val="20"/>
          <w:lang w:val="nl-NL"/>
        </w:rPr>
        <w:t>van de strijdende partijen</w:t>
      </w:r>
      <w:r>
        <w:rPr>
          <w:sz w:val="20"/>
          <w:szCs w:val="20"/>
          <w:lang w:val="nl-NL"/>
        </w:rPr>
        <w:t>. Nederland onderstreepte voorts het belang van een link tussen een bottom-up benadering (m.a.w. de plannen voor een ‘freeze’) en een top-down benadering</w:t>
      </w:r>
      <w:r w:rsidR="00621E88">
        <w:rPr>
          <w:sz w:val="20"/>
          <w:szCs w:val="20"/>
          <w:lang w:val="nl-NL"/>
        </w:rPr>
        <w:t xml:space="preserve"> van een politiek proces</w:t>
      </w:r>
      <w:r>
        <w:rPr>
          <w:sz w:val="20"/>
          <w:szCs w:val="20"/>
          <w:lang w:val="nl-NL"/>
        </w:rPr>
        <w:t xml:space="preserve">, waarbij het van belang is om ook druk te houden top-down. </w:t>
      </w:r>
    </w:p>
    <w:p w:rsidR="00DC5AAC" w:rsidP="00DD4AD3" w:rsidRDefault="00DC5AAC" w14:paraId="28F55C40" w14:textId="77777777">
      <w:pPr>
        <w:rPr>
          <w:sz w:val="20"/>
          <w:szCs w:val="20"/>
          <w:lang w:val="nl-NL"/>
        </w:rPr>
      </w:pPr>
    </w:p>
    <w:p w:rsidR="005A5EB8" w:rsidP="002A6646" w:rsidRDefault="00DC5AAC" w14:paraId="163F23FC" w14:textId="17E0BB48">
      <w:pPr>
        <w:rPr>
          <w:sz w:val="20"/>
          <w:szCs w:val="20"/>
          <w:lang w:val="nl-NL"/>
        </w:rPr>
      </w:pPr>
      <w:r>
        <w:rPr>
          <w:sz w:val="20"/>
          <w:szCs w:val="20"/>
          <w:lang w:val="nl-NL"/>
        </w:rPr>
        <w:t>De ministers gaven aan de</w:t>
      </w:r>
      <w:r w:rsidR="005B3BC6">
        <w:rPr>
          <w:sz w:val="20"/>
          <w:szCs w:val="20"/>
          <w:lang w:val="nl-NL"/>
        </w:rPr>
        <w:t xml:space="preserve"> inspanningen </w:t>
      </w:r>
      <w:r w:rsidR="000C36F3">
        <w:rPr>
          <w:sz w:val="20"/>
          <w:szCs w:val="20"/>
          <w:lang w:val="nl-NL"/>
        </w:rPr>
        <w:t xml:space="preserve">te </w:t>
      </w:r>
      <w:r w:rsidR="005B3BC6">
        <w:rPr>
          <w:sz w:val="20"/>
          <w:szCs w:val="20"/>
          <w:lang w:val="nl-NL"/>
        </w:rPr>
        <w:t>blijven aanmoedigen om een wederzijdse politieke oplossing te bereiken om de eenheid, soevereiniteit en territoriale integriteit van Syrië te bewaren, als ook het multi-etnische en multireligieuze karakter van Syrië.</w:t>
      </w:r>
      <w:r w:rsidR="000C36F3">
        <w:rPr>
          <w:sz w:val="20"/>
          <w:szCs w:val="20"/>
          <w:lang w:val="nl-NL"/>
        </w:rPr>
        <w:t xml:space="preserve"> Een duurzame oplossing voor het conflict zou enkel bereikt kunnen door een door Syriërs geleid politiek proces dat leidt tot een transitie. </w:t>
      </w:r>
      <w:r w:rsidR="005A5EB8">
        <w:rPr>
          <w:sz w:val="20"/>
          <w:szCs w:val="20"/>
          <w:lang w:val="nl-NL"/>
        </w:rPr>
        <w:t xml:space="preserve">De EU riep alle partijen in Syrië op </w:t>
      </w:r>
      <w:r w:rsidR="00474FF7">
        <w:rPr>
          <w:sz w:val="20"/>
          <w:szCs w:val="20"/>
          <w:lang w:val="nl-NL"/>
        </w:rPr>
        <w:t>zich</w:t>
      </w:r>
      <w:r w:rsidR="0079246E">
        <w:rPr>
          <w:sz w:val="20"/>
          <w:szCs w:val="20"/>
          <w:lang w:val="nl-NL"/>
        </w:rPr>
        <w:t xml:space="preserve"> </w:t>
      </w:r>
      <w:r w:rsidR="00474FF7">
        <w:rPr>
          <w:sz w:val="20"/>
          <w:szCs w:val="20"/>
          <w:lang w:val="nl-NL"/>
        </w:rPr>
        <w:t xml:space="preserve">duidelijk </w:t>
      </w:r>
      <w:r w:rsidR="005A5EB8">
        <w:rPr>
          <w:sz w:val="20"/>
          <w:szCs w:val="20"/>
          <w:lang w:val="nl-NL"/>
        </w:rPr>
        <w:t xml:space="preserve">en </w:t>
      </w:r>
      <w:r w:rsidR="00474FF7">
        <w:rPr>
          <w:sz w:val="20"/>
          <w:szCs w:val="20"/>
          <w:lang w:val="nl-NL"/>
        </w:rPr>
        <w:t xml:space="preserve">in </w:t>
      </w:r>
      <w:r w:rsidR="005A5EB8">
        <w:rPr>
          <w:sz w:val="20"/>
          <w:szCs w:val="20"/>
          <w:lang w:val="nl-NL"/>
        </w:rPr>
        <w:t xml:space="preserve">concrete </w:t>
      </w:r>
      <w:r w:rsidR="00474FF7">
        <w:rPr>
          <w:sz w:val="20"/>
          <w:szCs w:val="20"/>
          <w:lang w:val="nl-NL"/>
        </w:rPr>
        <w:t>termen</w:t>
      </w:r>
      <w:r w:rsidR="005A5EB8">
        <w:rPr>
          <w:sz w:val="20"/>
          <w:szCs w:val="20"/>
          <w:lang w:val="nl-NL"/>
        </w:rPr>
        <w:t xml:space="preserve"> aan dit proces te </w:t>
      </w:r>
      <w:r w:rsidR="00474FF7">
        <w:rPr>
          <w:sz w:val="20"/>
          <w:szCs w:val="20"/>
          <w:lang w:val="nl-NL"/>
        </w:rPr>
        <w:t>verbinden</w:t>
      </w:r>
      <w:r w:rsidR="005A5EB8">
        <w:rPr>
          <w:sz w:val="20"/>
          <w:szCs w:val="20"/>
          <w:lang w:val="nl-NL"/>
        </w:rPr>
        <w:t xml:space="preserve"> en de betrokkenheid van het maatschappelijk middenveld en vrouwen daarin te garanderen. De EU is bereid met alle regionale en internationale actoren</w:t>
      </w:r>
      <w:r w:rsidR="00212F36">
        <w:rPr>
          <w:sz w:val="20"/>
          <w:szCs w:val="20"/>
          <w:lang w:val="nl-NL"/>
        </w:rPr>
        <w:t xml:space="preserve"> </w:t>
      </w:r>
      <w:r w:rsidR="005A5EB8">
        <w:rPr>
          <w:sz w:val="20"/>
          <w:szCs w:val="20"/>
          <w:lang w:val="nl-NL"/>
        </w:rPr>
        <w:t>te engageren die invloed hebben op de partijen in Syrië</w:t>
      </w:r>
      <w:r w:rsidR="00212F36">
        <w:rPr>
          <w:sz w:val="20"/>
          <w:szCs w:val="20"/>
          <w:lang w:val="nl-NL"/>
        </w:rPr>
        <w:t>,</w:t>
      </w:r>
      <w:r w:rsidR="005A5EB8">
        <w:rPr>
          <w:sz w:val="20"/>
          <w:szCs w:val="20"/>
          <w:lang w:val="nl-NL"/>
        </w:rPr>
        <w:t xml:space="preserve"> </w:t>
      </w:r>
      <w:r w:rsidR="00212F36">
        <w:rPr>
          <w:sz w:val="20"/>
          <w:szCs w:val="20"/>
          <w:lang w:val="nl-NL"/>
        </w:rPr>
        <w:t xml:space="preserve">waaronder Iran, </w:t>
      </w:r>
      <w:r w:rsidR="00621E88">
        <w:rPr>
          <w:sz w:val="20"/>
          <w:szCs w:val="20"/>
          <w:lang w:val="nl-NL"/>
        </w:rPr>
        <w:t xml:space="preserve">Turkije, </w:t>
      </w:r>
      <w:r w:rsidR="00212F36">
        <w:rPr>
          <w:sz w:val="20"/>
          <w:szCs w:val="20"/>
          <w:lang w:val="nl-NL"/>
        </w:rPr>
        <w:t xml:space="preserve">RF en de Golfstaten, </w:t>
      </w:r>
      <w:r w:rsidR="005A5EB8">
        <w:rPr>
          <w:sz w:val="20"/>
          <w:szCs w:val="20"/>
          <w:lang w:val="nl-NL"/>
        </w:rPr>
        <w:t>e</w:t>
      </w:r>
      <w:r w:rsidR="00390468">
        <w:rPr>
          <w:sz w:val="20"/>
          <w:szCs w:val="20"/>
          <w:lang w:val="nl-NL"/>
        </w:rPr>
        <w:t>n riep</w:t>
      </w:r>
      <w:r w:rsidR="005A5EB8">
        <w:rPr>
          <w:sz w:val="20"/>
          <w:szCs w:val="20"/>
          <w:lang w:val="nl-NL"/>
        </w:rPr>
        <w:t xml:space="preserve"> hen ook op hun invloed constructief in te zetten.</w:t>
      </w:r>
    </w:p>
    <w:p w:rsidR="00310842" w:rsidP="00DD4AD3" w:rsidRDefault="00310842" w14:paraId="6BCA386F" w14:textId="77777777">
      <w:pPr>
        <w:rPr>
          <w:sz w:val="20"/>
          <w:szCs w:val="20"/>
          <w:lang w:val="nl-NL"/>
        </w:rPr>
      </w:pPr>
    </w:p>
    <w:p w:rsidR="00310842" w:rsidP="00DD4AD3" w:rsidRDefault="00310842" w14:paraId="02C0D8D8" w14:textId="12438D7C">
      <w:pPr>
        <w:rPr>
          <w:sz w:val="20"/>
          <w:szCs w:val="20"/>
          <w:lang w:val="nl-NL"/>
        </w:rPr>
      </w:pPr>
      <w:r>
        <w:rPr>
          <w:sz w:val="20"/>
          <w:szCs w:val="20"/>
          <w:lang w:val="nl-NL"/>
        </w:rPr>
        <w:t>Vermindering van geweld zal niet worden bereikt zonder effectieve monitoring, bij voorkeur verankerd in de VN-Veiligheidsraad. De EU gaf aan manieren te zoeken om praktische steun te verlenen aan</w:t>
      </w:r>
      <w:r w:rsidR="00710E6B">
        <w:rPr>
          <w:sz w:val="20"/>
          <w:szCs w:val="20"/>
          <w:lang w:val="nl-NL"/>
        </w:rPr>
        <w:t xml:space="preserve"> de inspanningen van De Mistura, met name door bij te dragen aan herstel van </w:t>
      </w:r>
      <w:r w:rsidR="00F05BFC">
        <w:rPr>
          <w:sz w:val="20"/>
          <w:szCs w:val="20"/>
          <w:lang w:val="nl-NL"/>
        </w:rPr>
        <w:t>lokaal bestuur, basisvoorzieningen en de terugkeer van de normale toestand in de gebieden met minder geweld</w:t>
      </w:r>
      <w:r w:rsidR="00591E25">
        <w:rPr>
          <w:sz w:val="20"/>
          <w:szCs w:val="20"/>
          <w:lang w:val="nl-NL"/>
        </w:rPr>
        <w:t xml:space="preserve">, </w:t>
      </w:r>
      <w:r w:rsidR="00F05BFC">
        <w:rPr>
          <w:sz w:val="20"/>
          <w:szCs w:val="20"/>
          <w:lang w:val="nl-NL"/>
        </w:rPr>
        <w:t>als omstandigheden dat toestaan.</w:t>
      </w:r>
      <w:r w:rsidR="005A5EB8">
        <w:rPr>
          <w:sz w:val="20"/>
          <w:szCs w:val="20"/>
          <w:lang w:val="nl-NL"/>
        </w:rPr>
        <w:t xml:space="preserve"> </w:t>
      </w:r>
    </w:p>
    <w:p w:rsidR="00F05BFC" w:rsidP="00DD4AD3" w:rsidRDefault="00F05BFC" w14:paraId="1659DC5F" w14:textId="77777777">
      <w:pPr>
        <w:rPr>
          <w:sz w:val="20"/>
          <w:szCs w:val="20"/>
          <w:lang w:val="nl-NL"/>
        </w:rPr>
      </w:pPr>
    </w:p>
    <w:p w:rsidR="005A5EB8" w:rsidP="002A6646" w:rsidRDefault="00EA7F0C" w14:paraId="23ACA774" w14:textId="274F36B6">
      <w:pPr>
        <w:rPr>
          <w:sz w:val="20"/>
          <w:szCs w:val="20"/>
          <w:lang w:val="nl-NL"/>
        </w:rPr>
      </w:pPr>
      <w:r>
        <w:rPr>
          <w:sz w:val="20"/>
          <w:szCs w:val="20"/>
          <w:lang w:val="nl-NL"/>
        </w:rPr>
        <w:t xml:space="preserve">De </w:t>
      </w:r>
      <w:r w:rsidR="00D15644">
        <w:rPr>
          <w:sz w:val="20"/>
          <w:szCs w:val="20"/>
          <w:lang w:val="nl-NL"/>
        </w:rPr>
        <w:t>Raad</w:t>
      </w:r>
      <w:r>
        <w:rPr>
          <w:sz w:val="20"/>
          <w:szCs w:val="20"/>
          <w:lang w:val="nl-NL"/>
        </w:rPr>
        <w:t xml:space="preserve"> herhaalde dat de gematigde oppositie, waaronder de Syrische Oppositie Coalitie, een essentie</w:t>
      </w:r>
      <w:r w:rsidR="00C575BA">
        <w:rPr>
          <w:sz w:val="20"/>
          <w:szCs w:val="20"/>
          <w:lang w:val="nl-NL"/>
        </w:rPr>
        <w:t>el onderdeel is van een toekomstig</w:t>
      </w:r>
      <w:r>
        <w:rPr>
          <w:sz w:val="20"/>
          <w:szCs w:val="20"/>
          <w:lang w:val="nl-NL"/>
        </w:rPr>
        <w:t xml:space="preserve"> politiek </w:t>
      </w:r>
      <w:r w:rsidR="00C575BA">
        <w:rPr>
          <w:sz w:val="20"/>
          <w:szCs w:val="20"/>
          <w:lang w:val="nl-NL"/>
        </w:rPr>
        <w:t xml:space="preserve">akkoord </w:t>
      </w:r>
      <w:r>
        <w:rPr>
          <w:sz w:val="20"/>
          <w:szCs w:val="20"/>
          <w:lang w:val="nl-NL"/>
        </w:rPr>
        <w:t>en in de strijd tegen extremistische groeperingen in Syrië.</w:t>
      </w:r>
      <w:r w:rsidR="009B6B36">
        <w:rPr>
          <w:sz w:val="20"/>
          <w:szCs w:val="20"/>
          <w:lang w:val="nl-NL"/>
        </w:rPr>
        <w:t xml:space="preserve"> De EU gaf aan manieren te zoeken om zijn politieke en praktische steun aan de gematigde oppositie te vergroten, inclusief in gebieden</w:t>
      </w:r>
      <w:r w:rsidR="002A6646">
        <w:rPr>
          <w:sz w:val="20"/>
          <w:szCs w:val="20"/>
          <w:lang w:val="nl-NL"/>
        </w:rPr>
        <w:t>, zoals Aleppo,</w:t>
      </w:r>
      <w:r w:rsidR="009B6B36">
        <w:rPr>
          <w:sz w:val="20"/>
          <w:szCs w:val="20"/>
          <w:lang w:val="nl-NL"/>
        </w:rPr>
        <w:t xml:space="preserve"> die </w:t>
      </w:r>
      <w:r w:rsidR="002A6646">
        <w:rPr>
          <w:sz w:val="20"/>
          <w:szCs w:val="20"/>
          <w:lang w:val="nl-NL"/>
        </w:rPr>
        <w:t>in handen van de oppositie zijn</w:t>
      </w:r>
      <w:r w:rsidR="009B6B36">
        <w:rPr>
          <w:sz w:val="20"/>
          <w:szCs w:val="20"/>
          <w:lang w:val="nl-NL"/>
        </w:rPr>
        <w:t xml:space="preserve">. </w:t>
      </w:r>
    </w:p>
    <w:p w:rsidR="009B6B36" w:rsidP="00DD4AD3" w:rsidRDefault="009B6B36" w14:paraId="16511FBE" w14:textId="77777777">
      <w:pPr>
        <w:rPr>
          <w:sz w:val="20"/>
          <w:szCs w:val="20"/>
          <w:lang w:val="nl-NL"/>
        </w:rPr>
      </w:pPr>
    </w:p>
    <w:p w:rsidR="009B6B36" w:rsidP="002A6646" w:rsidRDefault="009B6B36" w14:paraId="75F795A1" w14:textId="74FEA5FD">
      <w:pPr>
        <w:rPr>
          <w:sz w:val="20"/>
          <w:szCs w:val="20"/>
          <w:lang w:val="nl-NL"/>
        </w:rPr>
      </w:pPr>
      <w:r>
        <w:rPr>
          <w:sz w:val="20"/>
          <w:szCs w:val="20"/>
          <w:lang w:val="nl-NL"/>
        </w:rPr>
        <w:t xml:space="preserve">De </w:t>
      </w:r>
      <w:r w:rsidR="00D15644">
        <w:rPr>
          <w:sz w:val="20"/>
          <w:szCs w:val="20"/>
          <w:lang w:val="nl-NL"/>
        </w:rPr>
        <w:t>ministers</w:t>
      </w:r>
      <w:r>
        <w:rPr>
          <w:sz w:val="20"/>
          <w:szCs w:val="20"/>
          <w:lang w:val="nl-NL"/>
        </w:rPr>
        <w:t xml:space="preserve"> stond</w:t>
      </w:r>
      <w:r w:rsidR="00D15644">
        <w:rPr>
          <w:sz w:val="20"/>
          <w:szCs w:val="20"/>
          <w:lang w:val="nl-NL"/>
        </w:rPr>
        <w:t>en</w:t>
      </w:r>
      <w:r>
        <w:rPr>
          <w:sz w:val="20"/>
          <w:szCs w:val="20"/>
          <w:lang w:val="nl-NL"/>
        </w:rPr>
        <w:t xml:space="preserve"> stil bij de voortdurende</w:t>
      </w:r>
      <w:r w:rsidR="00C575BA">
        <w:rPr>
          <w:sz w:val="20"/>
          <w:szCs w:val="20"/>
          <w:lang w:val="nl-NL"/>
        </w:rPr>
        <w:t>,</w:t>
      </w:r>
      <w:r>
        <w:rPr>
          <w:sz w:val="20"/>
          <w:szCs w:val="20"/>
          <w:lang w:val="nl-NL"/>
        </w:rPr>
        <w:t xml:space="preserve"> wijdverspreide en systematische schendingen van mensenrechten en internationaal humanitair recht </w:t>
      </w:r>
      <w:r w:rsidR="00412D5A">
        <w:rPr>
          <w:sz w:val="20"/>
          <w:szCs w:val="20"/>
          <w:lang w:val="nl-NL"/>
        </w:rPr>
        <w:t xml:space="preserve">in Syrië, in het bijzonder </w:t>
      </w:r>
      <w:r w:rsidR="002A6646">
        <w:rPr>
          <w:sz w:val="20"/>
          <w:szCs w:val="20"/>
          <w:lang w:val="nl-NL"/>
        </w:rPr>
        <w:t xml:space="preserve">begaan </w:t>
      </w:r>
      <w:r w:rsidR="00412D5A">
        <w:rPr>
          <w:sz w:val="20"/>
          <w:szCs w:val="20"/>
          <w:lang w:val="nl-NL"/>
        </w:rPr>
        <w:t>door het Assad</w:t>
      </w:r>
      <w:r w:rsidR="002A6646">
        <w:rPr>
          <w:sz w:val="20"/>
          <w:szCs w:val="20"/>
          <w:lang w:val="nl-NL"/>
        </w:rPr>
        <w:t>-</w:t>
      </w:r>
      <w:r w:rsidR="00412D5A">
        <w:rPr>
          <w:sz w:val="20"/>
          <w:szCs w:val="20"/>
          <w:lang w:val="nl-NL"/>
        </w:rPr>
        <w:t>regime en terroristische groeperingen, en veroordeelde deze.</w:t>
      </w:r>
      <w:r w:rsidR="0099482F">
        <w:rPr>
          <w:sz w:val="20"/>
          <w:szCs w:val="20"/>
          <w:lang w:val="nl-NL"/>
        </w:rPr>
        <w:t xml:space="preserve"> Daarbij </w:t>
      </w:r>
      <w:r w:rsidR="002A6646">
        <w:rPr>
          <w:sz w:val="20"/>
          <w:szCs w:val="20"/>
          <w:lang w:val="nl-NL"/>
        </w:rPr>
        <w:t xml:space="preserve">uitte </w:t>
      </w:r>
      <w:r w:rsidR="0099482F">
        <w:rPr>
          <w:sz w:val="20"/>
          <w:szCs w:val="20"/>
          <w:lang w:val="nl-NL"/>
        </w:rPr>
        <w:t xml:space="preserve">de Raad zijn zorgen over </w:t>
      </w:r>
      <w:r w:rsidR="00C575BA">
        <w:rPr>
          <w:sz w:val="20"/>
          <w:szCs w:val="20"/>
          <w:lang w:val="nl-NL"/>
        </w:rPr>
        <w:t xml:space="preserve">de </w:t>
      </w:r>
      <w:r w:rsidR="0099482F">
        <w:rPr>
          <w:sz w:val="20"/>
          <w:szCs w:val="20"/>
          <w:lang w:val="nl-NL"/>
        </w:rPr>
        <w:t>gedwongen verdwijningen en riep hij op tot onmiddellijke vrijlating van de slachtoffers. De EU gaf aan geen moeite te sparen om alle pleg</w:t>
      </w:r>
      <w:r w:rsidR="00C575BA">
        <w:rPr>
          <w:sz w:val="20"/>
          <w:szCs w:val="20"/>
          <w:lang w:val="nl-NL"/>
        </w:rPr>
        <w:t xml:space="preserve">ers van zulke schendingen </w:t>
      </w:r>
      <w:r w:rsidR="0099482F">
        <w:rPr>
          <w:sz w:val="20"/>
          <w:szCs w:val="20"/>
          <w:lang w:val="nl-NL"/>
        </w:rPr>
        <w:t>verantwoordelijk te houden voor h</w:t>
      </w:r>
      <w:r w:rsidR="007D64F1">
        <w:rPr>
          <w:sz w:val="20"/>
          <w:szCs w:val="20"/>
          <w:lang w:val="nl-NL"/>
        </w:rPr>
        <w:t>un misdaden, die mogelijk misdaden tegen de mens</w:t>
      </w:r>
      <w:r w:rsidR="002A6646">
        <w:rPr>
          <w:sz w:val="20"/>
          <w:szCs w:val="20"/>
          <w:lang w:val="nl-NL"/>
        </w:rPr>
        <w:t>elijk</w:t>
      </w:r>
      <w:r w:rsidR="007D64F1">
        <w:rPr>
          <w:sz w:val="20"/>
          <w:szCs w:val="20"/>
          <w:lang w:val="nl-NL"/>
        </w:rPr>
        <w:t xml:space="preserve">heid of oorlogsmisdaden zijn. De EU herhaalde haar oproep aan de VN-Veiligheidsraad om de situatie in Syrië naar het Internationaal Strafhof </w:t>
      </w:r>
      <w:r w:rsidR="005748F2">
        <w:rPr>
          <w:sz w:val="20"/>
          <w:szCs w:val="20"/>
          <w:lang w:val="nl-NL"/>
        </w:rPr>
        <w:t xml:space="preserve">te verwijzen. De EU </w:t>
      </w:r>
      <w:r w:rsidR="002A6646">
        <w:rPr>
          <w:sz w:val="20"/>
          <w:szCs w:val="20"/>
          <w:lang w:val="nl-NL"/>
        </w:rPr>
        <w:lastRenderedPageBreak/>
        <w:t>zal ook doorgaan met haar</w:t>
      </w:r>
      <w:r w:rsidR="005748F2">
        <w:rPr>
          <w:sz w:val="20"/>
          <w:szCs w:val="20"/>
          <w:lang w:val="nl-NL"/>
        </w:rPr>
        <w:t xml:space="preserve"> beleid inzake sancties</w:t>
      </w:r>
      <w:r w:rsidR="002A6646">
        <w:rPr>
          <w:sz w:val="20"/>
          <w:szCs w:val="20"/>
          <w:lang w:val="nl-NL"/>
        </w:rPr>
        <w:t xml:space="preserve"> gericht tegen </w:t>
      </w:r>
      <w:r w:rsidR="005748F2">
        <w:rPr>
          <w:sz w:val="20"/>
          <w:szCs w:val="20"/>
          <w:lang w:val="nl-NL"/>
        </w:rPr>
        <w:t xml:space="preserve">het regime en zijn ondersteuners, zolang de repressie </w:t>
      </w:r>
      <w:r w:rsidR="002A6646">
        <w:rPr>
          <w:sz w:val="20"/>
          <w:szCs w:val="20"/>
          <w:lang w:val="nl-NL"/>
        </w:rPr>
        <w:t>aanhoudt</w:t>
      </w:r>
      <w:r w:rsidR="005748F2">
        <w:rPr>
          <w:sz w:val="20"/>
          <w:szCs w:val="20"/>
          <w:lang w:val="nl-NL"/>
        </w:rPr>
        <w:t>.</w:t>
      </w:r>
    </w:p>
    <w:p w:rsidR="005748F2" w:rsidP="00DD4AD3" w:rsidRDefault="005748F2" w14:paraId="14897CDC" w14:textId="77777777">
      <w:pPr>
        <w:rPr>
          <w:sz w:val="20"/>
          <w:szCs w:val="20"/>
          <w:lang w:val="nl-NL"/>
        </w:rPr>
      </w:pPr>
    </w:p>
    <w:p w:rsidR="00730F87" w:rsidP="002A6646" w:rsidRDefault="009B4735" w14:paraId="4E379455" w14:textId="5D46D44D">
      <w:pPr>
        <w:rPr>
          <w:sz w:val="20"/>
          <w:szCs w:val="20"/>
          <w:lang w:val="nl-NL"/>
        </w:rPr>
      </w:pPr>
      <w:r>
        <w:rPr>
          <w:sz w:val="20"/>
          <w:szCs w:val="20"/>
          <w:lang w:val="nl-NL"/>
        </w:rPr>
        <w:t>Ook maande</w:t>
      </w:r>
      <w:r w:rsidR="00D15644">
        <w:rPr>
          <w:sz w:val="20"/>
          <w:szCs w:val="20"/>
          <w:lang w:val="nl-NL"/>
        </w:rPr>
        <w:t>n</w:t>
      </w:r>
      <w:r>
        <w:rPr>
          <w:sz w:val="20"/>
          <w:szCs w:val="20"/>
          <w:lang w:val="nl-NL"/>
        </w:rPr>
        <w:t xml:space="preserve"> de </w:t>
      </w:r>
      <w:r w:rsidR="00D15644">
        <w:rPr>
          <w:sz w:val="20"/>
          <w:szCs w:val="20"/>
          <w:lang w:val="nl-NL"/>
        </w:rPr>
        <w:t>ministers</w:t>
      </w:r>
      <w:r>
        <w:rPr>
          <w:sz w:val="20"/>
          <w:szCs w:val="20"/>
          <w:lang w:val="nl-NL"/>
        </w:rPr>
        <w:t xml:space="preserve"> het Assad</w:t>
      </w:r>
      <w:r w:rsidR="002A6646">
        <w:rPr>
          <w:sz w:val="20"/>
          <w:szCs w:val="20"/>
          <w:lang w:val="nl-NL"/>
        </w:rPr>
        <w:t>-</w:t>
      </w:r>
      <w:r>
        <w:rPr>
          <w:sz w:val="20"/>
          <w:szCs w:val="20"/>
          <w:lang w:val="nl-NL"/>
        </w:rPr>
        <w:t xml:space="preserve">regime om VN-Veiligheidsraadresolutie 2118 en de Chemische Wapens Conventie volledig te implementeren en de nodige maatregelen te nemen om </w:t>
      </w:r>
      <w:r w:rsidR="002A6646">
        <w:rPr>
          <w:sz w:val="20"/>
          <w:szCs w:val="20"/>
          <w:lang w:val="nl-NL"/>
        </w:rPr>
        <w:t xml:space="preserve">het </w:t>
      </w:r>
      <w:r>
        <w:rPr>
          <w:sz w:val="20"/>
          <w:szCs w:val="20"/>
          <w:lang w:val="nl-NL"/>
        </w:rPr>
        <w:t xml:space="preserve">chemische wapenprogramma volledig en onomkeerbaar </w:t>
      </w:r>
      <w:r w:rsidR="00D0114D">
        <w:rPr>
          <w:sz w:val="20"/>
          <w:szCs w:val="20"/>
          <w:lang w:val="nl-NL"/>
        </w:rPr>
        <w:t>t</w:t>
      </w:r>
      <w:r w:rsidR="001963D2">
        <w:rPr>
          <w:sz w:val="20"/>
          <w:szCs w:val="20"/>
          <w:lang w:val="nl-NL"/>
        </w:rPr>
        <w:t xml:space="preserve">e ontmantelen en verwijderen. </w:t>
      </w:r>
      <w:r w:rsidR="00896079">
        <w:rPr>
          <w:sz w:val="20"/>
          <w:szCs w:val="20"/>
          <w:lang w:val="nl-NL"/>
        </w:rPr>
        <w:t xml:space="preserve">De EU </w:t>
      </w:r>
      <w:r w:rsidR="003D50BE">
        <w:rPr>
          <w:sz w:val="20"/>
          <w:szCs w:val="20"/>
          <w:lang w:val="nl-NL"/>
        </w:rPr>
        <w:t>maakt zich ernstige zorgen over de discrepanties in de declaratie van het Assad</w:t>
      </w:r>
      <w:r w:rsidR="002A6646">
        <w:rPr>
          <w:sz w:val="20"/>
          <w:szCs w:val="20"/>
          <w:lang w:val="nl-NL"/>
        </w:rPr>
        <w:t>-</w:t>
      </w:r>
      <w:r w:rsidR="003D50BE">
        <w:rPr>
          <w:sz w:val="20"/>
          <w:szCs w:val="20"/>
          <w:lang w:val="nl-NL"/>
        </w:rPr>
        <w:t>regime</w:t>
      </w:r>
      <w:r w:rsidR="00896079">
        <w:rPr>
          <w:sz w:val="20"/>
          <w:szCs w:val="20"/>
          <w:lang w:val="nl-NL"/>
        </w:rPr>
        <w:t xml:space="preserve"> </w:t>
      </w:r>
      <w:r w:rsidR="003D50BE">
        <w:rPr>
          <w:sz w:val="20"/>
          <w:szCs w:val="20"/>
          <w:lang w:val="nl-NL"/>
        </w:rPr>
        <w:t>aan de Organisatie voor het Verbod op Chemische Wapens (OPCW).</w:t>
      </w:r>
      <w:r w:rsidR="00EE1F1D">
        <w:rPr>
          <w:sz w:val="20"/>
          <w:szCs w:val="20"/>
          <w:lang w:val="nl-NL"/>
        </w:rPr>
        <w:t xml:space="preserve"> De EU veroordeelde ook het gebruik van het chloorgas als een chemisch wapen door het Assad</w:t>
      </w:r>
      <w:r w:rsidR="002A6646">
        <w:rPr>
          <w:sz w:val="20"/>
          <w:szCs w:val="20"/>
          <w:lang w:val="nl-NL"/>
        </w:rPr>
        <w:t>-</w:t>
      </w:r>
      <w:r w:rsidR="00EE1F1D">
        <w:rPr>
          <w:sz w:val="20"/>
          <w:szCs w:val="20"/>
          <w:lang w:val="nl-NL"/>
        </w:rPr>
        <w:t xml:space="preserve"> regime en zal de onderzoeken </w:t>
      </w:r>
      <w:r w:rsidR="00C575BA">
        <w:rPr>
          <w:sz w:val="20"/>
          <w:szCs w:val="20"/>
          <w:lang w:val="nl-NL"/>
        </w:rPr>
        <w:t xml:space="preserve">hiernaar </w:t>
      </w:r>
      <w:r w:rsidR="002A6646">
        <w:rPr>
          <w:sz w:val="20"/>
          <w:szCs w:val="20"/>
          <w:lang w:val="nl-NL"/>
        </w:rPr>
        <w:t xml:space="preserve">door </w:t>
      </w:r>
      <w:r w:rsidR="00EE1F1D">
        <w:rPr>
          <w:sz w:val="20"/>
          <w:szCs w:val="20"/>
          <w:lang w:val="nl-NL"/>
        </w:rPr>
        <w:t>de Fact Finding missie van het OPCW blijven steunen. Daarbij gaf de EU aan dat het de primaire verantwoordelijkheid is van het Assad</w:t>
      </w:r>
      <w:r w:rsidR="002A6646">
        <w:rPr>
          <w:sz w:val="20"/>
          <w:szCs w:val="20"/>
          <w:lang w:val="nl-NL"/>
        </w:rPr>
        <w:t>-</w:t>
      </w:r>
      <w:r w:rsidR="00EE1F1D">
        <w:rPr>
          <w:sz w:val="20"/>
          <w:szCs w:val="20"/>
          <w:lang w:val="nl-NL"/>
        </w:rPr>
        <w:t xml:space="preserve"> regime om de kosten gerelateerd aan de verificatie en vernietiging van </w:t>
      </w:r>
      <w:r w:rsidR="002A6646">
        <w:rPr>
          <w:sz w:val="20"/>
          <w:szCs w:val="20"/>
          <w:lang w:val="nl-NL"/>
        </w:rPr>
        <w:t xml:space="preserve">het </w:t>
      </w:r>
      <w:r w:rsidR="00EE1F1D">
        <w:rPr>
          <w:sz w:val="20"/>
          <w:szCs w:val="20"/>
          <w:lang w:val="nl-NL"/>
        </w:rPr>
        <w:t>chemische wapenprogramma te dragen.</w:t>
      </w:r>
    </w:p>
    <w:p w:rsidR="00730F87" w:rsidP="00DD4AD3" w:rsidRDefault="00730F87" w14:paraId="7C3DE263" w14:textId="77777777">
      <w:pPr>
        <w:rPr>
          <w:sz w:val="20"/>
          <w:szCs w:val="20"/>
          <w:lang w:val="nl-NL"/>
        </w:rPr>
      </w:pPr>
    </w:p>
    <w:p w:rsidR="00692587" w:rsidP="002A6646" w:rsidRDefault="00B06EEA" w14:paraId="573BF1D8" w14:textId="6DB00DCC">
      <w:pPr>
        <w:rPr>
          <w:sz w:val="20"/>
          <w:szCs w:val="20"/>
          <w:lang w:val="nl-NL"/>
        </w:rPr>
      </w:pPr>
      <w:r>
        <w:rPr>
          <w:sz w:val="20"/>
          <w:szCs w:val="20"/>
          <w:lang w:val="nl-NL"/>
        </w:rPr>
        <w:t xml:space="preserve">De </w:t>
      </w:r>
      <w:r w:rsidR="00D15644">
        <w:rPr>
          <w:sz w:val="20"/>
          <w:szCs w:val="20"/>
          <w:lang w:val="nl-NL"/>
        </w:rPr>
        <w:t>Raad</w:t>
      </w:r>
      <w:r>
        <w:rPr>
          <w:sz w:val="20"/>
          <w:szCs w:val="20"/>
          <w:lang w:val="nl-NL"/>
        </w:rPr>
        <w:t xml:space="preserve"> spoorde alle partijen aan om internationaal humanitair recht na te leven ten aanzien van bescherming </w:t>
      </w:r>
      <w:r w:rsidR="00D15644">
        <w:rPr>
          <w:sz w:val="20"/>
          <w:szCs w:val="20"/>
          <w:lang w:val="nl-NL"/>
        </w:rPr>
        <w:t xml:space="preserve">van burgers </w:t>
      </w:r>
      <w:r>
        <w:rPr>
          <w:sz w:val="20"/>
          <w:szCs w:val="20"/>
          <w:lang w:val="nl-NL"/>
        </w:rPr>
        <w:t xml:space="preserve">en de toegang </w:t>
      </w:r>
      <w:r w:rsidR="00D15644">
        <w:rPr>
          <w:sz w:val="20"/>
          <w:szCs w:val="20"/>
          <w:lang w:val="nl-NL"/>
        </w:rPr>
        <w:t>tot</w:t>
      </w:r>
      <w:r>
        <w:rPr>
          <w:sz w:val="20"/>
          <w:szCs w:val="20"/>
          <w:lang w:val="nl-NL"/>
        </w:rPr>
        <w:t xml:space="preserve"> humanitaire hulp. De EU veroordeelde daarbij de voortdurende belemmeringen</w:t>
      </w:r>
      <w:r w:rsidR="00637014">
        <w:rPr>
          <w:sz w:val="20"/>
          <w:szCs w:val="20"/>
          <w:lang w:val="nl-NL"/>
        </w:rPr>
        <w:t xml:space="preserve"> van de levering van hulp, waarvoor het Assad</w:t>
      </w:r>
      <w:r w:rsidR="002A6646">
        <w:rPr>
          <w:sz w:val="20"/>
          <w:szCs w:val="20"/>
          <w:lang w:val="nl-NL"/>
        </w:rPr>
        <w:t>-</w:t>
      </w:r>
      <w:r w:rsidR="00637014">
        <w:rPr>
          <w:sz w:val="20"/>
          <w:szCs w:val="20"/>
          <w:lang w:val="nl-NL"/>
        </w:rPr>
        <w:t>regime primair verantwoordelijk is. De EU steun</w:t>
      </w:r>
      <w:r w:rsidR="00C575BA">
        <w:rPr>
          <w:sz w:val="20"/>
          <w:szCs w:val="20"/>
          <w:lang w:val="nl-NL"/>
        </w:rPr>
        <w:t>de</w:t>
      </w:r>
      <w:r w:rsidR="00637014">
        <w:rPr>
          <w:sz w:val="20"/>
          <w:szCs w:val="20"/>
          <w:lang w:val="nl-NL"/>
        </w:rPr>
        <w:t xml:space="preserve"> de verlen</w:t>
      </w:r>
      <w:r w:rsidR="00625B0E">
        <w:rPr>
          <w:sz w:val="20"/>
          <w:szCs w:val="20"/>
          <w:lang w:val="nl-NL"/>
        </w:rPr>
        <w:t>g</w:t>
      </w:r>
      <w:r w:rsidR="00637014">
        <w:rPr>
          <w:sz w:val="20"/>
          <w:szCs w:val="20"/>
          <w:lang w:val="nl-NL"/>
        </w:rPr>
        <w:t>ing van VN-Veiligheidsraadresolutie 2165 (2014) om effectieve grensoverschrijdende en linie</w:t>
      </w:r>
      <w:r w:rsidR="00C575BA">
        <w:rPr>
          <w:sz w:val="20"/>
          <w:szCs w:val="20"/>
          <w:lang w:val="nl-NL"/>
        </w:rPr>
        <w:t>-overschrij</w:t>
      </w:r>
      <w:r w:rsidR="00C66958">
        <w:rPr>
          <w:sz w:val="20"/>
          <w:szCs w:val="20"/>
          <w:lang w:val="nl-NL"/>
        </w:rPr>
        <w:t>d</w:t>
      </w:r>
      <w:r w:rsidR="00C575BA">
        <w:rPr>
          <w:sz w:val="20"/>
          <w:szCs w:val="20"/>
          <w:lang w:val="nl-NL"/>
        </w:rPr>
        <w:t>ende</w:t>
      </w:r>
      <w:r w:rsidR="00637014">
        <w:rPr>
          <w:sz w:val="20"/>
          <w:szCs w:val="20"/>
          <w:lang w:val="nl-NL"/>
        </w:rPr>
        <w:t xml:space="preserve"> hulp te kunnen bieden en toegang tot kwetsbare personen te garanderen. </w:t>
      </w:r>
    </w:p>
    <w:p w:rsidR="00692587" w:rsidP="00DD4AD3" w:rsidRDefault="00692587" w14:paraId="4510CE25" w14:textId="77777777">
      <w:pPr>
        <w:rPr>
          <w:sz w:val="20"/>
          <w:szCs w:val="20"/>
          <w:lang w:val="nl-NL"/>
        </w:rPr>
      </w:pPr>
    </w:p>
    <w:p w:rsidR="005748F2" w:rsidP="002A6646" w:rsidRDefault="00692587" w14:paraId="2F480BEF" w14:textId="44C199EC">
      <w:pPr>
        <w:rPr>
          <w:sz w:val="20"/>
          <w:szCs w:val="20"/>
          <w:lang w:val="nl-NL"/>
        </w:rPr>
      </w:pPr>
      <w:r>
        <w:rPr>
          <w:sz w:val="20"/>
          <w:szCs w:val="20"/>
          <w:lang w:val="nl-NL"/>
        </w:rPr>
        <w:t xml:space="preserve">De EU en </w:t>
      </w:r>
      <w:r w:rsidR="00D15644">
        <w:rPr>
          <w:sz w:val="20"/>
          <w:szCs w:val="20"/>
          <w:lang w:val="nl-NL"/>
        </w:rPr>
        <w:t>de</w:t>
      </w:r>
      <w:r>
        <w:rPr>
          <w:sz w:val="20"/>
          <w:szCs w:val="20"/>
          <w:lang w:val="nl-NL"/>
        </w:rPr>
        <w:t xml:space="preserve"> lidstaten spelen een leidende rol in </w:t>
      </w:r>
      <w:r w:rsidR="002A6646">
        <w:rPr>
          <w:sz w:val="20"/>
          <w:szCs w:val="20"/>
          <w:lang w:val="nl-NL"/>
        </w:rPr>
        <w:t xml:space="preserve">het leveren </w:t>
      </w:r>
      <w:r>
        <w:rPr>
          <w:sz w:val="20"/>
          <w:szCs w:val="20"/>
          <w:lang w:val="nl-NL"/>
        </w:rPr>
        <w:t>van humanitaire hulp in de</w:t>
      </w:r>
      <w:r w:rsidR="002A6646">
        <w:rPr>
          <w:sz w:val="20"/>
          <w:szCs w:val="20"/>
          <w:lang w:val="nl-NL"/>
        </w:rPr>
        <w:t>ze</w:t>
      </w:r>
      <w:r>
        <w:rPr>
          <w:sz w:val="20"/>
          <w:szCs w:val="20"/>
          <w:lang w:val="nl-NL"/>
        </w:rPr>
        <w:t xml:space="preserve"> crisis. Tot nu toe hebben zij 3 miljard euro gemobiliseerd voor hulp en wederopbouw in Syrië en de buurlanden, waaronder in gastgemeenschappen (ten behoeve van de opvang van Syrische vluchtelingen). De EU zal doorgaan met </w:t>
      </w:r>
      <w:r w:rsidR="002A6646">
        <w:rPr>
          <w:sz w:val="20"/>
          <w:szCs w:val="20"/>
          <w:lang w:val="nl-NL"/>
        </w:rPr>
        <w:t xml:space="preserve">haar </w:t>
      </w:r>
      <w:r>
        <w:rPr>
          <w:sz w:val="20"/>
          <w:szCs w:val="20"/>
          <w:lang w:val="nl-NL"/>
        </w:rPr>
        <w:t>inspanningen</w:t>
      </w:r>
      <w:r w:rsidR="00E416B0">
        <w:rPr>
          <w:sz w:val="20"/>
          <w:szCs w:val="20"/>
          <w:lang w:val="nl-NL"/>
        </w:rPr>
        <w:t xml:space="preserve"> om</w:t>
      </w:r>
      <w:r>
        <w:rPr>
          <w:sz w:val="20"/>
          <w:szCs w:val="20"/>
          <w:lang w:val="nl-NL"/>
        </w:rPr>
        <w:t xml:space="preserve"> humanitaire hulp te verlenen. Daarbij gaf zij aan zich zorgen te maken over het grote gebrek aan </w:t>
      </w:r>
      <w:r w:rsidR="000F2484">
        <w:rPr>
          <w:sz w:val="20"/>
          <w:szCs w:val="20"/>
          <w:lang w:val="nl-NL"/>
        </w:rPr>
        <w:t xml:space="preserve">fondsen voor de VN </w:t>
      </w:r>
      <w:r w:rsidR="00D15644">
        <w:rPr>
          <w:sz w:val="20"/>
          <w:szCs w:val="20"/>
          <w:lang w:val="nl-NL"/>
        </w:rPr>
        <w:t>‘</w:t>
      </w:r>
      <w:r w:rsidR="000F2484">
        <w:rPr>
          <w:sz w:val="20"/>
          <w:szCs w:val="20"/>
          <w:lang w:val="nl-NL"/>
        </w:rPr>
        <w:t>Appeals</w:t>
      </w:r>
      <w:r w:rsidR="00D15644">
        <w:rPr>
          <w:sz w:val="20"/>
          <w:szCs w:val="20"/>
          <w:lang w:val="nl-NL"/>
        </w:rPr>
        <w:t>’</w:t>
      </w:r>
      <w:r w:rsidR="000F2484">
        <w:rPr>
          <w:sz w:val="20"/>
          <w:szCs w:val="20"/>
          <w:lang w:val="nl-NL"/>
        </w:rPr>
        <w:t xml:space="preserve"> 2014, waardoor er een tijdelijke opschorting was van hulp van het World Food Programme aan Syrische vluchtelingen. </w:t>
      </w:r>
      <w:r w:rsidR="00D15644">
        <w:rPr>
          <w:sz w:val="20"/>
          <w:szCs w:val="20"/>
          <w:lang w:val="nl-NL"/>
        </w:rPr>
        <w:t xml:space="preserve">Nederland heeft in dit verband in raadskader bepleit dat landen die geld toezeggen, dit ook werkelijk moeten overmaken. </w:t>
      </w:r>
      <w:r w:rsidR="006B3544">
        <w:rPr>
          <w:sz w:val="20"/>
          <w:szCs w:val="20"/>
          <w:lang w:val="nl-NL"/>
        </w:rPr>
        <w:t xml:space="preserve">De Raad riep de internationale gemeenschap op om de financiering en hulp te verhogen met het oog op de winter en als reactie op de aankomende </w:t>
      </w:r>
      <w:r w:rsidR="00D15644">
        <w:rPr>
          <w:sz w:val="20"/>
          <w:szCs w:val="20"/>
          <w:lang w:val="nl-NL"/>
        </w:rPr>
        <w:t>‘</w:t>
      </w:r>
      <w:r w:rsidR="006B3544">
        <w:rPr>
          <w:sz w:val="20"/>
          <w:szCs w:val="20"/>
          <w:lang w:val="nl-NL"/>
        </w:rPr>
        <w:t>Appeals</w:t>
      </w:r>
      <w:r w:rsidR="00D15644">
        <w:rPr>
          <w:sz w:val="20"/>
          <w:szCs w:val="20"/>
          <w:lang w:val="nl-NL"/>
        </w:rPr>
        <w:t>’</w:t>
      </w:r>
      <w:r w:rsidR="006B3544">
        <w:rPr>
          <w:sz w:val="20"/>
          <w:szCs w:val="20"/>
          <w:lang w:val="nl-NL"/>
        </w:rPr>
        <w:t xml:space="preserve"> van 2015.</w:t>
      </w:r>
      <w:r w:rsidR="00390F4E">
        <w:rPr>
          <w:sz w:val="20"/>
          <w:szCs w:val="20"/>
          <w:lang w:val="nl-NL"/>
        </w:rPr>
        <w:t xml:space="preserve"> De Raad verwelkomde de oprichting van het EU regionale trustfonds in reactie op de Syrische crisis.</w:t>
      </w:r>
      <w:r w:rsidR="00D15644">
        <w:rPr>
          <w:sz w:val="20"/>
          <w:szCs w:val="20"/>
          <w:lang w:val="nl-NL"/>
        </w:rPr>
        <w:t xml:space="preserve"> </w:t>
      </w:r>
    </w:p>
    <w:p w:rsidR="00390F4E" w:rsidP="00DD4AD3" w:rsidRDefault="00390F4E" w14:paraId="604A3AF4" w14:textId="77777777">
      <w:pPr>
        <w:rPr>
          <w:sz w:val="20"/>
          <w:szCs w:val="20"/>
          <w:lang w:val="nl-NL"/>
        </w:rPr>
      </w:pPr>
    </w:p>
    <w:p w:rsidR="00390F4E" w:rsidP="002A6646" w:rsidRDefault="00390F4E" w14:paraId="5F76A539" w14:textId="7A31CD97">
      <w:pPr>
        <w:rPr>
          <w:sz w:val="20"/>
          <w:szCs w:val="20"/>
          <w:lang w:val="nl-NL"/>
        </w:rPr>
      </w:pPr>
      <w:r>
        <w:rPr>
          <w:sz w:val="20"/>
          <w:szCs w:val="20"/>
          <w:lang w:val="nl-NL"/>
        </w:rPr>
        <w:t xml:space="preserve">De </w:t>
      </w:r>
      <w:r w:rsidR="00D15644">
        <w:rPr>
          <w:sz w:val="20"/>
          <w:szCs w:val="20"/>
          <w:lang w:val="nl-NL"/>
        </w:rPr>
        <w:t>Raad</w:t>
      </w:r>
      <w:r>
        <w:rPr>
          <w:sz w:val="20"/>
          <w:szCs w:val="20"/>
          <w:lang w:val="nl-NL"/>
        </w:rPr>
        <w:t xml:space="preserve"> stond stil bij de aanzienlijke inspanningen van Libanon</w:t>
      </w:r>
      <w:r w:rsidR="002A6646">
        <w:rPr>
          <w:sz w:val="20"/>
          <w:szCs w:val="20"/>
          <w:lang w:val="nl-NL"/>
        </w:rPr>
        <w:t>,</w:t>
      </w:r>
      <w:r>
        <w:rPr>
          <w:sz w:val="20"/>
          <w:szCs w:val="20"/>
          <w:lang w:val="nl-NL"/>
        </w:rPr>
        <w:t xml:space="preserve"> Jordanië</w:t>
      </w:r>
      <w:r w:rsidR="002A6646">
        <w:rPr>
          <w:sz w:val="20"/>
          <w:szCs w:val="20"/>
          <w:lang w:val="nl-NL"/>
        </w:rPr>
        <w:t xml:space="preserve"> en</w:t>
      </w:r>
      <w:r>
        <w:rPr>
          <w:sz w:val="20"/>
          <w:szCs w:val="20"/>
          <w:lang w:val="nl-NL"/>
        </w:rPr>
        <w:t xml:space="preserve"> Turkije om de vluchtelingen uit Syrië onderdak te </w:t>
      </w:r>
      <w:r w:rsidR="00E416B0">
        <w:rPr>
          <w:sz w:val="20"/>
          <w:szCs w:val="20"/>
          <w:lang w:val="nl-NL"/>
        </w:rPr>
        <w:t>bieden</w:t>
      </w:r>
      <w:r>
        <w:rPr>
          <w:sz w:val="20"/>
          <w:szCs w:val="20"/>
          <w:lang w:val="nl-NL"/>
        </w:rPr>
        <w:t>.</w:t>
      </w:r>
      <w:r w:rsidR="008045E0">
        <w:rPr>
          <w:sz w:val="20"/>
          <w:szCs w:val="20"/>
          <w:lang w:val="nl-NL"/>
        </w:rPr>
        <w:t xml:space="preserve"> Eurocommissaris Hahn </w:t>
      </w:r>
      <w:r w:rsidR="002A6646">
        <w:rPr>
          <w:sz w:val="20"/>
          <w:szCs w:val="20"/>
          <w:lang w:val="nl-NL"/>
        </w:rPr>
        <w:t xml:space="preserve">gaf tijdens de Raad aan </w:t>
      </w:r>
      <w:r w:rsidR="008045E0">
        <w:rPr>
          <w:sz w:val="20"/>
          <w:szCs w:val="20"/>
          <w:lang w:val="nl-NL"/>
        </w:rPr>
        <w:t xml:space="preserve">dat de enorme stroom aan Syrische </w:t>
      </w:r>
      <w:r w:rsidR="00A84099">
        <w:rPr>
          <w:sz w:val="20"/>
          <w:szCs w:val="20"/>
          <w:lang w:val="nl-NL"/>
        </w:rPr>
        <w:t>vluchtelingen in de buurlanden tot spanning leidde, waardoor deze hun grenzen sluiten. Hij voorspelde dat dit de druk op Europa zal vergroten.</w:t>
      </w:r>
      <w:r>
        <w:rPr>
          <w:sz w:val="20"/>
          <w:szCs w:val="20"/>
          <w:lang w:val="nl-NL"/>
        </w:rPr>
        <w:t xml:space="preserve"> </w:t>
      </w:r>
      <w:r w:rsidR="00D15644">
        <w:rPr>
          <w:sz w:val="20"/>
          <w:szCs w:val="20"/>
          <w:lang w:val="nl-NL"/>
        </w:rPr>
        <w:t xml:space="preserve">Deze zorg werd door meerdere lidstaten gedeeld. </w:t>
      </w:r>
      <w:r>
        <w:rPr>
          <w:sz w:val="20"/>
          <w:szCs w:val="20"/>
          <w:lang w:val="nl-NL"/>
        </w:rPr>
        <w:t xml:space="preserve">De EU gaf aan geen moeite te sparen om door te gaan met het verlenen van hulp aan vluchtelingen en kwetsbare gastgemeenschappen. Ook gaf de EU aan zich bewust te zijn van de immense veiligheidsuitdagingen die de crisis in Syrië vormen voor in het bijzonder Libanon en Jordanië. De EU stelde </w:t>
      </w:r>
      <w:r w:rsidR="002A6646">
        <w:rPr>
          <w:sz w:val="20"/>
          <w:szCs w:val="20"/>
          <w:lang w:val="nl-NL"/>
        </w:rPr>
        <w:t xml:space="preserve">zich te blijven verbinden aan het zoeken naar </w:t>
      </w:r>
      <w:r>
        <w:rPr>
          <w:sz w:val="20"/>
          <w:szCs w:val="20"/>
          <w:lang w:val="nl-NL"/>
        </w:rPr>
        <w:t xml:space="preserve">manieren om de steun aan deze landen te vergroten om deze uitdagingen het hoofd te kunnen blijven bieden. </w:t>
      </w:r>
    </w:p>
    <w:p w:rsidR="00481885" w:rsidP="00DD4AD3" w:rsidRDefault="00481885" w14:paraId="5BCB73A4" w14:textId="77777777">
      <w:pPr>
        <w:rPr>
          <w:b/>
          <w:sz w:val="20"/>
          <w:szCs w:val="20"/>
          <w:lang w:val="nl-NL"/>
        </w:rPr>
      </w:pPr>
    </w:p>
    <w:p w:rsidR="00BF5A67" w:rsidP="00DD4AD3" w:rsidRDefault="00BF5A67" w14:paraId="21B5CE22" w14:textId="5E698ACC">
      <w:pPr>
        <w:rPr>
          <w:i/>
          <w:sz w:val="20"/>
          <w:szCs w:val="20"/>
          <w:lang w:val="nl-NL"/>
        </w:rPr>
      </w:pPr>
      <w:r>
        <w:rPr>
          <w:i/>
          <w:sz w:val="20"/>
          <w:szCs w:val="20"/>
          <w:lang w:val="nl-NL"/>
        </w:rPr>
        <w:t>Irak</w:t>
      </w:r>
    </w:p>
    <w:p w:rsidR="00BF5A67" w:rsidP="00B05E21" w:rsidRDefault="008045E0" w14:paraId="49C324DA" w14:textId="1FB613B1">
      <w:pPr>
        <w:rPr>
          <w:sz w:val="20"/>
          <w:szCs w:val="20"/>
          <w:lang w:val="nl-NL"/>
        </w:rPr>
      </w:pPr>
      <w:r>
        <w:rPr>
          <w:sz w:val="20"/>
          <w:szCs w:val="20"/>
          <w:lang w:val="nl-NL"/>
        </w:rPr>
        <w:t xml:space="preserve">HV Mogherini onderstreepte in haar inleiding het belang van de hervormingsplannen van de Iraakse premier al-Abadi voor de toekomst van Irak. </w:t>
      </w:r>
      <w:r w:rsidR="00A84099">
        <w:rPr>
          <w:sz w:val="20"/>
          <w:szCs w:val="20"/>
          <w:lang w:val="nl-NL"/>
        </w:rPr>
        <w:t xml:space="preserve">Alle ministers </w:t>
      </w:r>
      <w:r w:rsidR="00D15644">
        <w:rPr>
          <w:sz w:val="20"/>
          <w:szCs w:val="20"/>
          <w:lang w:val="nl-NL"/>
        </w:rPr>
        <w:t>noemden</w:t>
      </w:r>
      <w:r w:rsidR="00A84099">
        <w:rPr>
          <w:sz w:val="20"/>
          <w:szCs w:val="20"/>
          <w:lang w:val="nl-NL"/>
        </w:rPr>
        <w:t xml:space="preserve"> de noodzaak van inclusiviteit, </w:t>
      </w:r>
      <w:r w:rsidR="00D15644">
        <w:rPr>
          <w:sz w:val="20"/>
          <w:szCs w:val="20"/>
          <w:lang w:val="nl-NL"/>
        </w:rPr>
        <w:t>eigenaarschap</w:t>
      </w:r>
      <w:r w:rsidR="00A84099">
        <w:rPr>
          <w:sz w:val="20"/>
          <w:szCs w:val="20"/>
          <w:lang w:val="nl-NL"/>
        </w:rPr>
        <w:t xml:space="preserve"> en hervorming</w:t>
      </w:r>
      <w:r w:rsidR="00D15644">
        <w:rPr>
          <w:sz w:val="20"/>
          <w:szCs w:val="20"/>
          <w:lang w:val="nl-NL"/>
        </w:rPr>
        <w:t>en</w:t>
      </w:r>
      <w:r w:rsidR="00A84099">
        <w:rPr>
          <w:sz w:val="20"/>
          <w:szCs w:val="20"/>
          <w:lang w:val="nl-NL"/>
        </w:rPr>
        <w:t xml:space="preserve"> in Irak. </w:t>
      </w:r>
      <w:r w:rsidR="002309CE">
        <w:rPr>
          <w:sz w:val="20"/>
          <w:szCs w:val="20"/>
          <w:lang w:val="nl-NL"/>
        </w:rPr>
        <w:t xml:space="preserve">Nederland </w:t>
      </w:r>
      <w:r w:rsidR="00D15644">
        <w:rPr>
          <w:sz w:val="20"/>
          <w:szCs w:val="20"/>
          <w:lang w:val="nl-NL"/>
        </w:rPr>
        <w:t xml:space="preserve">en enkele andere lidstaten </w:t>
      </w:r>
      <w:r w:rsidR="002309CE">
        <w:rPr>
          <w:sz w:val="20"/>
          <w:szCs w:val="20"/>
          <w:lang w:val="nl-NL"/>
        </w:rPr>
        <w:t>noemde</w:t>
      </w:r>
      <w:r w:rsidR="00D15644">
        <w:rPr>
          <w:sz w:val="20"/>
          <w:szCs w:val="20"/>
          <w:lang w:val="nl-NL"/>
        </w:rPr>
        <w:t>n</w:t>
      </w:r>
      <w:r w:rsidR="002309CE">
        <w:rPr>
          <w:sz w:val="20"/>
          <w:szCs w:val="20"/>
          <w:lang w:val="nl-NL"/>
        </w:rPr>
        <w:t xml:space="preserve"> daarbij specifiek het belang van decentralisatie. Het merendeel </w:t>
      </w:r>
      <w:r w:rsidR="002927DF">
        <w:rPr>
          <w:sz w:val="20"/>
          <w:szCs w:val="20"/>
          <w:lang w:val="nl-NL"/>
        </w:rPr>
        <w:t>van de lidstaten staat open voor het overwegen van een mogelijke GVDB-missie in Irak</w:t>
      </w:r>
      <w:r w:rsidR="00D15644">
        <w:rPr>
          <w:sz w:val="20"/>
          <w:szCs w:val="20"/>
          <w:lang w:val="nl-NL"/>
        </w:rPr>
        <w:t>, bijvoorbeeld om de politie te trainen</w:t>
      </w:r>
      <w:r w:rsidR="00B05E21">
        <w:rPr>
          <w:sz w:val="20"/>
          <w:szCs w:val="20"/>
          <w:lang w:val="nl-NL"/>
        </w:rPr>
        <w:t xml:space="preserve">. Hierbij gaf </w:t>
      </w:r>
      <w:r w:rsidR="002927DF">
        <w:rPr>
          <w:sz w:val="20"/>
          <w:szCs w:val="20"/>
          <w:lang w:val="nl-NL"/>
        </w:rPr>
        <w:t xml:space="preserve">Nederland </w:t>
      </w:r>
      <w:r w:rsidR="00FF2550">
        <w:rPr>
          <w:sz w:val="20"/>
          <w:szCs w:val="20"/>
          <w:lang w:val="nl-NL"/>
        </w:rPr>
        <w:t xml:space="preserve">aan dat </w:t>
      </w:r>
      <w:r w:rsidR="00D15644">
        <w:rPr>
          <w:sz w:val="20"/>
          <w:szCs w:val="20"/>
          <w:lang w:val="nl-NL"/>
        </w:rPr>
        <w:t xml:space="preserve">in de overwegingen </w:t>
      </w:r>
      <w:r w:rsidR="00FF2550">
        <w:rPr>
          <w:sz w:val="20"/>
          <w:szCs w:val="20"/>
          <w:lang w:val="nl-NL"/>
        </w:rPr>
        <w:t>de</w:t>
      </w:r>
      <w:r w:rsidR="00D15644">
        <w:rPr>
          <w:sz w:val="20"/>
          <w:szCs w:val="20"/>
          <w:lang w:val="nl-NL"/>
        </w:rPr>
        <w:t xml:space="preserve"> geleerde lessen</w:t>
      </w:r>
      <w:r w:rsidR="00FF2550">
        <w:rPr>
          <w:sz w:val="20"/>
          <w:szCs w:val="20"/>
          <w:lang w:val="nl-NL"/>
        </w:rPr>
        <w:t xml:space="preserve"> van eerdere en vergelijkbare missies in acht </w:t>
      </w:r>
      <w:r w:rsidR="00B05E21">
        <w:rPr>
          <w:sz w:val="20"/>
          <w:szCs w:val="20"/>
          <w:lang w:val="nl-NL"/>
        </w:rPr>
        <w:t xml:space="preserve">moeten worden </w:t>
      </w:r>
      <w:r w:rsidR="00FF2550">
        <w:rPr>
          <w:sz w:val="20"/>
          <w:szCs w:val="20"/>
          <w:lang w:val="nl-NL"/>
        </w:rPr>
        <w:t xml:space="preserve">genomen. </w:t>
      </w:r>
      <w:r w:rsidR="00F65BBD">
        <w:rPr>
          <w:sz w:val="20"/>
          <w:szCs w:val="20"/>
          <w:lang w:val="nl-NL"/>
        </w:rPr>
        <w:t xml:space="preserve">HV </w:t>
      </w:r>
      <w:r w:rsidR="00F65BBD">
        <w:rPr>
          <w:sz w:val="20"/>
          <w:szCs w:val="20"/>
          <w:lang w:val="nl-NL"/>
        </w:rPr>
        <w:lastRenderedPageBreak/>
        <w:t>Mogherini gaf aan dat indien de Iraakse overheid om een GVDB-missie verzoekt, zij EDEO de opdracht zal geven daartoe een voorstel te ontwikkelen.</w:t>
      </w:r>
    </w:p>
    <w:p w:rsidR="00A84099" w:rsidP="00DD4AD3" w:rsidRDefault="00A84099" w14:paraId="4686E267" w14:textId="77777777">
      <w:pPr>
        <w:rPr>
          <w:sz w:val="20"/>
          <w:szCs w:val="20"/>
          <w:lang w:val="nl-NL"/>
        </w:rPr>
      </w:pPr>
    </w:p>
    <w:p w:rsidRPr="008045E0" w:rsidR="00A84099" w:rsidP="00B05E21" w:rsidRDefault="005935A7" w14:paraId="3FA85ED6" w14:textId="0630ED13">
      <w:pPr>
        <w:rPr>
          <w:sz w:val="20"/>
          <w:szCs w:val="20"/>
          <w:lang w:val="nl-NL"/>
        </w:rPr>
      </w:pPr>
      <w:r>
        <w:rPr>
          <w:sz w:val="20"/>
          <w:szCs w:val="20"/>
          <w:lang w:val="nl-NL"/>
        </w:rPr>
        <w:t>Ten a</w:t>
      </w:r>
      <w:r w:rsidR="00B05E21">
        <w:rPr>
          <w:sz w:val="20"/>
          <w:szCs w:val="20"/>
          <w:lang w:val="nl-NL"/>
        </w:rPr>
        <w:t>anzien van de strijd tegen ISIS</w:t>
      </w:r>
      <w:r>
        <w:rPr>
          <w:sz w:val="20"/>
          <w:szCs w:val="20"/>
          <w:lang w:val="nl-NL"/>
        </w:rPr>
        <w:t xml:space="preserve"> b</w:t>
      </w:r>
      <w:r w:rsidR="00A84099">
        <w:rPr>
          <w:sz w:val="20"/>
          <w:szCs w:val="20"/>
          <w:lang w:val="nl-NL"/>
        </w:rPr>
        <w:t xml:space="preserve">enadrukten </w:t>
      </w:r>
      <w:r>
        <w:rPr>
          <w:sz w:val="20"/>
          <w:szCs w:val="20"/>
          <w:lang w:val="nl-NL"/>
        </w:rPr>
        <w:t xml:space="preserve">de ministers </w:t>
      </w:r>
      <w:r w:rsidR="00A84099">
        <w:rPr>
          <w:sz w:val="20"/>
          <w:szCs w:val="20"/>
          <w:lang w:val="nl-NL"/>
        </w:rPr>
        <w:t xml:space="preserve">het belang van een gecoördineerde respons met betrekking tot de aanpak van de buitenlandse strijders en </w:t>
      </w:r>
      <w:r w:rsidR="00B05E21">
        <w:rPr>
          <w:sz w:val="20"/>
          <w:szCs w:val="20"/>
          <w:lang w:val="nl-NL"/>
        </w:rPr>
        <w:t xml:space="preserve">van </w:t>
      </w:r>
      <w:r w:rsidR="00A84099">
        <w:rPr>
          <w:sz w:val="20"/>
          <w:szCs w:val="20"/>
          <w:lang w:val="nl-NL"/>
        </w:rPr>
        <w:t xml:space="preserve">een </w:t>
      </w:r>
      <w:r w:rsidR="00B05E21">
        <w:rPr>
          <w:sz w:val="20"/>
          <w:szCs w:val="20"/>
          <w:lang w:val="nl-NL"/>
        </w:rPr>
        <w:t xml:space="preserve">duidelijke </w:t>
      </w:r>
      <w:r w:rsidR="00A84099">
        <w:rPr>
          <w:sz w:val="20"/>
          <w:szCs w:val="20"/>
          <w:lang w:val="nl-NL"/>
        </w:rPr>
        <w:t xml:space="preserve">verhaallijn (‘narrative’) voor de strategie. </w:t>
      </w:r>
      <w:r w:rsidR="00D15644">
        <w:rPr>
          <w:sz w:val="20"/>
          <w:szCs w:val="20"/>
          <w:lang w:val="nl-NL"/>
        </w:rPr>
        <w:t xml:space="preserve">Omdat ISIS inspeelt op ideologische overtuigingen werd het door meerdere landen van belang geacht in de beleidsopties </w:t>
      </w:r>
      <w:r w:rsidR="00D4649C">
        <w:rPr>
          <w:sz w:val="20"/>
          <w:szCs w:val="20"/>
          <w:lang w:val="nl-NL"/>
        </w:rPr>
        <w:t xml:space="preserve">ook </w:t>
      </w:r>
      <w:r w:rsidR="00D15644">
        <w:rPr>
          <w:sz w:val="20"/>
          <w:szCs w:val="20"/>
          <w:lang w:val="nl-NL"/>
        </w:rPr>
        <w:t xml:space="preserve">communicatie mee te nemen. </w:t>
      </w:r>
      <w:r w:rsidR="005D0511">
        <w:rPr>
          <w:sz w:val="20"/>
          <w:szCs w:val="20"/>
          <w:lang w:val="nl-NL"/>
        </w:rPr>
        <w:t>HV Mogherini stelde dat nationale parlementen en h</w:t>
      </w:r>
      <w:r w:rsidR="00B05E21">
        <w:rPr>
          <w:sz w:val="20"/>
          <w:szCs w:val="20"/>
          <w:lang w:val="nl-NL"/>
        </w:rPr>
        <w:t>et Europees Parlement hierbij ee</w:t>
      </w:r>
      <w:r w:rsidR="005D0511">
        <w:rPr>
          <w:sz w:val="20"/>
          <w:szCs w:val="20"/>
          <w:lang w:val="nl-NL"/>
        </w:rPr>
        <w:t xml:space="preserve">n rol te spelen hebben. </w:t>
      </w:r>
      <w:r w:rsidR="007075F0">
        <w:rPr>
          <w:sz w:val="20"/>
          <w:szCs w:val="20"/>
          <w:lang w:val="nl-NL"/>
        </w:rPr>
        <w:t>Nederland stelde dat de EU een positie</w:t>
      </w:r>
      <w:r w:rsidR="00D72E4E">
        <w:rPr>
          <w:sz w:val="20"/>
          <w:szCs w:val="20"/>
          <w:lang w:val="nl-NL"/>
        </w:rPr>
        <w:t xml:space="preserve"> zou moeten</w:t>
      </w:r>
      <w:r w:rsidR="007075F0">
        <w:rPr>
          <w:sz w:val="20"/>
          <w:szCs w:val="20"/>
          <w:lang w:val="nl-NL"/>
        </w:rPr>
        <w:t xml:space="preserve"> innemen met betrekking tot het recente rapport van de</w:t>
      </w:r>
      <w:r w:rsidR="00AA1FE3">
        <w:rPr>
          <w:sz w:val="20"/>
          <w:szCs w:val="20"/>
          <w:lang w:val="nl-NL"/>
        </w:rPr>
        <w:t xml:space="preserve"> Amerikaanse</w:t>
      </w:r>
      <w:r w:rsidR="007075F0">
        <w:rPr>
          <w:sz w:val="20"/>
          <w:szCs w:val="20"/>
          <w:lang w:val="nl-NL"/>
        </w:rPr>
        <w:t xml:space="preserve"> Senaatscommissie over </w:t>
      </w:r>
      <w:r w:rsidR="00AA1FE3">
        <w:rPr>
          <w:sz w:val="20"/>
          <w:szCs w:val="20"/>
          <w:lang w:val="nl-NL"/>
        </w:rPr>
        <w:t>verhoorpraktijken van</w:t>
      </w:r>
      <w:r w:rsidR="00D72E4E">
        <w:rPr>
          <w:sz w:val="20"/>
          <w:szCs w:val="20"/>
          <w:lang w:val="nl-NL"/>
        </w:rPr>
        <w:t xml:space="preserve"> de CIA in de periode 2001-2009, waarbij de EU en lidstaten in </w:t>
      </w:r>
      <w:r w:rsidR="00C66958">
        <w:rPr>
          <w:sz w:val="20"/>
          <w:szCs w:val="20"/>
          <w:lang w:val="nl-NL"/>
        </w:rPr>
        <w:t>hun</w:t>
      </w:r>
      <w:r w:rsidR="00D72E4E">
        <w:rPr>
          <w:sz w:val="20"/>
          <w:szCs w:val="20"/>
          <w:lang w:val="nl-NL"/>
        </w:rPr>
        <w:t xml:space="preserve"> strijd tegen </w:t>
      </w:r>
      <w:r w:rsidR="00D4649C">
        <w:rPr>
          <w:sz w:val="20"/>
          <w:szCs w:val="20"/>
          <w:lang w:val="nl-NL"/>
        </w:rPr>
        <w:t xml:space="preserve">terrorisme </w:t>
      </w:r>
      <w:r w:rsidR="00D72E4E">
        <w:rPr>
          <w:sz w:val="20"/>
          <w:szCs w:val="20"/>
          <w:lang w:val="nl-NL"/>
        </w:rPr>
        <w:t>ervoor moeten zorgen de</w:t>
      </w:r>
      <w:r w:rsidR="008A15A2">
        <w:rPr>
          <w:sz w:val="20"/>
          <w:szCs w:val="20"/>
          <w:lang w:val="nl-NL"/>
        </w:rPr>
        <w:t xml:space="preserve"> hoogste</w:t>
      </w:r>
      <w:r w:rsidR="00D72E4E">
        <w:rPr>
          <w:sz w:val="20"/>
          <w:szCs w:val="20"/>
          <w:lang w:val="nl-NL"/>
        </w:rPr>
        <w:t xml:space="preserve"> mensenrechten</w:t>
      </w:r>
      <w:r w:rsidR="006F6EE0">
        <w:rPr>
          <w:sz w:val="20"/>
          <w:szCs w:val="20"/>
          <w:lang w:val="nl-NL"/>
        </w:rPr>
        <w:t>standaarden in acht te houden.</w:t>
      </w:r>
      <w:r w:rsidR="00592E38">
        <w:rPr>
          <w:sz w:val="20"/>
          <w:szCs w:val="20"/>
          <w:lang w:val="nl-NL"/>
        </w:rPr>
        <w:t xml:space="preserve"> </w:t>
      </w:r>
    </w:p>
    <w:p w:rsidR="00BF5A67" w:rsidP="00DD4AD3" w:rsidRDefault="00BF5A67" w14:paraId="1DC20D80" w14:textId="77777777">
      <w:pPr>
        <w:rPr>
          <w:i/>
          <w:sz w:val="20"/>
          <w:szCs w:val="20"/>
          <w:lang w:val="nl-NL"/>
        </w:rPr>
      </w:pPr>
    </w:p>
    <w:p w:rsidR="00BF5A67" w:rsidP="00DD4AD3" w:rsidRDefault="00BF5A67" w14:paraId="388CA3D1" w14:textId="06756B3C">
      <w:pPr>
        <w:rPr>
          <w:sz w:val="20"/>
          <w:szCs w:val="20"/>
          <w:lang w:val="nl-NL"/>
        </w:rPr>
      </w:pPr>
      <w:r>
        <w:rPr>
          <w:i/>
          <w:sz w:val="20"/>
          <w:szCs w:val="20"/>
          <w:lang w:val="nl-NL"/>
        </w:rPr>
        <w:t>Regionale EU-strategie</w:t>
      </w:r>
    </w:p>
    <w:p w:rsidRPr="00BF5A67" w:rsidR="00BF5A67" w:rsidP="00B05E21" w:rsidRDefault="00BF5A67" w14:paraId="619F9C42" w14:textId="48F9AC65">
      <w:pPr>
        <w:rPr>
          <w:sz w:val="20"/>
          <w:szCs w:val="20"/>
          <w:lang w:val="nl-NL"/>
        </w:rPr>
      </w:pPr>
      <w:r>
        <w:rPr>
          <w:sz w:val="20"/>
          <w:szCs w:val="20"/>
          <w:lang w:val="nl-NL"/>
        </w:rPr>
        <w:t>HV Mogherini lichtte het proces toe ten aanzien van de vorming van een regionale, geïntegreerde EU-strategie over Syrië, Irak en de regio.</w:t>
      </w:r>
      <w:r w:rsidR="008045E0">
        <w:rPr>
          <w:sz w:val="20"/>
          <w:szCs w:val="20"/>
          <w:lang w:val="nl-NL"/>
        </w:rPr>
        <w:t xml:space="preserve"> De strategie zou een Gezamenlijke Mededeling van de EDEO en Europese Commissie worden, die naar verwachting in januari </w:t>
      </w:r>
      <w:r w:rsidR="00B05E21">
        <w:rPr>
          <w:sz w:val="20"/>
          <w:szCs w:val="20"/>
          <w:lang w:val="nl-NL"/>
        </w:rPr>
        <w:t xml:space="preserve">a.s. </w:t>
      </w:r>
      <w:r w:rsidR="008045E0">
        <w:rPr>
          <w:sz w:val="20"/>
          <w:szCs w:val="20"/>
          <w:lang w:val="nl-NL"/>
        </w:rPr>
        <w:t>wordt aangenomen. De strategie is het resultaat van consultaties met verschillende partijen</w:t>
      </w:r>
      <w:r w:rsidR="00B05E21">
        <w:rPr>
          <w:sz w:val="20"/>
          <w:szCs w:val="20"/>
          <w:lang w:val="nl-NL"/>
        </w:rPr>
        <w:t>. D</w:t>
      </w:r>
      <w:r w:rsidR="008045E0">
        <w:rPr>
          <w:sz w:val="20"/>
          <w:szCs w:val="20"/>
          <w:lang w:val="nl-NL"/>
        </w:rPr>
        <w:t>e discussie van de ministers van deze Raad Buitenlandse Zaken wordt mede gebruikt als input voor de strategie.</w:t>
      </w:r>
      <w:r w:rsidR="00A84099">
        <w:rPr>
          <w:sz w:val="20"/>
          <w:szCs w:val="20"/>
          <w:lang w:val="nl-NL"/>
        </w:rPr>
        <w:t xml:space="preserve"> Alle lidstaten onderstreepten het belang van een snelle afronding en implementatie van de strategie. </w:t>
      </w:r>
    </w:p>
    <w:p w:rsidR="00BF5A67" w:rsidP="00DD4AD3" w:rsidRDefault="00BF5A67" w14:paraId="182585BC" w14:textId="77777777">
      <w:pPr>
        <w:rPr>
          <w:b/>
          <w:sz w:val="20"/>
          <w:szCs w:val="20"/>
          <w:lang w:val="nl-NL"/>
        </w:rPr>
      </w:pPr>
    </w:p>
    <w:p w:rsidRPr="00F04D65" w:rsidR="00523CCC" w:rsidP="00523CCC" w:rsidRDefault="00523CCC" w14:paraId="3CE2A75E" w14:textId="77777777">
      <w:pPr>
        <w:rPr>
          <w:b/>
          <w:sz w:val="20"/>
          <w:szCs w:val="20"/>
          <w:lang w:val="nl-NL"/>
        </w:rPr>
      </w:pPr>
      <w:r w:rsidRPr="00F04D65">
        <w:rPr>
          <w:b/>
          <w:sz w:val="20"/>
          <w:szCs w:val="20"/>
          <w:lang w:val="nl-NL"/>
        </w:rPr>
        <w:t>Bosnië-Herzegovina</w:t>
      </w:r>
    </w:p>
    <w:p w:rsidRPr="00F04D65" w:rsidR="00523CCC" w:rsidP="00E556D6" w:rsidRDefault="00523CCC" w14:paraId="5E3B8508" w14:textId="2A5F1054">
      <w:pPr>
        <w:rPr>
          <w:sz w:val="20"/>
          <w:szCs w:val="20"/>
          <w:lang w:val="nl-NL"/>
        </w:rPr>
      </w:pPr>
      <w:r w:rsidRPr="00F04D65">
        <w:rPr>
          <w:sz w:val="20"/>
          <w:szCs w:val="20"/>
          <w:lang w:val="nl-NL"/>
        </w:rPr>
        <w:t>In navolging van de discussie tijdens de RBZ van 17 november jl. sprak de Raad over het EU-beleid ten aanzien van Bosnië-Herzegovina. De Raad herhaalde de steun aan het Bosnische EU-toetredingsperspectief en verwelkomde de nieuwe nadruk op hervormingen en het adresseren van de directe zorgen van burgers, zoals tentoongespreid tijdens de wijdverbreide protesten aan het begin van</w:t>
      </w:r>
      <w:r w:rsidR="00E556D6">
        <w:rPr>
          <w:sz w:val="20"/>
          <w:szCs w:val="20"/>
          <w:lang w:val="nl-NL"/>
        </w:rPr>
        <w:t xml:space="preserve"> dit</w:t>
      </w:r>
      <w:r w:rsidRPr="00F04D65">
        <w:rPr>
          <w:sz w:val="20"/>
          <w:szCs w:val="20"/>
          <w:lang w:val="nl-NL"/>
        </w:rPr>
        <w:t xml:space="preserve"> jaar naar aanleiding van de fragiele sociaaleconomische situatie.</w:t>
      </w:r>
    </w:p>
    <w:p w:rsidRPr="00F04D65" w:rsidR="00523CCC" w:rsidP="00523CCC" w:rsidRDefault="00523CCC" w14:paraId="2C6B737A" w14:textId="77777777">
      <w:pPr>
        <w:rPr>
          <w:sz w:val="20"/>
          <w:szCs w:val="20"/>
          <w:lang w:val="nl-NL"/>
        </w:rPr>
      </w:pPr>
    </w:p>
    <w:p w:rsidR="00E556D6" w:rsidP="00523CCC" w:rsidRDefault="00523CCC" w14:paraId="6BA78527" w14:textId="77777777">
      <w:pPr>
        <w:rPr>
          <w:sz w:val="20"/>
          <w:szCs w:val="20"/>
          <w:lang w:val="nl-NL"/>
        </w:rPr>
      </w:pPr>
      <w:r w:rsidRPr="00F04D65">
        <w:rPr>
          <w:sz w:val="20"/>
          <w:szCs w:val="20"/>
          <w:lang w:val="nl-NL"/>
        </w:rPr>
        <w:t xml:space="preserve">HV Mogherini en Commissaris Hahn koppelden terug van hun recente bezoek aan Sarajevo (5 december jl.) om het hervormingsproces in Bosnië-Herzegovina een nieuwe impuls te geven. Ministers verwelkomden het bezoek en kwamen een hernieuwde EU-inzet overeen, waarbij de bredere hervormingsagenda en maatschappelijke en sociaaleconomische ontwikkelingen voorop komen te staan. Ministers onderstreepten hierbij dat alle bestaande conditionaliteiten, inclusief de implementatie van het Sejdic-Finci arrest van het Europees Hof voor de Rechten van de Mens, gedurende het toetredingsproces onverkort vervuld moeten worden. De Raad nodigde HV Mogherini en Commissaris Hahn uit om zorg te dragen voor een spoedige en onomkeerbare geschreven commitment van de Bosnische politieke leiders aan hervormingen in het kader van het EU-toetredingsproces. Uit deze geschreven toezegging dient de duidelijke bereidheid te spreken om in samenwerking met de EU een hervormingsagenda uit te werken, in lijn met het EU-acquis, om de voor het toetredingsproces benodigde hervormingen door te voeren. </w:t>
      </w:r>
    </w:p>
    <w:p w:rsidR="00E556D6" w:rsidP="00523CCC" w:rsidRDefault="00E556D6" w14:paraId="11DBE9EB" w14:textId="77777777">
      <w:pPr>
        <w:rPr>
          <w:sz w:val="20"/>
          <w:szCs w:val="20"/>
          <w:lang w:val="nl-NL"/>
        </w:rPr>
      </w:pPr>
    </w:p>
    <w:p w:rsidRPr="00F04D65" w:rsidR="00523CCC" w:rsidP="00E556D6" w:rsidRDefault="00523CCC" w14:paraId="3139D48E" w14:textId="525A6D5E">
      <w:pPr>
        <w:rPr>
          <w:sz w:val="20"/>
          <w:szCs w:val="20"/>
          <w:lang w:val="nl-NL"/>
        </w:rPr>
      </w:pPr>
      <w:r w:rsidRPr="00F04D65">
        <w:rPr>
          <w:sz w:val="20"/>
          <w:szCs w:val="20"/>
          <w:lang w:val="nl-NL"/>
        </w:rPr>
        <w:t xml:space="preserve">Deze agenda moet in samenwerking met het maatschappelijk middenveld worden opgesteld en uitgevoerd. De agenda dient zich primair te richten op hervormingen die voortvloeien uit de Kopenhagen-criteria (sociaaleconomische hervormingen, hervorming van de rechtsstaat en goed bestuur) en moet eveneens afspraken bevatten over het functioneren van de staat, waaronder de oprichting van een EU-coördinatiemechanisme. De Bosnische leiders dienen evenzeer afspraken te maken om te komen tot functioneel en efficiënt bestuur op alle niveaus. De Raad nodigde de HV en de Commissaris uit regelmatig terug te rapporteren </w:t>
      </w:r>
      <w:r w:rsidRPr="00F04D65">
        <w:rPr>
          <w:sz w:val="20"/>
          <w:szCs w:val="20"/>
          <w:lang w:val="nl-NL"/>
        </w:rPr>
        <w:lastRenderedPageBreak/>
        <w:t>over de voortgang ten aanzien van deze geschreven toezegging en de wijze waarop d</w:t>
      </w:r>
      <w:r w:rsidR="00E556D6">
        <w:rPr>
          <w:sz w:val="20"/>
          <w:szCs w:val="20"/>
          <w:lang w:val="nl-NL"/>
        </w:rPr>
        <w:t>eze</w:t>
      </w:r>
      <w:r w:rsidRPr="00F04D65">
        <w:rPr>
          <w:sz w:val="20"/>
          <w:szCs w:val="20"/>
          <w:lang w:val="nl-NL"/>
        </w:rPr>
        <w:t xml:space="preserve"> zijn weerslag krijgt in het werk van de relevante instanties. </w:t>
      </w:r>
    </w:p>
    <w:p w:rsidRPr="00F04D65" w:rsidR="00523CCC" w:rsidP="00523CCC" w:rsidRDefault="00523CCC" w14:paraId="129C1F22" w14:textId="77777777">
      <w:pPr>
        <w:rPr>
          <w:sz w:val="20"/>
          <w:szCs w:val="20"/>
          <w:lang w:val="nl-NL"/>
        </w:rPr>
      </w:pPr>
    </w:p>
    <w:p w:rsidRPr="00F04D65" w:rsidR="00523CCC" w:rsidP="00523CCC" w:rsidRDefault="00523CCC" w14:paraId="0A632323" w14:textId="77777777">
      <w:pPr>
        <w:rPr>
          <w:sz w:val="20"/>
          <w:szCs w:val="20"/>
          <w:lang w:val="nl-NL"/>
        </w:rPr>
      </w:pPr>
      <w:r w:rsidRPr="00F04D65">
        <w:rPr>
          <w:sz w:val="20"/>
          <w:szCs w:val="20"/>
          <w:lang w:val="nl-NL"/>
        </w:rPr>
        <w:t xml:space="preserve">In het kader van de verschuiving van de EU-inzet kwamen ministers ook overeen om de volgtijdelijkheid van de voorwaarden die zijn gesteld in het kader van het EU-toenaderingstraject beperkt te herschikken. Zodra een helder politiek commitment van Bosnische politieke leiders aan een brede hervormingsagenda door het Bosnische presidium overeen is gekomen, dit is getekend door alle politieke leiders en is bekrachtigd door het Bosnische parlement, zal de Raad besluiten over de inwerkingtreding van de Stabilisatie- en Associatieovereenkomst. Voordat de EU vervolgens een eventuele Bosnische EU-lidmaatschapsaanvraag in overweging kan nemen, zal het land betekenisvolle voortgang op de hervormingsagenda moeten boeken. Bij het verzoek van de Raad aan de Commissie om haar advies over de lidmaatschapsaanvraag (‘avis’) zal de Raad vragen om specifieke aandacht te besteden aan de implementatie van het Sejdic-Finci arrest. De ministers onderstreepten het cruciale belang van een snelle kabinetsformatie en riepen de politieke leiders op hier zorg voor te dragen. </w:t>
      </w:r>
    </w:p>
    <w:p w:rsidR="00523CCC" w:rsidP="00523CCC" w:rsidRDefault="00523CCC" w14:paraId="1847A9A5" w14:textId="77777777">
      <w:pPr>
        <w:rPr>
          <w:b/>
          <w:sz w:val="20"/>
          <w:szCs w:val="20"/>
          <w:lang w:val="nl-NL"/>
        </w:rPr>
      </w:pPr>
    </w:p>
    <w:p w:rsidRPr="00E6515A" w:rsidR="00523CCC" w:rsidP="00523CCC" w:rsidRDefault="00523CCC" w14:paraId="152C8F2E" w14:textId="723839C2">
      <w:pPr>
        <w:rPr>
          <w:b/>
          <w:sz w:val="20"/>
          <w:szCs w:val="20"/>
          <w:lang w:val="nl-NL"/>
        </w:rPr>
      </w:pPr>
      <w:r w:rsidRPr="00E6515A">
        <w:rPr>
          <w:b/>
          <w:sz w:val="20"/>
          <w:szCs w:val="20"/>
          <w:lang w:val="nl-NL"/>
        </w:rPr>
        <w:t>Libië</w:t>
      </w:r>
    </w:p>
    <w:p w:rsidR="00523CCC" w:rsidP="006209CA" w:rsidRDefault="00523CCC" w14:paraId="55343B06" w14:textId="7497F0EF">
      <w:pPr>
        <w:rPr>
          <w:sz w:val="20"/>
          <w:szCs w:val="20"/>
          <w:lang w:val="nl-NL"/>
        </w:rPr>
      </w:pPr>
      <w:r>
        <w:rPr>
          <w:sz w:val="20"/>
          <w:szCs w:val="20"/>
          <w:lang w:val="nl-NL"/>
        </w:rPr>
        <w:t xml:space="preserve">Tijdens de lunch sprak de Raad over de verslechterende situatie in Libië. De EU steunt de bemiddeling onder leiding van VN speciaal gezant Bernadino León die onder het zogenaamde ‘Ghadames-proces’ een dialoog entameert met de verschillende belanghebbenden. </w:t>
      </w:r>
      <w:r w:rsidR="001968B0">
        <w:rPr>
          <w:sz w:val="20"/>
          <w:szCs w:val="20"/>
          <w:lang w:val="nl-NL"/>
        </w:rPr>
        <w:t xml:space="preserve">Léon nam per videoconferentie aan de bespreking deel. De Raad zag geen </w:t>
      </w:r>
      <w:r w:rsidR="006209CA">
        <w:rPr>
          <w:sz w:val="20"/>
          <w:szCs w:val="20"/>
          <w:lang w:val="nl-NL"/>
        </w:rPr>
        <w:t xml:space="preserve">andere </w:t>
      </w:r>
      <w:r w:rsidR="001968B0">
        <w:rPr>
          <w:sz w:val="20"/>
          <w:szCs w:val="20"/>
          <w:lang w:val="nl-NL"/>
        </w:rPr>
        <w:t xml:space="preserve">oplossing voor het conflict dan een oplossing die is gebaseerd op dialoog, respect en vertrouwen. </w:t>
      </w:r>
    </w:p>
    <w:p w:rsidR="00523CCC" w:rsidP="00523CCC" w:rsidRDefault="00523CCC" w14:paraId="67E176C3" w14:textId="77777777">
      <w:pPr>
        <w:rPr>
          <w:sz w:val="20"/>
          <w:szCs w:val="20"/>
          <w:lang w:val="nl-NL"/>
        </w:rPr>
      </w:pPr>
    </w:p>
    <w:p w:rsidR="00523CCC" w:rsidP="006209CA" w:rsidRDefault="001968B0" w14:paraId="4CE68270" w14:textId="3546C362">
      <w:pPr>
        <w:rPr>
          <w:sz w:val="20"/>
          <w:szCs w:val="20"/>
          <w:lang w:val="nl-NL"/>
        </w:rPr>
      </w:pPr>
      <w:r>
        <w:rPr>
          <w:sz w:val="20"/>
          <w:szCs w:val="20"/>
          <w:lang w:val="nl-NL"/>
        </w:rPr>
        <w:t>De m</w:t>
      </w:r>
      <w:r w:rsidR="00523CCC">
        <w:rPr>
          <w:sz w:val="20"/>
          <w:szCs w:val="20"/>
          <w:lang w:val="nl-NL"/>
        </w:rPr>
        <w:t xml:space="preserve">inisters </w:t>
      </w:r>
      <w:r>
        <w:rPr>
          <w:sz w:val="20"/>
          <w:szCs w:val="20"/>
          <w:lang w:val="nl-NL"/>
        </w:rPr>
        <w:t xml:space="preserve">spraken </w:t>
      </w:r>
      <w:r w:rsidR="00523CCC">
        <w:rPr>
          <w:sz w:val="20"/>
          <w:szCs w:val="20"/>
          <w:lang w:val="nl-NL"/>
        </w:rPr>
        <w:t>eensgezind hun afkeur uit van het aanhoudende geweld</w:t>
      </w:r>
      <w:r w:rsidR="00E34F31">
        <w:rPr>
          <w:sz w:val="20"/>
          <w:szCs w:val="20"/>
          <w:lang w:val="nl-NL"/>
        </w:rPr>
        <w:t xml:space="preserve"> dat zwaar drukt op de burgerbevolking</w:t>
      </w:r>
      <w:r w:rsidR="00523CCC">
        <w:rPr>
          <w:sz w:val="20"/>
          <w:szCs w:val="20"/>
          <w:lang w:val="nl-NL"/>
        </w:rPr>
        <w:t>, in het bijzonder de recente militaire acties</w:t>
      </w:r>
      <w:r w:rsidR="004C62D8">
        <w:rPr>
          <w:sz w:val="20"/>
          <w:szCs w:val="20"/>
          <w:lang w:val="nl-NL"/>
        </w:rPr>
        <w:t>. Zij riepen op tot terughoudendheid van alle partijen en spraken steun uit voor</w:t>
      </w:r>
      <w:r w:rsidR="00523CCC">
        <w:rPr>
          <w:sz w:val="20"/>
          <w:szCs w:val="20"/>
          <w:lang w:val="nl-NL"/>
        </w:rPr>
        <w:t xml:space="preserve"> </w:t>
      </w:r>
      <w:r w:rsidR="006209CA">
        <w:rPr>
          <w:sz w:val="20"/>
          <w:szCs w:val="20"/>
          <w:lang w:val="nl-NL"/>
        </w:rPr>
        <w:t xml:space="preserve">het </w:t>
      </w:r>
      <w:r w:rsidR="00523CCC">
        <w:rPr>
          <w:sz w:val="20"/>
          <w:szCs w:val="20"/>
          <w:lang w:val="nl-NL"/>
        </w:rPr>
        <w:t xml:space="preserve">staakt-het-vuren waartoe de VN oproept. De EU zal stappen, inclusief restrictieve maatregelen, overwegen indien de </w:t>
      </w:r>
      <w:r w:rsidR="006209CA">
        <w:rPr>
          <w:sz w:val="20"/>
          <w:szCs w:val="20"/>
          <w:lang w:val="nl-NL"/>
        </w:rPr>
        <w:t>omstandigheden daartoe nopen</w:t>
      </w:r>
      <w:r w:rsidR="00523CCC">
        <w:rPr>
          <w:sz w:val="20"/>
          <w:szCs w:val="20"/>
          <w:lang w:val="nl-NL"/>
        </w:rPr>
        <w:t xml:space="preserve">, ter bescherming van Libië’s eenheid en </w:t>
      </w:r>
      <w:r w:rsidR="006209CA">
        <w:rPr>
          <w:sz w:val="20"/>
          <w:szCs w:val="20"/>
          <w:lang w:val="nl-NL"/>
        </w:rPr>
        <w:t xml:space="preserve">ter </w:t>
      </w:r>
      <w:r w:rsidR="00523CCC">
        <w:rPr>
          <w:sz w:val="20"/>
          <w:szCs w:val="20"/>
          <w:lang w:val="nl-NL"/>
        </w:rPr>
        <w:t>voorkoming van verdere verspreiding van terrorisme.</w:t>
      </w:r>
      <w:r w:rsidR="00E34F31">
        <w:rPr>
          <w:sz w:val="20"/>
          <w:szCs w:val="20"/>
          <w:lang w:val="nl-NL"/>
        </w:rPr>
        <w:t xml:space="preserve"> De VN veiligheidsraad werd gevraagd eveneens maatregelen te treffen tegen de personen die dialoog belemmeren. </w:t>
      </w:r>
    </w:p>
    <w:p w:rsidRPr="00E34F31" w:rsidR="00523CCC" w:rsidP="00523CCC" w:rsidRDefault="00523CCC" w14:paraId="4DA34EFF" w14:textId="77777777">
      <w:pPr>
        <w:rPr>
          <w:b/>
          <w:sz w:val="20"/>
          <w:szCs w:val="20"/>
          <w:lang w:val="nl-NL"/>
        </w:rPr>
      </w:pPr>
    </w:p>
    <w:p w:rsidRPr="00F04D65" w:rsidR="00523CCC" w:rsidP="00523CCC" w:rsidRDefault="00523CCC" w14:paraId="1043CDB3" w14:textId="77777777">
      <w:pPr>
        <w:rPr>
          <w:b/>
          <w:sz w:val="20"/>
          <w:szCs w:val="20"/>
          <w:lang w:val="nl-NL"/>
        </w:rPr>
      </w:pPr>
      <w:r w:rsidRPr="00F04D65">
        <w:rPr>
          <w:b/>
          <w:sz w:val="20"/>
          <w:szCs w:val="20"/>
          <w:lang w:val="nl-NL"/>
        </w:rPr>
        <w:t>Ebola</w:t>
      </w:r>
    </w:p>
    <w:p w:rsidR="00523CCC" w:rsidP="00523CCC" w:rsidRDefault="00523CCC" w14:paraId="14370CB2" w14:textId="1EEB1AC0">
      <w:pPr>
        <w:rPr>
          <w:sz w:val="20"/>
          <w:szCs w:val="20"/>
          <w:lang w:val="nl-NL"/>
        </w:rPr>
      </w:pPr>
      <w:r w:rsidRPr="00F04D65">
        <w:rPr>
          <w:sz w:val="20"/>
          <w:szCs w:val="20"/>
          <w:lang w:val="nl-NL"/>
        </w:rPr>
        <w:t>De minister</w:t>
      </w:r>
      <w:r>
        <w:rPr>
          <w:sz w:val="20"/>
          <w:szCs w:val="20"/>
          <w:lang w:val="nl-NL"/>
        </w:rPr>
        <w:t>s</w:t>
      </w:r>
      <w:r w:rsidRPr="00F04D65">
        <w:rPr>
          <w:sz w:val="20"/>
          <w:szCs w:val="20"/>
          <w:lang w:val="nl-NL"/>
        </w:rPr>
        <w:t xml:space="preserve"> spraken </w:t>
      </w:r>
      <w:r>
        <w:rPr>
          <w:sz w:val="20"/>
          <w:szCs w:val="20"/>
          <w:lang w:val="nl-NL"/>
        </w:rPr>
        <w:t xml:space="preserve">kort </w:t>
      </w:r>
      <w:r w:rsidRPr="00F04D65">
        <w:rPr>
          <w:sz w:val="20"/>
          <w:szCs w:val="20"/>
          <w:lang w:val="nl-NL"/>
        </w:rPr>
        <w:t xml:space="preserve">over Ebola </w:t>
      </w:r>
      <w:r>
        <w:rPr>
          <w:sz w:val="20"/>
          <w:szCs w:val="20"/>
          <w:lang w:val="nl-NL"/>
        </w:rPr>
        <w:t>en namen nota</w:t>
      </w:r>
      <w:r w:rsidRPr="00F04D65">
        <w:rPr>
          <w:sz w:val="20"/>
          <w:szCs w:val="20"/>
          <w:lang w:val="nl-NL"/>
        </w:rPr>
        <w:t xml:space="preserve"> van de uitgebreide bespreking van de minister</w:t>
      </w:r>
      <w:r>
        <w:rPr>
          <w:sz w:val="20"/>
          <w:szCs w:val="20"/>
          <w:lang w:val="nl-NL"/>
        </w:rPr>
        <w:t>s</w:t>
      </w:r>
      <w:r w:rsidRPr="00F04D65">
        <w:rPr>
          <w:sz w:val="20"/>
          <w:szCs w:val="20"/>
          <w:lang w:val="nl-NL"/>
        </w:rPr>
        <w:t xml:space="preserve"> voor ontwikkelingssamenwerking tijdens de RBZ-</w:t>
      </w:r>
      <w:r>
        <w:rPr>
          <w:sz w:val="20"/>
          <w:szCs w:val="20"/>
          <w:lang w:val="nl-NL"/>
        </w:rPr>
        <w:t>ontwikkelingssamenwerking van</w:t>
      </w:r>
      <w:r w:rsidRPr="00F04D65">
        <w:rPr>
          <w:sz w:val="20"/>
          <w:szCs w:val="20"/>
          <w:lang w:val="nl-NL"/>
        </w:rPr>
        <w:t xml:space="preserve"> 12 december jl. Vooral is, ter voorbereiding op de Europese Raad van 18 en 19 december a.s., ingegaan op ondersteuning van de EU op lange termijn aan de door Ebola getroffen landen.</w:t>
      </w:r>
      <w:r w:rsidRPr="00523CCC">
        <w:rPr>
          <w:sz w:val="20"/>
          <w:szCs w:val="20"/>
          <w:lang w:val="nl-NL"/>
        </w:rPr>
        <w:t xml:space="preserve"> </w:t>
      </w:r>
      <w:r w:rsidRPr="00F04D65">
        <w:rPr>
          <w:sz w:val="20"/>
          <w:szCs w:val="20"/>
          <w:lang w:val="nl-NL"/>
        </w:rPr>
        <w:t xml:space="preserve">Het verslag van de </w:t>
      </w:r>
      <w:r>
        <w:rPr>
          <w:sz w:val="20"/>
          <w:szCs w:val="20"/>
          <w:lang w:val="nl-NL"/>
        </w:rPr>
        <w:t xml:space="preserve">Raad </w:t>
      </w:r>
      <w:r w:rsidR="006209CA">
        <w:rPr>
          <w:sz w:val="20"/>
          <w:szCs w:val="20"/>
          <w:lang w:val="nl-NL"/>
        </w:rPr>
        <w:t>Buitenlandse Zaken/</w:t>
      </w:r>
      <w:r>
        <w:rPr>
          <w:sz w:val="20"/>
          <w:szCs w:val="20"/>
          <w:lang w:val="nl-NL"/>
        </w:rPr>
        <w:t>Ontwikkelingssamenwerking gaat U</w:t>
      </w:r>
      <w:r w:rsidRPr="00F04D65">
        <w:rPr>
          <w:sz w:val="20"/>
          <w:szCs w:val="20"/>
          <w:lang w:val="nl-NL"/>
        </w:rPr>
        <w:t>w Kamer separaat</w:t>
      </w:r>
      <w:r>
        <w:rPr>
          <w:sz w:val="20"/>
          <w:szCs w:val="20"/>
          <w:lang w:val="nl-NL"/>
        </w:rPr>
        <w:t xml:space="preserve"> toe</w:t>
      </w:r>
      <w:r w:rsidRPr="00F04D65">
        <w:rPr>
          <w:sz w:val="20"/>
          <w:szCs w:val="20"/>
          <w:lang w:val="nl-NL"/>
        </w:rPr>
        <w:t>.</w:t>
      </w:r>
    </w:p>
    <w:p w:rsidR="00C73220" w:rsidP="00DD4AD3" w:rsidRDefault="00C73220" w14:paraId="0945A553" w14:textId="5B490574">
      <w:pPr>
        <w:rPr>
          <w:sz w:val="20"/>
          <w:szCs w:val="20"/>
          <w:lang w:val="nl-NL"/>
        </w:rPr>
      </w:pPr>
    </w:p>
    <w:p w:rsidRPr="00BD549A" w:rsidR="00C73220" w:rsidP="00C73220" w:rsidRDefault="00C73220" w14:paraId="26AD5A42" w14:textId="77777777">
      <w:pPr>
        <w:rPr>
          <w:sz w:val="20"/>
          <w:szCs w:val="20"/>
          <w:lang w:val="nl-NL"/>
        </w:rPr>
      </w:pPr>
      <w:r w:rsidRPr="00BD549A">
        <w:rPr>
          <w:b/>
          <w:sz w:val="20"/>
          <w:szCs w:val="20"/>
          <w:lang w:val="nl-NL"/>
        </w:rPr>
        <w:t>Oekraïne</w:t>
      </w:r>
    </w:p>
    <w:p w:rsidR="00C73220" w:rsidP="00C73220" w:rsidRDefault="00C73220" w14:paraId="4C9B3531" w14:textId="73D8372A">
      <w:pPr>
        <w:rPr>
          <w:rFonts w:eastAsia="Times New Roman"/>
          <w:sz w:val="20"/>
          <w:szCs w:val="20"/>
          <w:lang w:val="nl-NL" w:eastAsia="nl-NL"/>
        </w:rPr>
      </w:pPr>
      <w:r w:rsidRPr="00BD549A">
        <w:rPr>
          <w:sz w:val="20"/>
          <w:szCs w:val="20"/>
          <w:lang w:val="nl-NL"/>
        </w:rPr>
        <w:t xml:space="preserve">De ministers spraken </w:t>
      </w:r>
      <w:r w:rsidR="00523CCC">
        <w:rPr>
          <w:sz w:val="20"/>
          <w:szCs w:val="20"/>
          <w:lang w:val="nl-NL"/>
        </w:rPr>
        <w:t xml:space="preserve">kort </w:t>
      </w:r>
      <w:r w:rsidRPr="00BD549A">
        <w:rPr>
          <w:sz w:val="20"/>
          <w:szCs w:val="20"/>
          <w:lang w:val="nl-NL"/>
        </w:rPr>
        <w:t xml:space="preserve">over de situatie in Oekraïne, mede ter voorbereiding van de </w:t>
      </w:r>
      <w:r w:rsidRPr="00BD549A">
        <w:rPr>
          <w:rFonts w:eastAsia="Times New Roman"/>
          <w:sz w:val="20"/>
          <w:szCs w:val="20"/>
          <w:lang w:val="nl-NL" w:eastAsia="nl-NL"/>
        </w:rPr>
        <w:t xml:space="preserve">Europese Raad van 18 en 19 december a.s. HV Mogherini informeerde de ministers over haar meeste recente contacten omtrent Oekraïne en gaf aan op 16 en 17 december Kiev te bezoeken. Na afloop van de RBZ vond de eerste Associatieraad plaats tussen de EU en Oekraïne in het kader van het Associatieakkoord. </w:t>
      </w:r>
    </w:p>
    <w:p w:rsidR="00C73220" w:rsidP="00C73220" w:rsidRDefault="00C73220" w14:paraId="795471E3" w14:textId="77777777">
      <w:pPr>
        <w:rPr>
          <w:rFonts w:eastAsia="Times New Roman"/>
          <w:sz w:val="20"/>
          <w:szCs w:val="20"/>
          <w:lang w:val="nl-NL" w:eastAsia="nl-NL"/>
        </w:rPr>
      </w:pPr>
    </w:p>
    <w:p w:rsidR="00C73220" w:rsidP="006209CA" w:rsidRDefault="00C73220" w14:paraId="37A2108B" w14:textId="7F20737B">
      <w:pPr>
        <w:rPr>
          <w:rFonts w:eastAsia="Times New Roman"/>
          <w:sz w:val="20"/>
          <w:szCs w:val="20"/>
          <w:lang w:val="nl-NL" w:eastAsia="nl-NL"/>
        </w:rPr>
      </w:pPr>
      <w:r>
        <w:rPr>
          <w:rFonts w:eastAsia="Times New Roman"/>
          <w:sz w:val="20"/>
          <w:szCs w:val="20"/>
          <w:lang w:val="nl-NL" w:eastAsia="nl-NL"/>
        </w:rPr>
        <w:t xml:space="preserve">HV Mogherini gaf </w:t>
      </w:r>
      <w:r w:rsidR="006209CA">
        <w:rPr>
          <w:rFonts w:eastAsia="Times New Roman"/>
          <w:sz w:val="20"/>
          <w:szCs w:val="20"/>
          <w:lang w:val="nl-NL" w:eastAsia="nl-NL"/>
        </w:rPr>
        <w:t xml:space="preserve">dat </w:t>
      </w:r>
      <w:r>
        <w:rPr>
          <w:rFonts w:eastAsia="Times New Roman"/>
          <w:sz w:val="20"/>
          <w:szCs w:val="20"/>
          <w:lang w:val="nl-NL" w:eastAsia="nl-NL"/>
        </w:rPr>
        <w:t xml:space="preserve">aan de conclusies van de RBZ van 17 </w:t>
      </w:r>
      <w:r w:rsidR="006209CA">
        <w:rPr>
          <w:rFonts w:eastAsia="Times New Roman"/>
          <w:sz w:val="20"/>
          <w:szCs w:val="20"/>
          <w:lang w:val="nl-NL" w:eastAsia="nl-NL"/>
        </w:rPr>
        <w:t xml:space="preserve">november jl. zijn </w:t>
      </w:r>
      <w:r>
        <w:rPr>
          <w:rFonts w:eastAsia="Times New Roman"/>
          <w:sz w:val="20"/>
          <w:szCs w:val="20"/>
          <w:lang w:val="nl-NL" w:eastAsia="nl-NL"/>
        </w:rPr>
        <w:t xml:space="preserve">geïmplementeerd: de restrictieve maatregelen tegen separatisten en separatistische entiteiten </w:t>
      </w:r>
      <w:r w:rsidR="00523CCC">
        <w:rPr>
          <w:rFonts w:eastAsia="Times New Roman"/>
          <w:sz w:val="20"/>
          <w:szCs w:val="20"/>
          <w:lang w:val="nl-NL" w:eastAsia="nl-NL"/>
        </w:rPr>
        <w:t xml:space="preserve">in Oekraïne </w:t>
      </w:r>
      <w:r>
        <w:rPr>
          <w:rFonts w:eastAsia="Times New Roman"/>
          <w:sz w:val="20"/>
          <w:szCs w:val="20"/>
          <w:lang w:val="nl-NL" w:eastAsia="nl-NL"/>
        </w:rPr>
        <w:t xml:space="preserve">zijn in werking getreden. Ten aanzien van de Krim-sancties gaf HV Mogherini aan dat de door de RBZ van 17 november jl. afgesproken versterking van de Krim-sancties technisch-juridisch vrijwel zijn afgerond en in de komende dagen kunnen </w:t>
      </w:r>
      <w:r>
        <w:rPr>
          <w:rFonts w:eastAsia="Times New Roman"/>
          <w:sz w:val="20"/>
          <w:szCs w:val="20"/>
          <w:lang w:val="nl-NL" w:eastAsia="nl-NL"/>
        </w:rPr>
        <w:lastRenderedPageBreak/>
        <w:t>worden aangenomen. Het gaat hierbij om een verdieping van de bestaande handel</w:t>
      </w:r>
      <w:r w:rsidR="006209CA">
        <w:rPr>
          <w:rFonts w:eastAsia="Times New Roman"/>
          <w:sz w:val="20"/>
          <w:szCs w:val="20"/>
          <w:lang w:val="nl-NL" w:eastAsia="nl-NL"/>
        </w:rPr>
        <w:t>s</w:t>
      </w:r>
      <w:r>
        <w:rPr>
          <w:rFonts w:eastAsia="Times New Roman"/>
          <w:sz w:val="20"/>
          <w:szCs w:val="20"/>
          <w:lang w:val="nl-NL" w:eastAsia="nl-NL"/>
        </w:rPr>
        <w:t xml:space="preserve">- en investeringssancties, waaronder een uitbreiding naar de toerisme-industrie en beperking van de export van bepaalde goederen en technologieën. </w:t>
      </w:r>
    </w:p>
    <w:p w:rsidR="00C73220" w:rsidP="00DD4AD3" w:rsidRDefault="00C73220" w14:paraId="60709D22" w14:textId="77777777">
      <w:pPr>
        <w:rPr>
          <w:sz w:val="20"/>
          <w:szCs w:val="20"/>
          <w:lang w:val="nl-NL"/>
        </w:rPr>
      </w:pPr>
    </w:p>
    <w:p w:rsidR="006B3544" w:rsidP="00DD4AD3" w:rsidRDefault="00C65C1C" w14:paraId="0F9A665E" w14:textId="02A3BFC8">
      <w:pPr>
        <w:rPr>
          <w:b/>
          <w:sz w:val="20"/>
          <w:lang w:val="nl-NL"/>
        </w:rPr>
      </w:pPr>
      <w:r w:rsidRPr="00C65C1C">
        <w:rPr>
          <w:b/>
          <w:sz w:val="20"/>
          <w:szCs w:val="20"/>
          <w:lang w:val="nl-NL"/>
        </w:rPr>
        <w:t>G</w:t>
      </w:r>
      <w:r>
        <w:rPr>
          <w:b/>
          <w:sz w:val="20"/>
          <w:szCs w:val="20"/>
          <w:lang w:val="nl-NL"/>
        </w:rPr>
        <w:t>eorgië</w:t>
      </w:r>
    </w:p>
    <w:p w:rsidRPr="00C65C1C" w:rsidR="006B3544" w:rsidP="00DD4AD3" w:rsidRDefault="007A634F" w14:paraId="74191E13" w14:textId="3695DDE9">
      <w:pPr>
        <w:rPr>
          <w:sz w:val="20"/>
          <w:lang w:val="nl-NL"/>
        </w:rPr>
      </w:pPr>
      <w:r>
        <w:rPr>
          <w:sz w:val="20"/>
          <w:szCs w:val="20"/>
          <w:lang w:val="nl-NL"/>
        </w:rPr>
        <w:t xml:space="preserve">Het kabinet maakt van deze gelegenheid gebruik Uw Kamer te informeren dat het </w:t>
      </w:r>
      <w:r w:rsidR="00A93DB4">
        <w:rPr>
          <w:sz w:val="20"/>
          <w:szCs w:val="20"/>
          <w:lang w:val="nl-NL"/>
        </w:rPr>
        <w:t xml:space="preserve">mandaat van de EU </w:t>
      </w:r>
      <w:r w:rsidRPr="00A93DB4" w:rsidR="00A93DB4">
        <w:rPr>
          <w:i/>
          <w:sz w:val="20"/>
          <w:szCs w:val="20"/>
          <w:lang w:val="nl-NL"/>
        </w:rPr>
        <w:t>Monitoring Mission</w:t>
      </w:r>
      <w:r w:rsidR="00A93DB4">
        <w:rPr>
          <w:sz w:val="20"/>
          <w:szCs w:val="20"/>
          <w:lang w:val="nl-NL"/>
        </w:rPr>
        <w:t xml:space="preserve"> in Georgië per 15 december 2014 met één jaar </w:t>
      </w:r>
      <w:r>
        <w:rPr>
          <w:sz w:val="20"/>
          <w:szCs w:val="20"/>
          <w:lang w:val="nl-NL"/>
        </w:rPr>
        <w:t xml:space="preserve">is </w:t>
      </w:r>
      <w:r w:rsidR="00A93DB4">
        <w:rPr>
          <w:sz w:val="20"/>
          <w:szCs w:val="20"/>
          <w:lang w:val="nl-NL"/>
        </w:rPr>
        <w:t>verlengd. Het mandaat en het takenpakket van de missie blijven gelijk. Ook de Nederlandse bijdrage is verlengd tot 15 december 2015.</w:t>
      </w:r>
    </w:p>
    <w:sectPr w:rsidRPr="00C65C1C" w:rsidR="006B354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60CEC" w14:textId="77777777" w:rsidR="00E34F31" w:rsidRDefault="00E34F31" w:rsidP="00E27F71">
      <w:r>
        <w:separator/>
      </w:r>
    </w:p>
  </w:endnote>
  <w:endnote w:type="continuationSeparator" w:id="0">
    <w:p w14:paraId="374AD557" w14:textId="77777777" w:rsidR="00E34F31" w:rsidRDefault="00E34F31" w:rsidP="00E27F71">
      <w:r>
        <w:continuationSeparator/>
      </w:r>
    </w:p>
  </w:endnote>
  <w:endnote w:type="continuationNotice" w:id="1">
    <w:p w14:paraId="5FA3F64D" w14:textId="77777777" w:rsidR="00E34F31" w:rsidRDefault="00E34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F99DD" w14:textId="77777777" w:rsidR="00E34F31" w:rsidRDefault="00E34F31" w:rsidP="00E27F71">
      <w:r>
        <w:separator/>
      </w:r>
    </w:p>
  </w:footnote>
  <w:footnote w:type="continuationSeparator" w:id="0">
    <w:p w14:paraId="70D82E68" w14:textId="77777777" w:rsidR="00E34F31" w:rsidRDefault="00E34F31" w:rsidP="00E27F71">
      <w:r>
        <w:continuationSeparator/>
      </w:r>
    </w:p>
  </w:footnote>
  <w:footnote w:type="continuationNotice" w:id="1">
    <w:p w14:paraId="35261998" w14:textId="77777777" w:rsidR="00E34F31" w:rsidRDefault="00E34F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71793"/>
    <w:multiLevelType w:val="multilevel"/>
    <w:tmpl w:val="2AFC6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024B06"/>
    <w:multiLevelType w:val="multilevel"/>
    <w:tmpl w:val="E098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86193F"/>
    <w:multiLevelType w:val="multilevel"/>
    <w:tmpl w:val="9A08A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CE6A87"/>
    <w:multiLevelType w:val="hybridMultilevel"/>
    <w:tmpl w:val="8FA08614"/>
    <w:lvl w:ilvl="0" w:tplc="6BD07DD6">
      <w:start w:val="1"/>
      <w:numFmt w:val="decimal"/>
      <w:lvlText w:val="%1."/>
      <w:lvlJc w:val="left"/>
      <w:pPr>
        <w:ind w:left="360" w:hanging="360"/>
      </w:pPr>
    </w:lvl>
    <w:lvl w:ilvl="1" w:tplc="F9CCAF5A">
      <w:start w:val="1"/>
      <w:numFmt w:val="bullet"/>
      <w:lvlText w:val="­"/>
      <w:lvlJc w:val="left"/>
      <w:pPr>
        <w:ind w:left="1080" w:hanging="360"/>
      </w:pPr>
      <w:rPr>
        <w:rFonts w:ascii="Courier New" w:hAnsi="Courier New" w:cs="Times New Roman"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nsid w:val="5AF12517"/>
    <w:multiLevelType w:val="multilevel"/>
    <w:tmpl w:val="207C9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993540"/>
    <w:multiLevelType w:val="multilevel"/>
    <w:tmpl w:val="144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935728"/>
    <w:multiLevelType w:val="hybridMultilevel"/>
    <w:tmpl w:val="9CFCD898"/>
    <w:lvl w:ilvl="0" w:tplc="644877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1"/>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EE"/>
    <w:rsid w:val="000146CD"/>
    <w:rsid w:val="00020BAE"/>
    <w:rsid w:val="00022995"/>
    <w:rsid w:val="0002638D"/>
    <w:rsid w:val="0002699B"/>
    <w:rsid w:val="00027055"/>
    <w:rsid w:val="00040F0D"/>
    <w:rsid w:val="0004146A"/>
    <w:rsid w:val="0005369B"/>
    <w:rsid w:val="0006121E"/>
    <w:rsid w:val="000622D6"/>
    <w:rsid w:val="0006339F"/>
    <w:rsid w:val="000718ED"/>
    <w:rsid w:val="00072790"/>
    <w:rsid w:val="00087748"/>
    <w:rsid w:val="000968D3"/>
    <w:rsid w:val="000A1C9C"/>
    <w:rsid w:val="000A2F3D"/>
    <w:rsid w:val="000A3F41"/>
    <w:rsid w:val="000B7274"/>
    <w:rsid w:val="000B7714"/>
    <w:rsid w:val="000C264D"/>
    <w:rsid w:val="000C36F3"/>
    <w:rsid w:val="000D02D0"/>
    <w:rsid w:val="000E169D"/>
    <w:rsid w:val="000E5BDB"/>
    <w:rsid w:val="000F2484"/>
    <w:rsid w:val="000F254D"/>
    <w:rsid w:val="000F5780"/>
    <w:rsid w:val="001012D5"/>
    <w:rsid w:val="00102045"/>
    <w:rsid w:val="00113C2B"/>
    <w:rsid w:val="0011625D"/>
    <w:rsid w:val="001205DB"/>
    <w:rsid w:val="00120EDF"/>
    <w:rsid w:val="00125946"/>
    <w:rsid w:val="00137587"/>
    <w:rsid w:val="00137782"/>
    <w:rsid w:val="00142600"/>
    <w:rsid w:val="00146842"/>
    <w:rsid w:val="0015518B"/>
    <w:rsid w:val="00160ACF"/>
    <w:rsid w:val="00162ECF"/>
    <w:rsid w:val="00165550"/>
    <w:rsid w:val="0016630B"/>
    <w:rsid w:val="00176CF4"/>
    <w:rsid w:val="001845FE"/>
    <w:rsid w:val="001864BA"/>
    <w:rsid w:val="00192C66"/>
    <w:rsid w:val="00192F0A"/>
    <w:rsid w:val="0019345C"/>
    <w:rsid w:val="00194961"/>
    <w:rsid w:val="001963D2"/>
    <w:rsid w:val="001968B0"/>
    <w:rsid w:val="00196F13"/>
    <w:rsid w:val="001A3C73"/>
    <w:rsid w:val="001B6D45"/>
    <w:rsid w:val="001C01C1"/>
    <w:rsid w:val="001D2317"/>
    <w:rsid w:val="001E0635"/>
    <w:rsid w:val="001E2EBB"/>
    <w:rsid w:val="001E4292"/>
    <w:rsid w:val="001E4622"/>
    <w:rsid w:val="001E4B49"/>
    <w:rsid w:val="001E7453"/>
    <w:rsid w:val="001F570D"/>
    <w:rsid w:val="001F5AFE"/>
    <w:rsid w:val="00205837"/>
    <w:rsid w:val="00205EC5"/>
    <w:rsid w:val="00206CB1"/>
    <w:rsid w:val="00212F36"/>
    <w:rsid w:val="00214D92"/>
    <w:rsid w:val="002236A3"/>
    <w:rsid w:val="002309CE"/>
    <w:rsid w:val="00231E8F"/>
    <w:rsid w:val="00233D70"/>
    <w:rsid w:val="0023517A"/>
    <w:rsid w:val="00237DA5"/>
    <w:rsid w:val="00252BF5"/>
    <w:rsid w:val="00261585"/>
    <w:rsid w:val="00265A25"/>
    <w:rsid w:val="002778CB"/>
    <w:rsid w:val="00281625"/>
    <w:rsid w:val="002927DF"/>
    <w:rsid w:val="00297205"/>
    <w:rsid w:val="002A1D0E"/>
    <w:rsid w:val="002A40FD"/>
    <w:rsid w:val="002A4301"/>
    <w:rsid w:val="002A5846"/>
    <w:rsid w:val="002A6646"/>
    <w:rsid w:val="002B53FD"/>
    <w:rsid w:val="002B5DDE"/>
    <w:rsid w:val="002C2A66"/>
    <w:rsid w:val="002C6F10"/>
    <w:rsid w:val="002D4196"/>
    <w:rsid w:val="002E2F36"/>
    <w:rsid w:val="002E7098"/>
    <w:rsid w:val="002E7E56"/>
    <w:rsid w:val="002F7428"/>
    <w:rsid w:val="003002DE"/>
    <w:rsid w:val="003024D0"/>
    <w:rsid w:val="00303536"/>
    <w:rsid w:val="003100F2"/>
    <w:rsid w:val="00310842"/>
    <w:rsid w:val="003229B9"/>
    <w:rsid w:val="00330F6F"/>
    <w:rsid w:val="00335887"/>
    <w:rsid w:val="003424B2"/>
    <w:rsid w:val="00345E83"/>
    <w:rsid w:val="0034677C"/>
    <w:rsid w:val="00346DF4"/>
    <w:rsid w:val="00357667"/>
    <w:rsid w:val="00365067"/>
    <w:rsid w:val="00365F21"/>
    <w:rsid w:val="00373E7B"/>
    <w:rsid w:val="00390468"/>
    <w:rsid w:val="00390F4E"/>
    <w:rsid w:val="00395384"/>
    <w:rsid w:val="003A2EB8"/>
    <w:rsid w:val="003A3954"/>
    <w:rsid w:val="003B2B28"/>
    <w:rsid w:val="003C1776"/>
    <w:rsid w:val="003C5571"/>
    <w:rsid w:val="003D4A9D"/>
    <w:rsid w:val="003D50BE"/>
    <w:rsid w:val="003D52F2"/>
    <w:rsid w:val="003D6D8F"/>
    <w:rsid w:val="003E1B1C"/>
    <w:rsid w:val="003E5926"/>
    <w:rsid w:val="003E7AD1"/>
    <w:rsid w:val="003E7E57"/>
    <w:rsid w:val="003F4A06"/>
    <w:rsid w:val="00405C5B"/>
    <w:rsid w:val="004071FC"/>
    <w:rsid w:val="0040799D"/>
    <w:rsid w:val="00412D5A"/>
    <w:rsid w:val="0043204D"/>
    <w:rsid w:val="004326F7"/>
    <w:rsid w:val="00440B5F"/>
    <w:rsid w:val="004417A9"/>
    <w:rsid w:val="00444E10"/>
    <w:rsid w:val="0044594D"/>
    <w:rsid w:val="00446239"/>
    <w:rsid w:val="004520C9"/>
    <w:rsid w:val="0047078D"/>
    <w:rsid w:val="00474FF7"/>
    <w:rsid w:val="00481885"/>
    <w:rsid w:val="00481EE5"/>
    <w:rsid w:val="004847B3"/>
    <w:rsid w:val="00487CB4"/>
    <w:rsid w:val="00490AAA"/>
    <w:rsid w:val="00490FB6"/>
    <w:rsid w:val="0049143E"/>
    <w:rsid w:val="004979B7"/>
    <w:rsid w:val="004A2203"/>
    <w:rsid w:val="004B1D94"/>
    <w:rsid w:val="004C05C5"/>
    <w:rsid w:val="004C34D1"/>
    <w:rsid w:val="004C62D8"/>
    <w:rsid w:val="004D5B06"/>
    <w:rsid w:val="004D5C5D"/>
    <w:rsid w:val="004E0E50"/>
    <w:rsid w:val="004F405F"/>
    <w:rsid w:val="00506BB8"/>
    <w:rsid w:val="00513D30"/>
    <w:rsid w:val="005152CC"/>
    <w:rsid w:val="00517EAF"/>
    <w:rsid w:val="0052035B"/>
    <w:rsid w:val="00523CCC"/>
    <w:rsid w:val="0053026F"/>
    <w:rsid w:val="005404ED"/>
    <w:rsid w:val="00540510"/>
    <w:rsid w:val="0054419D"/>
    <w:rsid w:val="00546141"/>
    <w:rsid w:val="00557203"/>
    <w:rsid w:val="00564430"/>
    <w:rsid w:val="00570DCC"/>
    <w:rsid w:val="0057263E"/>
    <w:rsid w:val="005748F2"/>
    <w:rsid w:val="0058184F"/>
    <w:rsid w:val="00591E25"/>
    <w:rsid w:val="00591EDE"/>
    <w:rsid w:val="00592E38"/>
    <w:rsid w:val="005935A7"/>
    <w:rsid w:val="00595019"/>
    <w:rsid w:val="005A1C65"/>
    <w:rsid w:val="005A3D77"/>
    <w:rsid w:val="005A5EB8"/>
    <w:rsid w:val="005B2F0F"/>
    <w:rsid w:val="005B3BC6"/>
    <w:rsid w:val="005D0511"/>
    <w:rsid w:val="005E2C15"/>
    <w:rsid w:val="005E395B"/>
    <w:rsid w:val="005F600C"/>
    <w:rsid w:val="00602DAC"/>
    <w:rsid w:val="00603315"/>
    <w:rsid w:val="00603616"/>
    <w:rsid w:val="006062CA"/>
    <w:rsid w:val="006068DD"/>
    <w:rsid w:val="00607587"/>
    <w:rsid w:val="006209CA"/>
    <w:rsid w:val="00621E88"/>
    <w:rsid w:val="00625B0E"/>
    <w:rsid w:val="00626D82"/>
    <w:rsid w:val="00626F27"/>
    <w:rsid w:val="006330E5"/>
    <w:rsid w:val="00633BF0"/>
    <w:rsid w:val="006347F3"/>
    <w:rsid w:val="00637014"/>
    <w:rsid w:val="00651C1A"/>
    <w:rsid w:val="00652033"/>
    <w:rsid w:val="00655FE7"/>
    <w:rsid w:val="00661A3D"/>
    <w:rsid w:val="006667DD"/>
    <w:rsid w:val="006715BB"/>
    <w:rsid w:val="00674FA3"/>
    <w:rsid w:val="0067533F"/>
    <w:rsid w:val="00684210"/>
    <w:rsid w:val="0068439A"/>
    <w:rsid w:val="006846C4"/>
    <w:rsid w:val="00686C3D"/>
    <w:rsid w:val="006914F2"/>
    <w:rsid w:val="00691F68"/>
    <w:rsid w:val="00692587"/>
    <w:rsid w:val="006A6788"/>
    <w:rsid w:val="006B3544"/>
    <w:rsid w:val="006D17F3"/>
    <w:rsid w:val="006D30DB"/>
    <w:rsid w:val="006D4BD7"/>
    <w:rsid w:val="006D5F5D"/>
    <w:rsid w:val="006D6570"/>
    <w:rsid w:val="006E189D"/>
    <w:rsid w:val="006E46CE"/>
    <w:rsid w:val="006E4C5D"/>
    <w:rsid w:val="006F0B44"/>
    <w:rsid w:val="006F0C88"/>
    <w:rsid w:val="006F1BB3"/>
    <w:rsid w:val="006F3DB3"/>
    <w:rsid w:val="006F6EE0"/>
    <w:rsid w:val="0070214B"/>
    <w:rsid w:val="0070487D"/>
    <w:rsid w:val="007075F0"/>
    <w:rsid w:val="00710E6B"/>
    <w:rsid w:val="00713CC6"/>
    <w:rsid w:val="00730F87"/>
    <w:rsid w:val="00732C94"/>
    <w:rsid w:val="00734A0B"/>
    <w:rsid w:val="007415D3"/>
    <w:rsid w:val="007430CF"/>
    <w:rsid w:val="00744292"/>
    <w:rsid w:val="007507CF"/>
    <w:rsid w:val="007703F5"/>
    <w:rsid w:val="007711A0"/>
    <w:rsid w:val="0077208C"/>
    <w:rsid w:val="00774144"/>
    <w:rsid w:val="00775BD3"/>
    <w:rsid w:val="00784057"/>
    <w:rsid w:val="007867AD"/>
    <w:rsid w:val="0079246E"/>
    <w:rsid w:val="007A19DB"/>
    <w:rsid w:val="007A2359"/>
    <w:rsid w:val="007A634F"/>
    <w:rsid w:val="007B4D49"/>
    <w:rsid w:val="007B79B4"/>
    <w:rsid w:val="007C10D8"/>
    <w:rsid w:val="007C45A0"/>
    <w:rsid w:val="007D64F1"/>
    <w:rsid w:val="007E10F9"/>
    <w:rsid w:val="007E28BA"/>
    <w:rsid w:val="008045E0"/>
    <w:rsid w:val="00806510"/>
    <w:rsid w:val="00817D40"/>
    <w:rsid w:val="00824B13"/>
    <w:rsid w:val="0083168C"/>
    <w:rsid w:val="00832700"/>
    <w:rsid w:val="00850B9B"/>
    <w:rsid w:val="00867CEF"/>
    <w:rsid w:val="008752DB"/>
    <w:rsid w:val="008858E8"/>
    <w:rsid w:val="00890B83"/>
    <w:rsid w:val="00896079"/>
    <w:rsid w:val="00896B0A"/>
    <w:rsid w:val="008A13FF"/>
    <w:rsid w:val="008A15A2"/>
    <w:rsid w:val="008B6052"/>
    <w:rsid w:val="008C383C"/>
    <w:rsid w:val="008C4EDF"/>
    <w:rsid w:val="008C71EC"/>
    <w:rsid w:val="008C7F40"/>
    <w:rsid w:val="008D4FB7"/>
    <w:rsid w:val="008E2843"/>
    <w:rsid w:val="008E323A"/>
    <w:rsid w:val="008F0077"/>
    <w:rsid w:val="008F6528"/>
    <w:rsid w:val="009046B8"/>
    <w:rsid w:val="00906F9A"/>
    <w:rsid w:val="00915BE3"/>
    <w:rsid w:val="00920BD4"/>
    <w:rsid w:val="00924BC2"/>
    <w:rsid w:val="009277EB"/>
    <w:rsid w:val="00936D99"/>
    <w:rsid w:val="00943DE5"/>
    <w:rsid w:val="009448A0"/>
    <w:rsid w:val="009605D6"/>
    <w:rsid w:val="00963F03"/>
    <w:rsid w:val="00981896"/>
    <w:rsid w:val="009837BB"/>
    <w:rsid w:val="009841CA"/>
    <w:rsid w:val="009849DC"/>
    <w:rsid w:val="00984EAA"/>
    <w:rsid w:val="009865F7"/>
    <w:rsid w:val="00987519"/>
    <w:rsid w:val="00990146"/>
    <w:rsid w:val="00991B74"/>
    <w:rsid w:val="00992424"/>
    <w:rsid w:val="0099482F"/>
    <w:rsid w:val="009B22CE"/>
    <w:rsid w:val="009B4735"/>
    <w:rsid w:val="009B6B36"/>
    <w:rsid w:val="009C15E8"/>
    <w:rsid w:val="009C5376"/>
    <w:rsid w:val="009C5ECC"/>
    <w:rsid w:val="009C70E4"/>
    <w:rsid w:val="009E143A"/>
    <w:rsid w:val="009E143F"/>
    <w:rsid w:val="009E29B5"/>
    <w:rsid w:val="009F4DC3"/>
    <w:rsid w:val="009F7A2B"/>
    <w:rsid w:val="009F7AFD"/>
    <w:rsid w:val="00A13A32"/>
    <w:rsid w:val="00A13E03"/>
    <w:rsid w:val="00A24639"/>
    <w:rsid w:val="00A2548B"/>
    <w:rsid w:val="00A2591E"/>
    <w:rsid w:val="00A25D7C"/>
    <w:rsid w:val="00A3375A"/>
    <w:rsid w:val="00A40C89"/>
    <w:rsid w:val="00A447C1"/>
    <w:rsid w:val="00A46305"/>
    <w:rsid w:val="00A47A71"/>
    <w:rsid w:val="00A570B4"/>
    <w:rsid w:val="00A57D73"/>
    <w:rsid w:val="00A65832"/>
    <w:rsid w:val="00A67B0A"/>
    <w:rsid w:val="00A8305B"/>
    <w:rsid w:val="00A84099"/>
    <w:rsid w:val="00A93DB4"/>
    <w:rsid w:val="00A97F14"/>
    <w:rsid w:val="00AA18FA"/>
    <w:rsid w:val="00AA1FE3"/>
    <w:rsid w:val="00AA366E"/>
    <w:rsid w:val="00AB192F"/>
    <w:rsid w:val="00AC0402"/>
    <w:rsid w:val="00AC15E8"/>
    <w:rsid w:val="00AC6074"/>
    <w:rsid w:val="00AD4C1B"/>
    <w:rsid w:val="00AD6BD9"/>
    <w:rsid w:val="00AD7A1A"/>
    <w:rsid w:val="00AE4FB3"/>
    <w:rsid w:val="00AF1C37"/>
    <w:rsid w:val="00AF5C6D"/>
    <w:rsid w:val="00B00DA7"/>
    <w:rsid w:val="00B01875"/>
    <w:rsid w:val="00B031F4"/>
    <w:rsid w:val="00B05343"/>
    <w:rsid w:val="00B05E21"/>
    <w:rsid w:val="00B06359"/>
    <w:rsid w:val="00B06EEA"/>
    <w:rsid w:val="00B156BB"/>
    <w:rsid w:val="00B20904"/>
    <w:rsid w:val="00B42067"/>
    <w:rsid w:val="00B54FC1"/>
    <w:rsid w:val="00B56601"/>
    <w:rsid w:val="00B629C6"/>
    <w:rsid w:val="00B72F98"/>
    <w:rsid w:val="00B73613"/>
    <w:rsid w:val="00B7564E"/>
    <w:rsid w:val="00B77D47"/>
    <w:rsid w:val="00B90C28"/>
    <w:rsid w:val="00B91865"/>
    <w:rsid w:val="00B97C80"/>
    <w:rsid w:val="00BB4C59"/>
    <w:rsid w:val="00BC1E50"/>
    <w:rsid w:val="00BC66EC"/>
    <w:rsid w:val="00BD65FD"/>
    <w:rsid w:val="00BF31B4"/>
    <w:rsid w:val="00BF47C7"/>
    <w:rsid w:val="00BF5A67"/>
    <w:rsid w:val="00BF668E"/>
    <w:rsid w:val="00BF7189"/>
    <w:rsid w:val="00C03EE4"/>
    <w:rsid w:val="00C07819"/>
    <w:rsid w:val="00C2337D"/>
    <w:rsid w:val="00C27266"/>
    <w:rsid w:val="00C27A13"/>
    <w:rsid w:val="00C327CA"/>
    <w:rsid w:val="00C51174"/>
    <w:rsid w:val="00C55AF4"/>
    <w:rsid w:val="00C575BA"/>
    <w:rsid w:val="00C6048F"/>
    <w:rsid w:val="00C65C1C"/>
    <w:rsid w:val="00C66958"/>
    <w:rsid w:val="00C73220"/>
    <w:rsid w:val="00C80515"/>
    <w:rsid w:val="00C836BB"/>
    <w:rsid w:val="00C83EEE"/>
    <w:rsid w:val="00C959DE"/>
    <w:rsid w:val="00CA1C08"/>
    <w:rsid w:val="00CA6481"/>
    <w:rsid w:val="00CC6325"/>
    <w:rsid w:val="00CC6469"/>
    <w:rsid w:val="00CD049D"/>
    <w:rsid w:val="00CD493B"/>
    <w:rsid w:val="00CE1BA0"/>
    <w:rsid w:val="00CE46AB"/>
    <w:rsid w:val="00CF4B81"/>
    <w:rsid w:val="00D0114D"/>
    <w:rsid w:val="00D15644"/>
    <w:rsid w:val="00D15CEC"/>
    <w:rsid w:val="00D27AFB"/>
    <w:rsid w:val="00D309B7"/>
    <w:rsid w:val="00D35029"/>
    <w:rsid w:val="00D36FF2"/>
    <w:rsid w:val="00D4649C"/>
    <w:rsid w:val="00D61DD5"/>
    <w:rsid w:val="00D6324C"/>
    <w:rsid w:val="00D646FC"/>
    <w:rsid w:val="00D70AB6"/>
    <w:rsid w:val="00D72E4E"/>
    <w:rsid w:val="00D73D31"/>
    <w:rsid w:val="00D7573D"/>
    <w:rsid w:val="00D75EE8"/>
    <w:rsid w:val="00D86FB4"/>
    <w:rsid w:val="00D928BA"/>
    <w:rsid w:val="00D94E50"/>
    <w:rsid w:val="00DA1F84"/>
    <w:rsid w:val="00DA3BCC"/>
    <w:rsid w:val="00DA70AD"/>
    <w:rsid w:val="00DB5B2C"/>
    <w:rsid w:val="00DC021A"/>
    <w:rsid w:val="00DC30BB"/>
    <w:rsid w:val="00DC5AAC"/>
    <w:rsid w:val="00DD0F1E"/>
    <w:rsid w:val="00DD1F2B"/>
    <w:rsid w:val="00DD29E4"/>
    <w:rsid w:val="00DD4AD3"/>
    <w:rsid w:val="00DD5845"/>
    <w:rsid w:val="00DD62B7"/>
    <w:rsid w:val="00DE4D7A"/>
    <w:rsid w:val="00DF6B7F"/>
    <w:rsid w:val="00DF719F"/>
    <w:rsid w:val="00E014EE"/>
    <w:rsid w:val="00E0312C"/>
    <w:rsid w:val="00E15269"/>
    <w:rsid w:val="00E15A54"/>
    <w:rsid w:val="00E27996"/>
    <w:rsid w:val="00E27F71"/>
    <w:rsid w:val="00E34F31"/>
    <w:rsid w:val="00E37FB6"/>
    <w:rsid w:val="00E40175"/>
    <w:rsid w:val="00E416B0"/>
    <w:rsid w:val="00E43CA0"/>
    <w:rsid w:val="00E51ACE"/>
    <w:rsid w:val="00E556D6"/>
    <w:rsid w:val="00E6033B"/>
    <w:rsid w:val="00E6515A"/>
    <w:rsid w:val="00E652B3"/>
    <w:rsid w:val="00E6632F"/>
    <w:rsid w:val="00E71731"/>
    <w:rsid w:val="00E73D98"/>
    <w:rsid w:val="00E7451E"/>
    <w:rsid w:val="00E80182"/>
    <w:rsid w:val="00E87292"/>
    <w:rsid w:val="00E932F8"/>
    <w:rsid w:val="00E951F5"/>
    <w:rsid w:val="00EA05B4"/>
    <w:rsid w:val="00EA7F0C"/>
    <w:rsid w:val="00EB5DAD"/>
    <w:rsid w:val="00EC0E6D"/>
    <w:rsid w:val="00EC1BDF"/>
    <w:rsid w:val="00EC241D"/>
    <w:rsid w:val="00ED2095"/>
    <w:rsid w:val="00ED37DF"/>
    <w:rsid w:val="00ED54A0"/>
    <w:rsid w:val="00ED65B6"/>
    <w:rsid w:val="00EE1F1D"/>
    <w:rsid w:val="00EE4D40"/>
    <w:rsid w:val="00EE6779"/>
    <w:rsid w:val="00EE7621"/>
    <w:rsid w:val="00F04D65"/>
    <w:rsid w:val="00F04DDE"/>
    <w:rsid w:val="00F05BFC"/>
    <w:rsid w:val="00F21866"/>
    <w:rsid w:val="00F3586D"/>
    <w:rsid w:val="00F41EF2"/>
    <w:rsid w:val="00F50285"/>
    <w:rsid w:val="00F55366"/>
    <w:rsid w:val="00F608BA"/>
    <w:rsid w:val="00F65BBD"/>
    <w:rsid w:val="00F704DE"/>
    <w:rsid w:val="00F86A82"/>
    <w:rsid w:val="00F92360"/>
    <w:rsid w:val="00FA73D4"/>
    <w:rsid w:val="00FB4FCD"/>
    <w:rsid w:val="00FB786C"/>
    <w:rsid w:val="00FC1EB8"/>
    <w:rsid w:val="00FC7715"/>
    <w:rsid w:val="00FC7CBB"/>
    <w:rsid w:val="00FD00AE"/>
    <w:rsid w:val="00FD12AC"/>
    <w:rsid w:val="00FD15BB"/>
    <w:rsid w:val="00FD77E3"/>
    <w:rsid w:val="00FE09F1"/>
    <w:rsid w:val="00FF2550"/>
    <w:rsid w:val="00FF3898"/>
    <w:rsid w:val="00FF3C80"/>
    <w:rsid w:val="00FF3E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2B28"/>
    <w:rPr>
      <w:sz w:val="16"/>
      <w:szCs w:val="16"/>
    </w:rPr>
  </w:style>
  <w:style w:type="paragraph" w:styleId="CommentText">
    <w:name w:val="annotation text"/>
    <w:basedOn w:val="Normal"/>
    <w:link w:val="CommentTextChar"/>
    <w:uiPriority w:val="99"/>
    <w:semiHidden/>
    <w:unhideWhenUsed/>
    <w:rsid w:val="003B2B28"/>
    <w:rPr>
      <w:sz w:val="20"/>
      <w:szCs w:val="20"/>
    </w:rPr>
  </w:style>
  <w:style w:type="character" w:customStyle="1" w:styleId="CommentTextChar">
    <w:name w:val="Comment Text Char"/>
    <w:basedOn w:val="DefaultParagraphFont"/>
    <w:link w:val="CommentText"/>
    <w:uiPriority w:val="99"/>
    <w:semiHidden/>
    <w:rsid w:val="003B2B28"/>
    <w:rPr>
      <w:sz w:val="20"/>
      <w:szCs w:val="20"/>
    </w:rPr>
  </w:style>
  <w:style w:type="paragraph" w:styleId="CommentSubject">
    <w:name w:val="annotation subject"/>
    <w:basedOn w:val="CommentText"/>
    <w:next w:val="CommentText"/>
    <w:link w:val="CommentSubjectChar"/>
    <w:uiPriority w:val="99"/>
    <w:semiHidden/>
    <w:unhideWhenUsed/>
    <w:rsid w:val="003B2B28"/>
    <w:rPr>
      <w:b/>
      <w:bCs/>
    </w:rPr>
  </w:style>
  <w:style w:type="character" w:customStyle="1" w:styleId="CommentSubjectChar">
    <w:name w:val="Comment Subject Char"/>
    <w:basedOn w:val="CommentTextChar"/>
    <w:link w:val="CommentSubject"/>
    <w:uiPriority w:val="99"/>
    <w:semiHidden/>
    <w:rsid w:val="003B2B28"/>
    <w:rPr>
      <w:b/>
      <w:bCs/>
      <w:sz w:val="20"/>
      <w:szCs w:val="20"/>
    </w:rPr>
  </w:style>
  <w:style w:type="paragraph" w:styleId="BalloonText">
    <w:name w:val="Balloon Text"/>
    <w:basedOn w:val="Normal"/>
    <w:link w:val="BalloonTextChar"/>
    <w:uiPriority w:val="99"/>
    <w:semiHidden/>
    <w:unhideWhenUsed/>
    <w:rsid w:val="003B2B28"/>
    <w:rPr>
      <w:rFonts w:ascii="Tahoma" w:hAnsi="Tahoma" w:cs="Tahoma"/>
      <w:sz w:val="16"/>
      <w:szCs w:val="16"/>
    </w:rPr>
  </w:style>
  <w:style w:type="character" w:customStyle="1" w:styleId="BalloonTextChar">
    <w:name w:val="Balloon Text Char"/>
    <w:basedOn w:val="DefaultParagraphFont"/>
    <w:link w:val="BalloonText"/>
    <w:uiPriority w:val="99"/>
    <w:semiHidden/>
    <w:rsid w:val="003B2B28"/>
    <w:rPr>
      <w:rFonts w:ascii="Tahoma" w:hAnsi="Tahoma" w:cs="Tahoma"/>
      <w:sz w:val="16"/>
      <w:szCs w:val="16"/>
    </w:rPr>
  </w:style>
  <w:style w:type="paragraph" w:styleId="ListParagraph">
    <w:name w:val="List Paragraph"/>
    <w:basedOn w:val="Normal"/>
    <w:uiPriority w:val="34"/>
    <w:qFormat/>
    <w:rsid w:val="00CD493B"/>
    <w:pPr>
      <w:ind w:left="720"/>
      <w:contextualSpacing/>
    </w:pPr>
  </w:style>
  <w:style w:type="paragraph" w:styleId="PlainText">
    <w:name w:val="Plain Text"/>
    <w:basedOn w:val="Normal"/>
    <w:link w:val="PlainTextChar"/>
    <w:uiPriority w:val="99"/>
    <w:unhideWhenUsed/>
    <w:rsid w:val="00E40175"/>
    <w:rPr>
      <w:rFonts w:ascii="Calibri" w:hAnsi="Calibri"/>
      <w:sz w:val="22"/>
      <w:szCs w:val="21"/>
      <w:lang w:val="nl-NL"/>
    </w:rPr>
  </w:style>
  <w:style w:type="character" w:customStyle="1" w:styleId="PlainTextChar">
    <w:name w:val="Plain Text Char"/>
    <w:basedOn w:val="DefaultParagraphFont"/>
    <w:link w:val="PlainText"/>
    <w:uiPriority w:val="99"/>
    <w:rsid w:val="00E40175"/>
    <w:rPr>
      <w:rFonts w:ascii="Calibri" w:hAnsi="Calibri"/>
      <w:sz w:val="22"/>
      <w:szCs w:val="21"/>
      <w:lang w:val="nl-NL"/>
    </w:rPr>
  </w:style>
  <w:style w:type="paragraph" w:styleId="FootnoteText">
    <w:name w:val="footnote text"/>
    <w:basedOn w:val="Normal"/>
    <w:link w:val="FootnoteTextChar"/>
    <w:uiPriority w:val="99"/>
    <w:semiHidden/>
    <w:unhideWhenUsed/>
    <w:rsid w:val="00E27F71"/>
    <w:pPr>
      <w:spacing w:after="200" w:line="276" w:lineRule="auto"/>
    </w:pPr>
    <w:rPr>
      <w:rFonts w:ascii="Calibri" w:eastAsia="Calibri" w:hAnsi="Calibri" w:cs="Times New Roman"/>
      <w:sz w:val="20"/>
      <w:szCs w:val="20"/>
      <w:lang w:val="nl-NL"/>
    </w:rPr>
  </w:style>
  <w:style w:type="character" w:customStyle="1" w:styleId="FootnoteTextChar">
    <w:name w:val="Footnote Text Char"/>
    <w:basedOn w:val="DefaultParagraphFont"/>
    <w:link w:val="FootnoteText"/>
    <w:uiPriority w:val="99"/>
    <w:semiHidden/>
    <w:rsid w:val="00E27F71"/>
    <w:rPr>
      <w:rFonts w:ascii="Calibri" w:eastAsia="Calibri" w:hAnsi="Calibri" w:cs="Times New Roman"/>
      <w:sz w:val="20"/>
      <w:szCs w:val="20"/>
      <w:lang w:val="nl-NL"/>
    </w:rPr>
  </w:style>
  <w:style w:type="character" w:styleId="FootnoteReference">
    <w:name w:val="footnote reference"/>
    <w:uiPriority w:val="99"/>
    <w:semiHidden/>
    <w:unhideWhenUsed/>
    <w:rsid w:val="00E27F71"/>
    <w:rPr>
      <w:vertAlign w:val="superscript"/>
    </w:rPr>
  </w:style>
  <w:style w:type="paragraph" w:styleId="Header">
    <w:name w:val="header"/>
    <w:basedOn w:val="Normal"/>
    <w:link w:val="HeaderChar"/>
    <w:uiPriority w:val="99"/>
    <w:semiHidden/>
    <w:unhideWhenUsed/>
    <w:rsid w:val="00817D40"/>
    <w:pPr>
      <w:tabs>
        <w:tab w:val="center" w:pos="4680"/>
        <w:tab w:val="right" w:pos="9360"/>
      </w:tabs>
    </w:pPr>
  </w:style>
  <w:style w:type="character" w:customStyle="1" w:styleId="HeaderChar">
    <w:name w:val="Header Char"/>
    <w:basedOn w:val="DefaultParagraphFont"/>
    <w:link w:val="Header"/>
    <w:uiPriority w:val="99"/>
    <w:semiHidden/>
    <w:rsid w:val="00817D40"/>
  </w:style>
  <w:style w:type="paragraph" w:styleId="Footer">
    <w:name w:val="footer"/>
    <w:basedOn w:val="Normal"/>
    <w:link w:val="FooterChar"/>
    <w:uiPriority w:val="99"/>
    <w:semiHidden/>
    <w:unhideWhenUsed/>
    <w:rsid w:val="00817D40"/>
    <w:pPr>
      <w:tabs>
        <w:tab w:val="center" w:pos="4680"/>
        <w:tab w:val="right" w:pos="9360"/>
      </w:tabs>
    </w:pPr>
  </w:style>
  <w:style w:type="character" w:customStyle="1" w:styleId="FooterChar">
    <w:name w:val="Footer Char"/>
    <w:basedOn w:val="DefaultParagraphFont"/>
    <w:link w:val="Footer"/>
    <w:uiPriority w:val="99"/>
    <w:semiHidden/>
    <w:rsid w:val="00817D40"/>
  </w:style>
  <w:style w:type="paragraph" w:customStyle="1" w:styleId="Text1">
    <w:name w:val="Text 1"/>
    <w:basedOn w:val="Normal"/>
    <w:rsid w:val="00192C66"/>
    <w:pPr>
      <w:spacing w:before="120" w:after="120" w:line="360" w:lineRule="auto"/>
      <w:ind w:left="567"/>
      <w:outlineLvl w:val="0"/>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1968B0"/>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2B28"/>
    <w:rPr>
      <w:sz w:val="16"/>
      <w:szCs w:val="16"/>
    </w:rPr>
  </w:style>
  <w:style w:type="paragraph" w:styleId="CommentText">
    <w:name w:val="annotation text"/>
    <w:basedOn w:val="Normal"/>
    <w:link w:val="CommentTextChar"/>
    <w:uiPriority w:val="99"/>
    <w:semiHidden/>
    <w:unhideWhenUsed/>
    <w:rsid w:val="003B2B28"/>
    <w:rPr>
      <w:sz w:val="20"/>
      <w:szCs w:val="20"/>
    </w:rPr>
  </w:style>
  <w:style w:type="character" w:customStyle="1" w:styleId="CommentTextChar">
    <w:name w:val="Comment Text Char"/>
    <w:basedOn w:val="DefaultParagraphFont"/>
    <w:link w:val="CommentText"/>
    <w:uiPriority w:val="99"/>
    <w:semiHidden/>
    <w:rsid w:val="003B2B28"/>
    <w:rPr>
      <w:sz w:val="20"/>
      <w:szCs w:val="20"/>
    </w:rPr>
  </w:style>
  <w:style w:type="paragraph" w:styleId="CommentSubject">
    <w:name w:val="annotation subject"/>
    <w:basedOn w:val="CommentText"/>
    <w:next w:val="CommentText"/>
    <w:link w:val="CommentSubjectChar"/>
    <w:uiPriority w:val="99"/>
    <w:semiHidden/>
    <w:unhideWhenUsed/>
    <w:rsid w:val="003B2B28"/>
    <w:rPr>
      <w:b/>
      <w:bCs/>
    </w:rPr>
  </w:style>
  <w:style w:type="character" w:customStyle="1" w:styleId="CommentSubjectChar">
    <w:name w:val="Comment Subject Char"/>
    <w:basedOn w:val="CommentTextChar"/>
    <w:link w:val="CommentSubject"/>
    <w:uiPriority w:val="99"/>
    <w:semiHidden/>
    <w:rsid w:val="003B2B28"/>
    <w:rPr>
      <w:b/>
      <w:bCs/>
      <w:sz w:val="20"/>
      <w:szCs w:val="20"/>
    </w:rPr>
  </w:style>
  <w:style w:type="paragraph" w:styleId="BalloonText">
    <w:name w:val="Balloon Text"/>
    <w:basedOn w:val="Normal"/>
    <w:link w:val="BalloonTextChar"/>
    <w:uiPriority w:val="99"/>
    <w:semiHidden/>
    <w:unhideWhenUsed/>
    <w:rsid w:val="003B2B28"/>
    <w:rPr>
      <w:rFonts w:ascii="Tahoma" w:hAnsi="Tahoma" w:cs="Tahoma"/>
      <w:sz w:val="16"/>
      <w:szCs w:val="16"/>
    </w:rPr>
  </w:style>
  <w:style w:type="character" w:customStyle="1" w:styleId="BalloonTextChar">
    <w:name w:val="Balloon Text Char"/>
    <w:basedOn w:val="DefaultParagraphFont"/>
    <w:link w:val="BalloonText"/>
    <w:uiPriority w:val="99"/>
    <w:semiHidden/>
    <w:rsid w:val="003B2B28"/>
    <w:rPr>
      <w:rFonts w:ascii="Tahoma" w:hAnsi="Tahoma" w:cs="Tahoma"/>
      <w:sz w:val="16"/>
      <w:szCs w:val="16"/>
    </w:rPr>
  </w:style>
  <w:style w:type="paragraph" w:styleId="ListParagraph">
    <w:name w:val="List Paragraph"/>
    <w:basedOn w:val="Normal"/>
    <w:uiPriority w:val="34"/>
    <w:qFormat/>
    <w:rsid w:val="00CD493B"/>
    <w:pPr>
      <w:ind w:left="720"/>
      <w:contextualSpacing/>
    </w:pPr>
  </w:style>
  <w:style w:type="paragraph" w:styleId="PlainText">
    <w:name w:val="Plain Text"/>
    <w:basedOn w:val="Normal"/>
    <w:link w:val="PlainTextChar"/>
    <w:uiPriority w:val="99"/>
    <w:unhideWhenUsed/>
    <w:rsid w:val="00E40175"/>
    <w:rPr>
      <w:rFonts w:ascii="Calibri" w:hAnsi="Calibri"/>
      <w:sz w:val="22"/>
      <w:szCs w:val="21"/>
      <w:lang w:val="nl-NL"/>
    </w:rPr>
  </w:style>
  <w:style w:type="character" w:customStyle="1" w:styleId="PlainTextChar">
    <w:name w:val="Plain Text Char"/>
    <w:basedOn w:val="DefaultParagraphFont"/>
    <w:link w:val="PlainText"/>
    <w:uiPriority w:val="99"/>
    <w:rsid w:val="00E40175"/>
    <w:rPr>
      <w:rFonts w:ascii="Calibri" w:hAnsi="Calibri"/>
      <w:sz w:val="22"/>
      <w:szCs w:val="21"/>
      <w:lang w:val="nl-NL"/>
    </w:rPr>
  </w:style>
  <w:style w:type="paragraph" w:styleId="FootnoteText">
    <w:name w:val="footnote text"/>
    <w:basedOn w:val="Normal"/>
    <w:link w:val="FootnoteTextChar"/>
    <w:uiPriority w:val="99"/>
    <w:semiHidden/>
    <w:unhideWhenUsed/>
    <w:rsid w:val="00E27F71"/>
    <w:pPr>
      <w:spacing w:after="200" w:line="276" w:lineRule="auto"/>
    </w:pPr>
    <w:rPr>
      <w:rFonts w:ascii="Calibri" w:eastAsia="Calibri" w:hAnsi="Calibri" w:cs="Times New Roman"/>
      <w:sz w:val="20"/>
      <w:szCs w:val="20"/>
      <w:lang w:val="nl-NL"/>
    </w:rPr>
  </w:style>
  <w:style w:type="character" w:customStyle="1" w:styleId="FootnoteTextChar">
    <w:name w:val="Footnote Text Char"/>
    <w:basedOn w:val="DefaultParagraphFont"/>
    <w:link w:val="FootnoteText"/>
    <w:uiPriority w:val="99"/>
    <w:semiHidden/>
    <w:rsid w:val="00E27F71"/>
    <w:rPr>
      <w:rFonts w:ascii="Calibri" w:eastAsia="Calibri" w:hAnsi="Calibri" w:cs="Times New Roman"/>
      <w:sz w:val="20"/>
      <w:szCs w:val="20"/>
      <w:lang w:val="nl-NL"/>
    </w:rPr>
  </w:style>
  <w:style w:type="character" w:styleId="FootnoteReference">
    <w:name w:val="footnote reference"/>
    <w:uiPriority w:val="99"/>
    <w:semiHidden/>
    <w:unhideWhenUsed/>
    <w:rsid w:val="00E27F71"/>
    <w:rPr>
      <w:vertAlign w:val="superscript"/>
    </w:rPr>
  </w:style>
  <w:style w:type="paragraph" w:styleId="Header">
    <w:name w:val="header"/>
    <w:basedOn w:val="Normal"/>
    <w:link w:val="HeaderChar"/>
    <w:uiPriority w:val="99"/>
    <w:semiHidden/>
    <w:unhideWhenUsed/>
    <w:rsid w:val="00817D40"/>
    <w:pPr>
      <w:tabs>
        <w:tab w:val="center" w:pos="4680"/>
        <w:tab w:val="right" w:pos="9360"/>
      </w:tabs>
    </w:pPr>
  </w:style>
  <w:style w:type="character" w:customStyle="1" w:styleId="HeaderChar">
    <w:name w:val="Header Char"/>
    <w:basedOn w:val="DefaultParagraphFont"/>
    <w:link w:val="Header"/>
    <w:uiPriority w:val="99"/>
    <w:semiHidden/>
    <w:rsid w:val="00817D40"/>
  </w:style>
  <w:style w:type="paragraph" w:styleId="Footer">
    <w:name w:val="footer"/>
    <w:basedOn w:val="Normal"/>
    <w:link w:val="FooterChar"/>
    <w:uiPriority w:val="99"/>
    <w:semiHidden/>
    <w:unhideWhenUsed/>
    <w:rsid w:val="00817D40"/>
    <w:pPr>
      <w:tabs>
        <w:tab w:val="center" w:pos="4680"/>
        <w:tab w:val="right" w:pos="9360"/>
      </w:tabs>
    </w:pPr>
  </w:style>
  <w:style w:type="character" w:customStyle="1" w:styleId="FooterChar">
    <w:name w:val="Footer Char"/>
    <w:basedOn w:val="DefaultParagraphFont"/>
    <w:link w:val="Footer"/>
    <w:uiPriority w:val="99"/>
    <w:semiHidden/>
    <w:rsid w:val="00817D40"/>
  </w:style>
  <w:style w:type="paragraph" w:customStyle="1" w:styleId="Text1">
    <w:name w:val="Text 1"/>
    <w:basedOn w:val="Normal"/>
    <w:rsid w:val="00192C66"/>
    <w:pPr>
      <w:spacing w:before="120" w:after="120" w:line="360" w:lineRule="auto"/>
      <w:ind w:left="567"/>
      <w:outlineLvl w:val="0"/>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1968B0"/>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970">
      <w:bodyDiv w:val="1"/>
      <w:marLeft w:val="0"/>
      <w:marRight w:val="0"/>
      <w:marTop w:val="0"/>
      <w:marBottom w:val="0"/>
      <w:divBdr>
        <w:top w:val="none" w:sz="0" w:space="0" w:color="auto"/>
        <w:left w:val="none" w:sz="0" w:space="0" w:color="auto"/>
        <w:bottom w:val="none" w:sz="0" w:space="0" w:color="auto"/>
        <w:right w:val="none" w:sz="0" w:space="0" w:color="auto"/>
      </w:divBdr>
    </w:div>
    <w:div w:id="324671561">
      <w:bodyDiv w:val="1"/>
      <w:marLeft w:val="0"/>
      <w:marRight w:val="0"/>
      <w:marTop w:val="0"/>
      <w:marBottom w:val="0"/>
      <w:divBdr>
        <w:top w:val="none" w:sz="0" w:space="0" w:color="auto"/>
        <w:left w:val="none" w:sz="0" w:space="0" w:color="auto"/>
        <w:bottom w:val="none" w:sz="0" w:space="0" w:color="auto"/>
        <w:right w:val="none" w:sz="0" w:space="0" w:color="auto"/>
      </w:divBdr>
    </w:div>
    <w:div w:id="386732339">
      <w:bodyDiv w:val="1"/>
      <w:marLeft w:val="0"/>
      <w:marRight w:val="0"/>
      <w:marTop w:val="0"/>
      <w:marBottom w:val="0"/>
      <w:divBdr>
        <w:top w:val="none" w:sz="0" w:space="0" w:color="auto"/>
        <w:left w:val="none" w:sz="0" w:space="0" w:color="auto"/>
        <w:bottom w:val="none" w:sz="0" w:space="0" w:color="auto"/>
        <w:right w:val="none" w:sz="0" w:space="0" w:color="auto"/>
      </w:divBdr>
    </w:div>
    <w:div w:id="391393596">
      <w:bodyDiv w:val="1"/>
      <w:marLeft w:val="0"/>
      <w:marRight w:val="0"/>
      <w:marTop w:val="0"/>
      <w:marBottom w:val="0"/>
      <w:divBdr>
        <w:top w:val="none" w:sz="0" w:space="0" w:color="auto"/>
        <w:left w:val="none" w:sz="0" w:space="0" w:color="auto"/>
        <w:bottom w:val="none" w:sz="0" w:space="0" w:color="auto"/>
        <w:right w:val="none" w:sz="0" w:space="0" w:color="auto"/>
      </w:divBdr>
      <w:divsChild>
        <w:div w:id="210114509">
          <w:marLeft w:val="0"/>
          <w:marRight w:val="0"/>
          <w:marTop w:val="0"/>
          <w:marBottom w:val="0"/>
          <w:divBdr>
            <w:top w:val="none" w:sz="0" w:space="0" w:color="auto"/>
            <w:left w:val="none" w:sz="0" w:space="0" w:color="auto"/>
            <w:bottom w:val="none" w:sz="0" w:space="0" w:color="auto"/>
            <w:right w:val="none" w:sz="0" w:space="0" w:color="auto"/>
          </w:divBdr>
          <w:divsChild>
            <w:div w:id="78334971">
              <w:marLeft w:val="0"/>
              <w:marRight w:val="0"/>
              <w:marTop w:val="0"/>
              <w:marBottom w:val="0"/>
              <w:divBdr>
                <w:top w:val="none" w:sz="0" w:space="0" w:color="auto"/>
                <w:left w:val="none" w:sz="0" w:space="0" w:color="auto"/>
                <w:bottom w:val="none" w:sz="0" w:space="0" w:color="auto"/>
                <w:right w:val="none" w:sz="0" w:space="0" w:color="auto"/>
              </w:divBdr>
              <w:divsChild>
                <w:div w:id="1631739315">
                  <w:marLeft w:val="0"/>
                  <w:marRight w:val="0"/>
                  <w:marTop w:val="0"/>
                  <w:marBottom w:val="0"/>
                  <w:divBdr>
                    <w:top w:val="none" w:sz="0" w:space="0" w:color="auto"/>
                    <w:left w:val="none" w:sz="0" w:space="0" w:color="auto"/>
                    <w:bottom w:val="none" w:sz="0" w:space="0" w:color="auto"/>
                    <w:right w:val="none" w:sz="0" w:space="0" w:color="auto"/>
                  </w:divBdr>
                  <w:divsChild>
                    <w:div w:id="179791599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392045226">
      <w:bodyDiv w:val="1"/>
      <w:marLeft w:val="0"/>
      <w:marRight w:val="0"/>
      <w:marTop w:val="0"/>
      <w:marBottom w:val="0"/>
      <w:divBdr>
        <w:top w:val="none" w:sz="0" w:space="0" w:color="auto"/>
        <w:left w:val="none" w:sz="0" w:space="0" w:color="auto"/>
        <w:bottom w:val="none" w:sz="0" w:space="0" w:color="auto"/>
        <w:right w:val="none" w:sz="0" w:space="0" w:color="auto"/>
      </w:divBdr>
    </w:div>
    <w:div w:id="614141652">
      <w:bodyDiv w:val="1"/>
      <w:marLeft w:val="0"/>
      <w:marRight w:val="0"/>
      <w:marTop w:val="0"/>
      <w:marBottom w:val="0"/>
      <w:divBdr>
        <w:top w:val="none" w:sz="0" w:space="0" w:color="auto"/>
        <w:left w:val="none" w:sz="0" w:space="0" w:color="auto"/>
        <w:bottom w:val="none" w:sz="0" w:space="0" w:color="auto"/>
        <w:right w:val="none" w:sz="0" w:space="0" w:color="auto"/>
      </w:divBdr>
    </w:div>
    <w:div w:id="630942351">
      <w:bodyDiv w:val="1"/>
      <w:marLeft w:val="0"/>
      <w:marRight w:val="0"/>
      <w:marTop w:val="0"/>
      <w:marBottom w:val="0"/>
      <w:divBdr>
        <w:top w:val="none" w:sz="0" w:space="0" w:color="auto"/>
        <w:left w:val="none" w:sz="0" w:space="0" w:color="auto"/>
        <w:bottom w:val="none" w:sz="0" w:space="0" w:color="auto"/>
        <w:right w:val="none" w:sz="0" w:space="0" w:color="auto"/>
      </w:divBdr>
    </w:div>
    <w:div w:id="654602218">
      <w:bodyDiv w:val="1"/>
      <w:marLeft w:val="0"/>
      <w:marRight w:val="0"/>
      <w:marTop w:val="0"/>
      <w:marBottom w:val="0"/>
      <w:divBdr>
        <w:top w:val="none" w:sz="0" w:space="0" w:color="auto"/>
        <w:left w:val="none" w:sz="0" w:space="0" w:color="auto"/>
        <w:bottom w:val="none" w:sz="0" w:space="0" w:color="auto"/>
        <w:right w:val="none" w:sz="0" w:space="0" w:color="auto"/>
      </w:divBdr>
    </w:div>
    <w:div w:id="688065139">
      <w:bodyDiv w:val="1"/>
      <w:marLeft w:val="0"/>
      <w:marRight w:val="0"/>
      <w:marTop w:val="0"/>
      <w:marBottom w:val="0"/>
      <w:divBdr>
        <w:top w:val="none" w:sz="0" w:space="0" w:color="auto"/>
        <w:left w:val="none" w:sz="0" w:space="0" w:color="auto"/>
        <w:bottom w:val="none" w:sz="0" w:space="0" w:color="auto"/>
        <w:right w:val="none" w:sz="0" w:space="0" w:color="auto"/>
      </w:divBdr>
    </w:div>
    <w:div w:id="712581665">
      <w:bodyDiv w:val="1"/>
      <w:marLeft w:val="0"/>
      <w:marRight w:val="0"/>
      <w:marTop w:val="0"/>
      <w:marBottom w:val="0"/>
      <w:divBdr>
        <w:top w:val="none" w:sz="0" w:space="0" w:color="auto"/>
        <w:left w:val="none" w:sz="0" w:space="0" w:color="auto"/>
        <w:bottom w:val="none" w:sz="0" w:space="0" w:color="auto"/>
        <w:right w:val="none" w:sz="0" w:space="0" w:color="auto"/>
      </w:divBdr>
    </w:div>
    <w:div w:id="721514709">
      <w:bodyDiv w:val="1"/>
      <w:marLeft w:val="0"/>
      <w:marRight w:val="0"/>
      <w:marTop w:val="0"/>
      <w:marBottom w:val="0"/>
      <w:divBdr>
        <w:top w:val="none" w:sz="0" w:space="0" w:color="auto"/>
        <w:left w:val="none" w:sz="0" w:space="0" w:color="auto"/>
        <w:bottom w:val="none" w:sz="0" w:space="0" w:color="auto"/>
        <w:right w:val="none" w:sz="0" w:space="0" w:color="auto"/>
      </w:divBdr>
      <w:divsChild>
        <w:div w:id="2072802336">
          <w:marLeft w:val="0"/>
          <w:marRight w:val="0"/>
          <w:marTop w:val="0"/>
          <w:marBottom w:val="0"/>
          <w:divBdr>
            <w:top w:val="none" w:sz="0" w:space="0" w:color="auto"/>
            <w:left w:val="none" w:sz="0" w:space="0" w:color="auto"/>
            <w:bottom w:val="none" w:sz="0" w:space="0" w:color="auto"/>
            <w:right w:val="none" w:sz="0" w:space="0" w:color="auto"/>
          </w:divBdr>
          <w:divsChild>
            <w:div w:id="1958753881">
              <w:marLeft w:val="0"/>
              <w:marRight w:val="0"/>
              <w:marTop w:val="0"/>
              <w:marBottom w:val="0"/>
              <w:divBdr>
                <w:top w:val="none" w:sz="0" w:space="0" w:color="auto"/>
                <w:left w:val="none" w:sz="0" w:space="0" w:color="auto"/>
                <w:bottom w:val="none" w:sz="0" w:space="0" w:color="auto"/>
                <w:right w:val="none" w:sz="0" w:space="0" w:color="auto"/>
              </w:divBdr>
              <w:divsChild>
                <w:div w:id="365299726">
                  <w:marLeft w:val="0"/>
                  <w:marRight w:val="0"/>
                  <w:marTop w:val="0"/>
                  <w:marBottom w:val="0"/>
                  <w:divBdr>
                    <w:top w:val="none" w:sz="0" w:space="0" w:color="auto"/>
                    <w:left w:val="none" w:sz="0" w:space="0" w:color="auto"/>
                    <w:bottom w:val="none" w:sz="0" w:space="0" w:color="auto"/>
                    <w:right w:val="none" w:sz="0" w:space="0" w:color="auto"/>
                  </w:divBdr>
                  <w:divsChild>
                    <w:div w:id="158329672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726493957">
      <w:bodyDiv w:val="1"/>
      <w:marLeft w:val="0"/>
      <w:marRight w:val="0"/>
      <w:marTop w:val="0"/>
      <w:marBottom w:val="0"/>
      <w:divBdr>
        <w:top w:val="none" w:sz="0" w:space="0" w:color="auto"/>
        <w:left w:val="none" w:sz="0" w:space="0" w:color="auto"/>
        <w:bottom w:val="none" w:sz="0" w:space="0" w:color="auto"/>
        <w:right w:val="none" w:sz="0" w:space="0" w:color="auto"/>
      </w:divBdr>
    </w:div>
    <w:div w:id="921991056">
      <w:bodyDiv w:val="1"/>
      <w:marLeft w:val="0"/>
      <w:marRight w:val="0"/>
      <w:marTop w:val="0"/>
      <w:marBottom w:val="0"/>
      <w:divBdr>
        <w:top w:val="none" w:sz="0" w:space="0" w:color="auto"/>
        <w:left w:val="none" w:sz="0" w:space="0" w:color="auto"/>
        <w:bottom w:val="none" w:sz="0" w:space="0" w:color="auto"/>
        <w:right w:val="none" w:sz="0" w:space="0" w:color="auto"/>
      </w:divBdr>
    </w:div>
    <w:div w:id="980111388">
      <w:bodyDiv w:val="1"/>
      <w:marLeft w:val="0"/>
      <w:marRight w:val="0"/>
      <w:marTop w:val="0"/>
      <w:marBottom w:val="0"/>
      <w:divBdr>
        <w:top w:val="none" w:sz="0" w:space="0" w:color="auto"/>
        <w:left w:val="none" w:sz="0" w:space="0" w:color="auto"/>
        <w:bottom w:val="none" w:sz="0" w:space="0" w:color="auto"/>
        <w:right w:val="none" w:sz="0" w:space="0" w:color="auto"/>
      </w:divBdr>
    </w:div>
    <w:div w:id="1080757679">
      <w:bodyDiv w:val="1"/>
      <w:marLeft w:val="0"/>
      <w:marRight w:val="0"/>
      <w:marTop w:val="0"/>
      <w:marBottom w:val="0"/>
      <w:divBdr>
        <w:top w:val="none" w:sz="0" w:space="0" w:color="auto"/>
        <w:left w:val="none" w:sz="0" w:space="0" w:color="auto"/>
        <w:bottom w:val="none" w:sz="0" w:space="0" w:color="auto"/>
        <w:right w:val="none" w:sz="0" w:space="0" w:color="auto"/>
      </w:divBdr>
    </w:div>
    <w:div w:id="1111240648">
      <w:bodyDiv w:val="1"/>
      <w:marLeft w:val="0"/>
      <w:marRight w:val="0"/>
      <w:marTop w:val="0"/>
      <w:marBottom w:val="0"/>
      <w:divBdr>
        <w:top w:val="none" w:sz="0" w:space="0" w:color="auto"/>
        <w:left w:val="none" w:sz="0" w:space="0" w:color="auto"/>
        <w:bottom w:val="none" w:sz="0" w:space="0" w:color="auto"/>
        <w:right w:val="none" w:sz="0" w:space="0" w:color="auto"/>
      </w:divBdr>
    </w:div>
    <w:div w:id="1150446206">
      <w:bodyDiv w:val="1"/>
      <w:marLeft w:val="0"/>
      <w:marRight w:val="0"/>
      <w:marTop w:val="0"/>
      <w:marBottom w:val="0"/>
      <w:divBdr>
        <w:top w:val="none" w:sz="0" w:space="0" w:color="auto"/>
        <w:left w:val="none" w:sz="0" w:space="0" w:color="auto"/>
        <w:bottom w:val="none" w:sz="0" w:space="0" w:color="auto"/>
        <w:right w:val="none" w:sz="0" w:space="0" w:color="auto"/>
      </w:divBdr>
    </w:div>
    <w:div w:id="1160341804">
      <w:bodyDiv w:val="1"/>
      <w:marLeft w:val="0"/>
      <w:marRight w:val="0"/>
      <w:marTop w:val="0"/>
      <w:marBottom w:val="0"/>
      <w:divBdr>
        <w:top w:val="none" w:sz="0" w:space="0" w:color="auto"/>
        <w:left w:val="none" w:sz="0" w:space="0" w:color="auto"/>
        <w:bottom w:val="none" w:sz="0" w:space="0" w:color="auto"/>
        <w:right w:val="none" w:sz="0" w:space="0" w:color="auto"/>
      </w:divBdr>
    </w:div>
    <w:div w:id="1188519109">
      <w:bodyDiv w:val="1"/>
      <w:marLeft w:val="0"/>
      <w:marRight w:val="0"/>
      <w:marTop w:val="0"/>
      <w:marBottom w:val="0"/>
      <w:divBdr>
        <w:top w:val="none" w:sz="0" w:space="0" w:color="auto"/>
        <w:left w:val="none" w:sz="0" w:space="0" w:color="auto"/>
        <w:bottom w:val="none" w:sz="0" w:space="0" w:color="auto"/>
        <w:right w:val="none" w:sz="0" w:space="0" w:color="auto"/>
      </w:divBdr>
      <w:divsChild>
        <w:div w:id="75640887">
          <w:marLeft w:val="0"/>
          <w:marRight w:val="0"/>
          <w:marTop w:val="0"/>
          <w:marBottom w:val="0"/>
          <w:divBdr>
            <w:top w:val="none" w:sz="0" w:space="0" w:color="auto"/>
            <w:left w:val="none" w:sz="0" w:space="0" w:color="auto"/>
            <w:bottom w:val="none" w:sz="0" w:space="0" w:color="auto"/>
            <w:right w:val="none" w:sz="0" w:space="0" w:color="auto"/>
          </w:divBdr>
          <w:divsChild>
            <w:div w:id="1906719902">
              <w:marLeft w:val="0"/>
              <w:marRight w:val="0"/>
              <w:marTop w:val="0"/>
              <w:marBottom w:val="0"/>
              <w:divBdr>
                <w:top w:val="none" w:sz="0" w:space="0" w:color="auto"/>
                <w:left w:val="none" w:sz="0" w:space="0" w:color="auto"/>
                <w:bottom w:val="none" w:sz="0" w:space="0" w:color="auto"/>
                <w:right w:val="none" w:sz="0" w:space="0" w:color="auto"/>
              </w:divBdr>
              <w:divsChild>
                <w:div w:id="1234504502">
                  <w:marLeft w:val="0"/>
                  <w:marRight w:val="0"/>
                  <w:marTop w:val="0"/>
                  <w:marBottom w:val="0"/>
                  <w:divBdr>
                    <w:top w:val="none" w:sz="0" w:space="0" w:color="auto"/>
                    <w:left w:val="none" w:sz="0" w:space="0" w:color="auto"/>
                    <w:bottom w:val="none" w:sz="0" w:space="0" w:color="auto"/>
                    <w:right w:val="none" w:sz="0" w:space="0" w:color="auto"/>
                  </w:divBdr>
                  <w:divsChild>
                    <w:div w:id="120694335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233656624">
      <w:bodyDiv w:val="1"/>
      <w:marLeft w:val="0"/>
      <w:marRight w:val="0"/>
      <w:marTop w:val="0"/>
      <w:marBottom w:val="0"/>
      <w:divBdr>
        <w:top w:val="none" w:sz="0" w:space="0" w:color="auto"/>
        <w:left w:val="none" w:sz="0" w:space="0" w:color="auto"/>
        <w:bottom w:val="none" w:sz="0" w:space="0" w:color="auto"/>
        <w:right w:val="none" w:sz="0" w:space="0" w:color="auto"/>
      </w:divBdr>
    </w:div>
    <w:div w:id="1283607878">
      <w:bodyDiv w:val="1"/>
      <w:marLeft w:val="0"/>
      <w:marRight w:val="0"/>
      <w:marTop w:val="0"/>
      <w:marBottom w:val="0"/>
      <w:divBdr>
        <w:top w:val="none" w:sz="0" w:space="0" w:color="auto"/>
        <w:left w:val="none" w:sz="0" w:space="0" w:color="auto"/>
        <w:bottom w:val="none" w:sz="0" w:space="0" w:color="auto"/>
        <w:right w:val="none" w:sz="0" w:space="0" w:color="auto"/>
      </w:divBdr>
      <w:divsChild>
        <w:div w:id="2028871617">
          <w:marLeft w:val="0"/>
          <w:marRight w:val="0"/>
          <w:marTop w:val="0"/>
          <w:marBottom w:val="0"/>
          <w:divBdr>
            <w:top w:val="none" w:sz="0" w:space="0" w:color="auto"/>
            <w:left w:val="none" w:sz="0" w:space="0" w:color="auto"/>
            <w:bottom w:val="none" w:sz="0" w:space="0" w:color="auto"/>
            <w:right w:val="none" w:sz="0" w:space="0" w:color="auto"/>
          </w:divBdr>
          <w:divsChild>
            <w:div w:id="702094461">
              <w:marLeft w:val="0"/>
              <w:marRight w:val="0"/>
              <w:marTop w:val="0"/>
              <w:marBottom w:val="0"/>
              <w:divBdr>
                <w:top w:val="none" w:sz="0" w:space="0" w:color="auto"/>
                <w:left w:val="none" w:sz="0" w:space="0" w:color="auto"/>
                <w:bottom w:val="none" w:sz="0" w:space="0" w:color="auto"/>
                <w:right w:val="none" w:sz="0" w:space="0" w:color="auto"/>
              </w:divBdr>
              <w:divsChild>
                <w:div w:id="354310925">
                  <w:marLeft w:val="0"/>
                  <w:marRight w:val="0"/>
                  <w:marTop w:val="0"/>
                  <w:marBottom w:val="0"/>
                  <w:divBdr>
                    <w:top w:val="none" w:sz="0" w:space="0" w:color="auto"/>
                    <w:left w:val="none" w:sz="0" w:space="0" w:color="auto"/>
                    <w:bottom w:val="none" w:sz="0" w:space="0" w:color="auto"/>
                    <w:right w:val="none" w:sz="0" w:space="0" w:color="auto"/>
                  </w:divBdr>
                  <w:divsChild>
                    <w:div w:id="180704387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293680819">
      <w:bodyDiv w:val="1"/>
      <w:marLeft w:val="0"/>
      <w:marRight w:val="0"/>
      <w:marTop w:val="0"/>
      <w:marBottom w:val="0"/>
      <w:divBdr>
        <w:top w:val="none" w:sz="0" w:space="0" w:color="auto"/>
        <w:left w:val="none" w:sz="0" w:space="0" w:color="auto"/>
        <w:bottom w:val="none" w:sz="0" w:space="0" w:color="auto"/>
        <w:right w:val="none" w:sz="0" w:space="0" w:color="auto"/>
      </w:divBdr>
    </w:div>
    <w:div w:id="1396397051">
      <w:bodyDiv w:val="1"/>
      <w:marLeft w:val="0"/>
      <w:marRight w:val="0"/>
      <w:marTop w:val="0"/>
      <w:marBottom w:val="0"/>
      <w:divBdr>
        <w:top w:val="none" w:sz="0" w:space="0" w:color="auto"/>
        <w:left w:val="none" w:sz="0" w:space="0" w:color="auto"/>
        <w:bottom w:val="none" w:sz="0" w:space="0" w:color="auto"/>
        <w:right w:val="none" w:sz="0" w:space="0" w:color="auto"/>
      </w:divBdr>
    </w:div>
    <w:div w:id="1504123390">
      <w:bodyDiv w:val="1"/>
      <w:marLeft w:val="0"/>
      <w:marRight w:val="0"/>
      <w:marTop w:val="0"/>
      <w:marBottom w:val="0"/>
      <w:divBdr>
        <w:top w:val="none" w:sz="0" w:space="0" w:color="auto"/>
        <w:left w:val="none" w:sz="0" w:space="0" w:color="auto"/>
        <w:bottom w:val="none" w:sz="0" w:space="0" w:color="auto"/>
        <w:right w:val="none" w:sz="0" w:space="0" w:color="auto"/>
      </w:divBdr>
      <w:divsChild>
        <w:div w:id="1760758934">
          <w:marLeft w:val="0"/>
          <w:marRight w:val="0"/>
          <w:marTop w:val="0"/>
          <w:marBottom w:val="0"/>
          <w:divBdr>
            <w:top w:val="none" w:sz="0" w:space="0" w:color="auto"/>
            <w:left w:val="none" w:sz="0" w:space="0" w:color="auto"/>
            <w:bottom w:val="none" w:sz="0" w:space="0" w:color="auto"/>
            <w:right w:val="none" w:sz="0" w:space="0" w:color="auto"/>
          </w:divBdr>
          <w:divsChild>
            <w:div w:id="1671593455">
              <w:marLeft w:val="0"/>
              <w:marRight w:val="0"/>
              <w:marTop w:val="0"/>
              <w:marBottom w:val="0"/>
              <w:divBdr>
                <w:top w:val="none" w:sz="0" w:space="0" w:color="auto"/>
                <w:left w:val="none" w:sz="0" w:space="0" w:color="auto"/>
                <w:bottom w:val="none" w:sz="0" w:space="0" w:color="auto"/>
                <w:right w:val="none" w:sz="0" w:space="0" w:color="auto"/>
              </w:divBdr>
              <w:divsChild>
                <w:div w:id="499538462">
                  <w:marLeft w:val="0"/>
                  <w:marRight w:val="0"/>
                  <w:marTop w:val="0"/>
                  <w:marBottom w:val="0"/>
                  <w:divBdr>
                    <w:top w:val="none" w:sz="0" w:space="0" w:color="auto"/>
                    <w:left w:val="none" w:sz="0" w:space="0" w:color="auto"/>
                    <w:bottom w:val="none" w:sz="0" w:space="0" w:color="auto"/>
                    <w:right w:val="none" w:sz="0" w:space="0" w:color="auto"/>
                  </w:divBdr>
                  <w:divsChild>
                    <w:div w:id="15769637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566841186">
      <w:bodyDiv w:val="1"/>
      <w:marLeft w:val="0"/>
      <w:marRight w:val="0"/>
      <w:marTop w:val="0"/>
      <w:marBottom w:val="0"/>
      <w:divBdr>
        <w:top w:val="none" w:sz="0" w:space="0" w:color="auto"/>
        <w:left w:val="none" w:sz="0" w:space="0" w:color="auto"/>
        <w:bottom w:val="none" w:sz="0" w:space="0" w:color="auto"/>
        <w:right w:val="none" w:sz="0" w:space="0" w:color="auto"/>
      </w:divBdr>
    </w:div>
    <w:div w:id="1664091408">
      <w:bodyDiv w:val="1"/>
      <w:marLeft w:val="0"/>
      <w:marRight w:val="0"/>
      <w:marTop w:val="0"/>
      <w:marBottom w:val="0"/>
      <w:divBdr>
        <w:top w:val="none" w:sz="0" w:space="0" w:color="auto"/>
        <w:left w:val="none" w:sz="0" w:space="0" w:color="auto"/>
        <w:bottom w:val="none" w:sz="0" w:space="0" w:color="auto"/>
        <w:right w:val="none" w:sz="0" w:space="0" w:color="auto"/>
      </w:divBdr>
    </w:div>
    <w:div w:id="1778987306">
      <w:bodyDiv w:val="1"/>
      <w:marLeft w:val="0"/>
      <w:marRight w:val="0"/>
      <w:marTop w:val="0"/>
      <w:marBottom w:val="0"/>
      <w:divBdr>
        <w:top w:val="none" w:sz="0" w:space="0" w:color="auto"/>
        <w:left w:val="none" w:sz="0" w:space="0" w:color="auto"/>
        <w:bottom w:val="none" w:sz="0" w:space="0" w:color="auto"/>
        <w:right w:val="none" w:sz="0" w:space="0" w:color="auto"/>
      </w:divBdr>
    </w:div>
    <w:div w:id="1969236947">
      <w:bodyDiv w:val="1"/>
      <w:marLeft w:val="0"/>
      <w:marRight w:val="0"/>
      <w:marTop w:val="0"/>
      <w:marBottom w:val="0"/>
      <w:divBdr>
        <w:top w:val="none" w:sz="0" w:space="0" w:color="auto"/>
        <w:left w:val="none" w:sz="0" w:space="0" w:color="auto"/>
        <w:bottom w:val="none" w:sz="0" w:space="0" w:color="auto"/>
        <w:right w:val="none" w:sz="0" w:space="0" w:color="auto"/>
      </w:divBdr>
    </w:div>
    <w:div w:id="205326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3CFA2E07-A596-4C7A-89F4-603CA699FF79}">
  <ds:schemaRef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purl.org/dc/terms/"/>
  </ds:schemaRefs>
</ds:datastoreItem>
</file>

<file path=docProps/app.xml><?xml version="1.0" encoding="utf-8"?>
<ap:Properties xmlns:vt="http://schemas.openxmlformats.org/officeDocument/2006/docPropsVTypes" xmlns:ap="http://schemas.openxmlformats.org/officeDocument/2006/extended-properties">
  <ap:Pages>5</ap:Pages>
  <ap:Words>2303</ap:Words>
  <ap:Characters>13025</ap:Characters>
  <ap:DocSecurity>0</ap:DocSecurity>
  <ap:Lines>219</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0x0101002C644968FD1F584E9C0D9F62A2F27DA9</vt:lpwstr>
  </property>
</Properties>
</file>