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81FF8" w:rsidR="00881FF8" w:rsidP="000D0DF5" w:rsidRDefault="00881FF8">
      <w:pPr>
        <w:tabs>
          <w:tab w:val="left" w:pos="-1440"/>
          <w:tab w:val="left" w:pos="-720"/>
        </w:tabs>
        <w:suppressAutoHyphens/>
        <w:rPr>
          <w:rFonts w:ascii="Times New Roman" w:hAnsi="Times New Roman"/>
        </w:rPr>
      </w:pPr>
      <w:r w:rsidRPr="00881FF8">
        <w:rPr>
          <w:rFonts w:ascii="Times New Roman" w:hAnsi="Times New Roman"/>
        </w:rPr>
        <w:t>De Tweede Kamer der Staten-</w:t>
      </w:r>
      <w:r w:rsidRPr="00881FF8">
        <w:rPr>
          <w:rFonts w:ascii="Times New Roman" w:hAnsi="Times New Roman"/>
        </w:rPr>
        <w:fldChar w:fldCharType="begin"/>
      </w:r>
      <w:r w:rsidRPr="00881FF8">
        <w:rPr>
          <w:rFonts w:ascii="Times New Roman" w:hAnsi="Times New Roman"/>
        </w:rPr>
        <w:instrText xml:space="preserve">PRIVATE </w:instrText>
      </w:r>
      <w:r w:rsidRPr="00881FF8">
        <w:rPr>
          <w:rFonts w:ascii="Times New Roman" w:hAnsi="Times New Roman"/>
        </w:rPr>
        <w:fldChar w:fldCharType="end"/>
      </w:r>
    </w:p>
    <w:p w:rsidRPr="00881FF8" w:rsidR="00881FF8" w:rsidP="000D0DF5" w:rsidRDefault="00881FF8">
      <w:pPr>
        <w:tabs>
          <w:tab w:val="left" w:pos="-1440"/>
          <w:tab w:val="left" w:pos="-720"/>
        </w:tabs>
        <w:suppressAutoHyphens/>
        <w:rPr>
          <w:rFonts w:ascii="Times New Roman" w:hAnsi="Times New Roman"/>
        </w:rPr>
      </w:pPr>
      <w:r w:rsidRPr="00881FF8">
        <w:rPr>
          <w:rFonts w:ascii="Times New Roman" w:hAnsi="Times New Roman"/>
        </w:rPr>
        <w:t>Generaal zendt bijgaand door</w:t>
      </w:r>
    </w:p>
    <w:p w:rsidRPr="00881FF8" w:rsidR="00881FF8" w:rsidP="000D0DF5" w:rsidRDefault="00881FF8">
      <w:pPr>
        <w:tabs>
          <w:tab w:val="left" w:pos="-1440"/>
          <w:tab w:val="left" w:pos="-720"/>
        </w:tabs>
        <w:suppressAutoHyphens/>
        <w:rPr>
          <w:rFonts w:ascii="Times New Roman" w:hAnsi="Times New Roman"/>
        </w:rPr>
      </w:pPr>
      <w:r w:rsidRPr="00881FF8">
        <w:rPr>
          <w:rFonts w:ascii="Times New Roman" w:hAnsi="Times New Roman"/>
        </w:rPr>
        <w:t>haar aangenomen wetsvoorstel</w:t>
      </w:r>
    </w:p>
    <w:p w:rsidRPr="00881FF8" w:rsidR="00881FF8" w:rsidP="000D0DF5" w:rsidRDefault="00881FF8">
      <w:pPr>
        <w:tabs>
          <w:tab w:val="left" w:pos="-1440"/>
          <w:tab w:val="left" w:pos="-720"/>
        </w:tabs>
        <w:suppressAutoHyphens/>
        <w:rPr>
          <w:rFonts w:ascii="Times New Roman" w:hAnsi="Times New Roman"/>
        </w:rPr>
      </w:pPr>
      <w:r w:rsidRPr="00881FF8">
        <w:rPr>
          <w:rFonts w:ascii="Times New Roman" w:hAnsi="Times New Roman"/>
        </w:rPr>
        <w:t>aan de Eerste Kamer.</w:t>
      </w:r>
    </w:p>
    <w:p w:rsidRPr="00881FF8" w:rsidR="00881FF8" w:rsidP="000D0DF5" w:rsidRDefault="00881FF8">
      <w:pPr>
        <w:tabs>
          <w:tab w:val="left" w:pos="-1440"/>
          <w:tab w:val="left" w:pos="-720"/>
        </w:tabs>
        <w:suppressAutoHyphens/>
        <w:rPr>
          <w:rFonts w:ascii="Times New Roman" w:hAnsi="Times New Roman"/>
        </w:rPr>
      </w:pPr>
    </w:p>
    <w:p w:rsidRPr="00881FF8" w:rsidR="00881FF8" w:rsidP="000D0DF5" w:rsidRDefault="00881FF8">
      <w:pPr>
        <w:tabs>
          <w:tab w:val="left" w:pos="-1440"/>
          <w:tab w:val="left" w:pos="-720"/>
        </w:tabs>
        <w:suppressAutoHyphens/>
        <w:rPr>
          <w:rFonts w:ascii="Times New Roman" w:hAnsi="Times New Roman"/>
        </w:rPr>
      </w:pPr>
      <w:r w:rsidRPr="00881FF8">
        <w:rPr>
          <w:rFonts w:ascii="Times New Roman" w:hAnsi="Times New Roman"/>
        </w:rPr>
        <w:t>De Voorzitter,</w:t>
      </w:r>
    </w:p>
    <w:p w:rsidRPr="00881FF8" w:rsidR="00881FF8" w:rsidP="000D0DF5" w:rsidRDefault="00881FF8">
      <w:pPr>
        <w:tabs>
          <w:tab w:val="left" w:pos="-1440"/>
          <w:tab w:val="left" w:pos="-720"/>
        </w:tabs>
        <w:suppressAutoHyphens/>
        <w:rPr>
          <w:rFonts w:ascii="Times New Roman" w:hAnsi="Times New Roman"/>
        </w:rPr>
      </w:pPr>
    </w:p>
    <w:p w:rsidRPr="00881FF8" w:rsidR="00881FF8" w:rsidP="000D0DF5" w:rsidRDefault="00881FF8">
      <w:pPr>
        <w:tabs>
          <w:tab w:val="left" w:pos="-1440"/>
          <w:tab w:val="left" w:pos="-720"/>
        </w:tabs>
        <w:suppressAutoHyphens/>
        <w:rPr>
          <w:rFonts w:ascii="Times New Roman" w:hAnsi="Times New Roman"/>
        </w:rPr>
      </w:pPr>
    </w:p>
    <w:p w:rsidRPr="00881FF8" w:rsidR="00881FF8" w:rsidP="000D0DF5" w:rsidRDefault="00881FF8">
      <w:pPr>
        <w:tabs>
          <w:tab w:val="left" w:pos="-1440"/>
          <w:tab w:val="left" w:pos="-720"/>
        </w:tabs>
        <w:suppressAutoHyphens/>
        <w:rPr>
          <w:rFonts w:ascii="Times New Roman" w:hAnsi="Times New Roman"/>
        </w:rPr>
      </w:pPr>
    </w:p>
    <w:p w:rsidRPr="00881FF8" w:rsidR="00881FF8" w:rsidP="000D0DF5" w:rsidRDefault="00881FF8">
      <w:pPr>
        <w:tabs>
          <w:tab w:val="left" w:pos="-1440"/>
          <w:tab w:val="left" w:pos="-720"/>
        </w:tabs>
        <w:suppressAutoHyphens/>
        <w:rPr>
          <w:rFonts w:ascii="Times New Roman" w:hAnsi="Times New Roman"/>
        </w:rPr>
      </w:pPr>
    </w:p>
    <w:p w:rsidRPr="00881FF8" w:rsidR="00881FF8" w:rsidP="000D0DF5" w:rsidRDefault="00881FF8">
      <w:pPr>
        <w:tabs>
          <w:tab w:val="left" w:pos="-1440"/>
          <w:tab w:val="left" w:pos="-720"/>
        </w:tabs>
        <w:suppressAutoHyphens/>
        <w:rPr>
          <w:rFonts w:ascii="Times New Roman" w:hAnsi="Times New Roman"/>
        </w:rPr>
      </w:pPr>
    </w:p>
    <w:p w:rsidRPr="00881FF8" w:rsidR="00881FF8" w:rsidP="000D0DF5" w:rsidRDefault="00881FF8">
      <w:pPr>
        <w:tabs>
          <w:tab w:val="left" w:pos="-1440"/>
          <w:tab w:val="left" w:pos="-720"/>
        </w:tabs>
        <w:suppressAutoHyphens/>
        <w:rPr>
          <w:rFonts w:ascii="Times New Roman" w:hAnsi="Times New Roman"/>
        </w:rPr>
      </w:pPr>
    </w:p>
    <w:p w:rsidRPr="00881FF8" w:rsidR="00881FF8" w:rsidP="000D0DF5" w:rsidRDefault="00881FF8">
      <w:pPr>
        <w:tabs>
          <w:tab w:val="left" w:pos="-1440"/>
          <w:tab w:val="left" w:pos="-720"/>
        </w:tabs>
        <w:suppressAutoHyphens/>
        <w:rPr>
          <w:rFonts w:ascii="Times New Roman" w:hAnsi="Times New Roman"/>
        </w:rPr>
      </w:pPr>
    </w:p>
    <w:p w:rsidRPr="00881FF8" w:rsidR="00881FF8" w:rsidP="000D0DF5" w:rsidRDefault="00881FF8">
      <w:pPr>
        <w:tabs>
          <w:tab w:val="left" w:pos="-1440"/>
          <w:tab w:val="left" w:pos="-720"/>
        </w:tabs>
        <w:suppressAutoHyphens/>
        <w:rPr>
          <w:rFonts w:ascii="Times New Roman" w:hAnsi="Times New Roman"/>
        </w:rPr>
      </w:pPr>
    </w:p>
    <w:p w:rsidRPr="00881FF8" w:rsidR="00881FF8" w:rsidP="000D0DF5" w:rsidRDefault="00881FF8">
      <w:pPr>
        <w:rPr>
          <w:rFonts w:ascii="Times New Roman" w:hAnsi="Times New Roman"/>
        </w:rPr>
      </w:pPr>
    </w:p>
    <w:p w:rsidRPr="00881FF8" w:rsidR="00881FF8" w:rsidRDefault="00881FF8">
      <w:pPr>
        <w:rPr>
          <w:rFonts w:ascii="Times New Roman" w:hAnsi="Times New Roman"/>
        </w:rPr>
      </w:pPr>
      <w:r w:rsidRPr="00881FF8">
        <w:rPr>
          <w:rFonts w:ascii="Times New Roman" w:hAnsi="Times New Roman"/>
        </w:rPr>
        <w:t>4 december 2014</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81FF8" w:rsidTr="0009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206F" w:rsidR="00881FF8" w:rsidP="000D5BC4" w:rsidRDefault="00881FF8">
            <w:pPr>
              <w:rPr>
                <w:rFonts w:ascii="Times New Roman" w:hAnsi="Times New Roman"/>
                <w:b/>
                <w:sz w:val="24"/>
              </w:rPr>
            </w:pPr>
            <w:r w:rsidRPr="006E206F">
              <w:rPr>
                <w:rFonts w:ascii="Times New Roman" w:hAnsi="Times New Roman"/>
                <w:b/>
                <w:sz w:val="24"/>
              </w:rPr>
              <w:t xml:space="preserve">Wijziging van de Wet uitvoering wetten voor verzetsdeelnemers en oorlogsgetroffenen in verband met het opnemen van een grondslag voor de uitvoering door de Pensioen- en Uitkeringsraad en de Sociale verzekeringsbank van de Algemene </w:t>
            </w:r>
            <w:proofErr w:type="spellStart"/>
            <w:r w:rsidRPr="006E206F">
              <w:rPr>
                <w:rFonts w:ascii="Times New Roman" w:hAnsi="Times New Roman"/>
                <w:b/>
                <w:sz w:val="24"/>
              </w:rPr>
              <w:t>Oorlogsongevallenregeling</w:t>
            </w:r>
            <w:proofErr w:type="spellEnd"/>
            <w:r w:rsidRPr="006E206F">
              <w:rPr>
                <w:rFonts w:ascii="Times New Roman" w:hAnsi="Times New Roman"/>
                <w:b/>
                <w:sz w:val="24"/>
              </w:rPr>
              <w:t xml:space="preserve"> Indonesië en het besluit van de Luitenant-Gouverneur-Generaal van Nederlands-Indië van 5 november 1946 (Indisch Staatsblad 1946, 118)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81FF8" w:rsidTr="005B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81FF8" w:rsidRDefault="00881FF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rPr>
        <w:t>Wij Willem-Alexander, bij de gratie Gods, Koning der Nederlanden, Prins van Oranje-Nassau, enz. enz. enz.</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Allen, die deze zulle</w:t>
      </w:r>
      <w:r w:rsidR="00986B63">
        <w:rPr>
          <w:rFonts w:ascii="Times New Roman" w:hAnsi="Times New Roman"/>
          <w:sz w:val="24"/>
          <w:lang w:eastAsia="en-US"/>
        </w:rPr>
        <w:t>n zien of horen lezen, saluut! d</w:t>
      </w:r>
      <w:r w:rsidRPr="006E206F">
        <w:rPr>
          <w:rFonts w:ascii="Times New Roman" w:hAnsi="Times New Roman"/>
          <w:sz w:val="24"/>
          <w:lang w:eastAsia="en-US"/>
        </w:rPr>
        <w:t>oen te weten:</w:t>
      </w: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 xml:space="preserve">Alzo Wij in overweging genomen hebben, dat het wenselijk is de continuïteit en de kwaliteit van de dienstverlening aan gerechtigden te waarborgen en daartoe in de </w:t>
      </w:r>
      <w:r w:rsidRPr="006E206F">
        <w:rPr>
          <w:rFonts w:ascii="Times New Roman" w:hAnsi="Times New Roman"/>
          <w:color w:val="000000"/>
          <w:sz w:val="24"/>
          <w:shd w:val="clear" w:color="auto" w:fill="FFFFFF"/>
        </w:rPr>
        <w:t>Wet uitvoering wetten voor verzetsdeelnemers en oorlogsgetroffenen</w:t>
      </w:r>
      <w:r w:rsidRPr="006E206F">
        <w:rPr>
          <w:rFonts w:ascii="Times New Roman" w:hAnsi="Times New Roman"/>
          <w:sz w:val="24"/>
          <w:lang w:eastAsia="en-US"/>
        </w:rPr>
        <w:t xml:space="preserve"> een grondslag op te nemen voor de uitvoering door de Pensioen- en Uitkeringsraad </w:t>
      </w:r>
      <w:r w:rsidR="00986B63">
        <w:rPr>
          <w:rFonts w:ascii="Times New Roman" w:hAnsi="Times New Roman"/>
          <w:sz w:val="24"/>
          <w:lang w:eastAsia="en-US"/>
        </w:rPr>
        <w:t xml:space="preserve">en de Sociale verzekeringsbank </w:t>
      </w:r>
      <w:r w:rsidRPr="006E206F">
        <w:rPr>
          <w:rFonts w:ascii="Times New Roman" w:hAnsi="Times New Roman"/>
          <w:sz w:val="24"/>
          <w:lang w:eastAsia="en-US"/>
        </w:rPr>
        <w:t xml:space="preserve">van de Algemene </w:t>
      </w:r>
      <w:proofErr w:type="spellStart"/>
      <w:r w:rsidRPr="006E206F">
        <w:rPr>
          <w:rFonts w:ascii="Times New Roman" w:hAnsi="Times New Roman"/>
          <w:sz w:val="24"/>
          <w:lang w:eastAsia="en-US"/>
        </w:rPr>
        <w:t>Oorlogsongevallenregeling</w:t>
      </w:r>
      <w:proofErr w:type="spellEnd"/>
      <w:r w:rsidRPr="006E206F">
        <w:rPr>
          <w:rFonts w:ascii="Times New Roman" w:hAnsi="Times New Roman"/>
          <w:sz w:val="24"/>
          <w:lang w:eastAsia="en-US"/>
        </w:rPr>
        <w:t xml:space="preserve"> Indonesië en het besluit van de Luitenant-Gouverneur-Generaal van Nederlands-Indië van 5 november 1946 (Indisch Staatsblad 1946, 118);</w:t>
      </w: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Zo is het, dat Wij, de Raad van State gehoord, en met gemeen overleg der Staten-Generaal, hebben goedgevonden en verstaan, gelijk Wij goedvinden en verstaan bij deze:</w:t>
      </w:r>
    </w:p>
    <w:p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b/>
          <w:sz w:val="24"/>
          <w:lang w:eastAsia="en-US"/>
        </w:rPr>
      </w:pPr>
      <w:r w:rsidRPr="006E206F">
        <w:rPr>
          <w:rFonts w:ascii="Times New Roman" w:hAnsi="Times New Roman"/>
          <w:b/>
          <w:sz w:val="24"/>
          <w:lang w:eastAsia="en-US"/>
        </w:rPr>
        <w:t>ARTIKEL I</w:t>
      </w:r>
    </w:p>
    <w:p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 xml:space="preserve">De </w:t>
      </w:r>
      <w:r w:rsidRPr="006E206F">
        <w:rPr>
          <w:rFonts w:ascii="Times New Roman" w:hAnsi="Times New Roman"/>
          <w:color w:val="000000"/>
          <w:sz w:val="24"/>
          <w:shd w:val="clear" w:color="auto" w:fill="FFFFFF"/>
        </w:rPr>
        <w:t>Wet uitvoering wetten voor verzetsdeelnemers en oorlogsgetroffenen</w:t>
      </w:r>
      <w:r w:rsidRPr="006E206F">
        <w:rPr>
          <w:rFonts w:ascii="Times New Roman" w:hAnsi="Times New Roman"/>
          <w:sz w:val="24"/>
          <w:lang w:eastAsia="en-US"/>
        </w:rPr>
        <w:t xml:space="preserve"> wordt als volgt gewijzigd:</w:t>
      </w:r>
    </w:p>
    <w:p w:rsidRPr="006E206F" w:rsidR="006E206F" w:rsidP="006E206F" w:rsidRDefault="006E206F">
      <w:pPr>
        <w:rPr>
          <w:rFonts w:ascii="Times New Roman" w:hAnsi="Times New Roman"/>
          <w:sz w:val="24"/>
          <w:lang w:eastAsia="en-US"/>
        </w:rPr>
      </w:pPr>
    </w:p>
    <w:p w:rsidR="006E206F" w:rsidP="006E206F" w:rsidRDefault="006E206F">
      <w:pPr>
        <w:rPr>
          <w:rFonts w:ascii="Times New Roman" w:hAnsi="Times New Roman"/>
          <w:sz w:val="24"/>
          <w:lang w:eastAsia="en-US"/>
        </w:rPr>
      </w:pPr>
      <w:r w:rsidRPr="006E206F">
        <w:rPr>
          <w:rFonts w:ascii="Times New Roman" w:hAnsi="Times New Roman"/>
          <w:sz w:val="24"/>
          <w:lang w:eastAsia="en-US"/>
        </w:rPr>
        <w:t>A</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 xml:space="preserve">Onder vervanging van de punt aan het eind van onderdeel e van artikel 1 door een puntkomma wordt een onderdeel toegevoegd, luidende: </w:t>
      </w: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lastRenderedPageBreak/>
        <w:t xml:space="preserve">f. AOR: de Algemene </w:t>
      </w:r>
      <w:proofErr w:type="spellStart"/>
      <w:r w:rsidRPr="006E206F">
        <w:rPr>
          <w:rFonts w:ascii="Times New Roman" w:hAnsi="Times New Roman"/>
          <w:sz w:val="24"/>
          <w:lang w:eastAsia="en-US"/>
        </w:rPr>
        <w:t>Oorlogsongevallenregeling</w:t>
      </w:r>
      <w:proofErr w:type="spellEnd"/>
      <w:r w:rsidRPr="006E206F">
        <w:rPr>
          <w:rFonts w:ascii="Times New Roman" w:hAnsi="Times New Roman"/>
          <w:sz w:val="24"/>
          <w:lang w:eastAsia="en-US"/>
        </w:rPr>
        <w:t xml:space="preserve"> Indonesië met inbegrip van het besluit van de Luitenant-Gouverneur-Generaal van Nederlands-Indië van 5 november 1946 (Indisch Staatsblad 1946, 118). </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r w:rsidRPr="006E206F">
        <w:rPr>
          <w:rFonts w:ascii="Times New Roman" w:hAnsi="Times New Roman"/>
          <w:sz w:val="24"/>
          <w:lang w:eastAsia="en-US"/>
        </w:rPr>
        <w:t>B</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In artikel 2, eerste en derde lid, wordt “de wetten voor verzetsdeelnemers en oorlogsgetroffenen” telkens vervangen door: de wetten voor verzetsdeelnemers en oorlogsgetroffenen en de AOR.</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r w:rsidRPr="006E206F">
        <w:rPr>
          <w:rFonts w:ascii="Times New Roman" w:hAnsi="Times New Roman"/>
          <w:sz w:val="24"/>
          <w:lang w:eastAsia="en-US"/>
        </w:rPr>
        <w:t>C</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Artikel 4 wordt als volgt gewijzigd:</w:t>
      </w:r>
    </w:p>
    <w:p w:rsidRPr="006E206F" w:rsidR="006E206F" w:rsidP="006E206F" w:rsidRDefault="006E206F">
      <w:pPr>
        <w:rPr>
          <w:rFonts w:ascii="Times New Roman" w:hAnsi="Times New Roman"/>
          <w:sz w:val="24"/>
          <w:lang w:eastAsia="en-US"/>
        </w:rPr>
      </w:pPr>
    </w:p>
    <w:p w:rsidR="006E206F" w:rsidP="006E206F" w:rsidRDefault="006E206F">
      <w:pPr>
        <w:ind w:firstLine="284"/>
        <w:rPr>
          <w:rFonts w:ascii="Times New Roman" w:hAnsi="Times New Roman"/>
          <w:sz w:val="24"/>
          <w:lang w:eastAsia="en-US"/>
        </w:rPr>
      </w:pPr>
      <w:r>
        <w:rPr>
          <w:rFonts w:ascii="Times New Roman" w:hAnsi="Times New Roman"/>
          <w:sz w:val="24"/>
          <w:lang w:eastAsia="en-US"/>
        </w:rPr>
        <w:t xml:space="preserve">1. </w:t>
      </w:r>
      <w:r w:rsidRPr="006E206F">
        <w:rPr>
          <w:rFonts w:ascii="Times New Roman" w:hAnsi="Times New Roman"/>
          <w:sz w:val="24"/>
          <w:lang w:eastAsia="en-US"/>
        </w:rPr>
        <w:t xml:space="preserve">De onderdelen c en </w:t>
      </w:r>
      <w:r>
        <w:rPr>
          <w:rFonts w:ascii="Times New Roman" w:hAnsi="Times New Roman"/>
          <w:sz w:val="24"/>
          <w:lang w:eastAsia="en-US"/>
        </w:rPr>
        <w:t xml:space="preserve">d worden </w:t>
      </w:r>
      <w:proofErr w:type="spellStart"/>
      <w:r>
        <w:rPr>
          <w:rFonts w:ascii="Times New Roman" w:hAnsi="Times New Roman"/>
          <w:sz w:val="24"/>
          <w:lang w:eastAsia="en-US"/>
        </w:rPr>
        <w:t>verletterd</w:t>
      </w:r>
      <w:proofErr w:type="spellEnd"/>
      <w:r>
        <w:rPr>
          <w:rFonts w:ascii="Times New Roman" w:hAnsi="Times New Roman"/>
          <w:sz w:val="24"/>
          <w:lang w:eastAsia="en-US"/>
        </w:rPr>
        <w:t xml:space="preserve"> tot d en e.</w:t>
      </w:r>
    </w:p>
    <w:p w:rsidRPr="006E206F" w:rsidR="006E206F" w:rsidP="006E206F" w:rsidRDefault="006E206F">
      <w:pPr>
        <w:rPr>
          <w:rFonts w:ascii="Times New Roman" w:hAnsi="Times New Roman"/>
          <w:sz w:val="24"/>
          <w:lang w:eastAsia="en-US"/>
        </w:rPr>
      </w:pPr>
    </w:p>
    <w:p w:rsidR="006E206F" w:rsidP="006E206F" w:rsidRDefault="006E206F">
      <w:pPr>
        <w:ind w:firstLine="284"/>
        <w:rPr>
          <w:rFonts w:ascii="Times New Roman" w:hAnsi="Times New Roman"/>
          <w:sz w:val="24"/>
          <w:lang w:eastAsia="en-US"/>
        </w:rPr>
      </w:pPr>
      <w:r>
        <w:rPr>
          <w:rFonts w:ascii="Times New Roman" w:hAnsi="Times New Roman"/>
          <w:sz w:val="24"/>
          <w:lang w:eastAsia="en-US"/>
        </w:rPr>
        <w:t xml:space="preserve">2. </w:t>
      </w:r>
      <w:r w:rsidRPr="006E206F">
        <w:rPr>
          <w:rFonts w:ascii="Times New Roman" w:hAnsi="Times New Roman"/>
          <w:sz w:val="24"/>
          <w:lang w:eastAsia="en-US"/>
        </w:rPr>
        <w:t xml:space="preserve">Er wordt een </w:t>
      </w:r>
      <w:r>
        <w:rPr>
          <w:rFonts w:ascii="Times New Roman" w:hAnsi="Times New Roman"/>
          <w:sz w:val="24"/>
          <w:lang w:eastAsia="en-US"/>
        </w:rPr>
        <w:t>onderdeel ingevoegd, luidende:</w:t>
      </w:r>
    </w:p>
    <w:p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c. Het geven van beschikkingen op een aanvraag voor een uitkering of tegemoetkoming op grond van de AOR afkomstig van een persoon die nog geen financiële aanspraak ontleent of heeft ontleend aan deze regeling;.</w:t>
      </w:r>
    </w:p>
    <w:p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Pr>
          <w:rFonts w:ascii="Times New Roman" w:hAnsi="Times New Roman"/>
          <w:sz w:val="24"/>
          <w:lang w:eastAsia="en-US"/>
        </w:rPr>
        <w:t xml:space="preserve">3. </w:t>
      </w:r>
      <w:r w:rsidRPr="006E206F">
        <w:rPr>
          <w:rFonts w:ascii="Times New Roman" w:hAnsi="Times New Roman"/>
          <w:sz w:val="24"/>
          <w:lang w:eastAsia="en-US"/>
        </w:rPr>
        <w:t xml:space="preserve">In onderdeel e (nieuw) wordt “bedoeld in onderdeel c” vervangen door: bedoeld in onderdeel d. </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r w:rsidRPr="006E206F">
        <w:rPr>
          <w:rFonts w:ascii="Times New Roman" w:hAnsi="Times New Roman"/>
          <w:sz w:val="24"/>
          <w:lang w:eastAsia="en-US"/>
        </w:rPr>
        <w:t>D</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In artikel 5, tweede en vijfde lid, wordt “de wetten voor verzetsdeelnemers en oorlogsgetroffenen” telkens vervangen door: de wetten voor verzetsdeelnemers en oorlogsgetroffenen en de AOR.</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r w:rsidRPr="006E206F">
        <w:rPr>
          <w:rFonts w:ascii="Times New Roman" w:hAnsi="Times New Roman"/>
          <w:sz w:val="24"/>
          <w:lang w:eastAsia="en-US"/>
        </w:rPr>
        <w:t>E</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Artikel 6 wordt als volgt gewijzigd:</w:t>
      </w:r>
    </w:p>
    <w:p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Pr>
          <w:rFonts w:ascii="Times New Roman" w:hAnsi="Times New Roman"/>
          <w:sz w:val="24"/>
          <w:lang w:eastAsia="en-US"/>
        </w:rPr>
        <w:t xml:space="preserve">1. </w:t>
      </w:r>
      <w:r w:rsidRPr="006E206F">
        <w:rPr>
          <w:rFonts w:ascii="Times New Roman" w:hAnsi="Times New Roman"/>
          <w:sz w:val="24"/>
          <w:lang w:eastAsia="en-US"/>
        </w:rPr>
        <w:t>In onderdeel a wordt “de wetten voor verzetsdeelnemers en oorlogsgetroffenen”</w:t>
      </w:r>
      <w:r w:rsidR="00986B63">
        <w:rPr>
          <w:rFonts w:ascii="Times New Roman" w:hAnsi="Times New Roman"/>
          <w:sz w:val="24"/>
          <w:lang w:eastAsia="en-US"/>
        </w:rPr>
        <w:t xml:space="preserve"> </w:t>
      </w:r>
      <w:r w:rsidRPr="006E206F">
        <w:rPr>
          <w:rFonts w:ascii="Times New Roman" w:hAnsi="Times New Roman"/>
          <w:sz w:val="24"/>
          <w:lang w:eastAsia="en-US"/>
        </w:rPr>
        <w:t>vervangen door: de wetten voor verzetsdeelnemers en oorlogsgetroffenen en de AOR.</w:t>
      </w:r>
    </w:p>
    <w:p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Pr>
          <w:rFonts w:ascii="Times New Roman" w:hAnsi="Times New Roman"/>
          <w:sz w:val="24"/>
          <w:lang w:eastAsia="en-US"/>
        </w:rPr>
        <w:t xml:space="preserve">2. </w:t>
      </w:r>
      <w:r w:rsidRPr="006E206F">
        <w:rPr>
          <w:rFonts w:ascii="Times New Roman" w:hAnsi="Times New Roman"/>
          <w:sz w:val="24"/>
          <w:lang w:eastAsia="en-US"/>
        </w:rPr>
        <w:t>In onderdeel c wordt “bedoeld in artikel 4, onderdelen a en b” vervangen door: bedoeld in artikel 4, onderdelen a tot en met c.</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r w:rsidRPr="006E206F">
        <w:rPr>
          <w:rFonts w:ascii="Times New Roman" w:hAnsi="Times New Roman"/>
          <w:sz w:val="24"/>
          <w:lang w:eastAsia="en-US"/>
        </w:rPr>
        <w:t>F</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In artikel 7, eerste lid, wordt “bedoeld in artikel 4, onderdeel c” vervangen door: bedoeld in artikel 4, onderdeel d.</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r w:rsidRPr="006E206F">
        <w:rPr>
          <w:rFonts w:ascii="Times New Roman" w:hAnsi="Times New Roman"/>
          <w:sz w:val="24"/>
          <w:lang w:eastAsia="en-US"/>
        </w:rPr>
        <w:t>G</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In artikel 9, eerste lid, wordt na “de wetten voor verzetsdeelnemers en oorlogsgetroffenen” ingevoegd: alsmede de uitkeringen en tegemoetkomingen op grond van de AOR.</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r w:rsidRPr="006E206F">
        <w:rPr>
          <w:rFonts w:ascii="Times New Roman" w:hAnsi="Times New Roman"/>
          <w:sz w:val="24"/>
          <w:lang w:eastAsia="en-US"/>
        </w:rPr>
        <w:t>H</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In artikel 10, eerste lid, wordt “de wetten voor verzetsdeelnemers en oorlogsgetroffenen” vervangen door: de wetten voor verzetsdeelnemers en oorlogsgetroffenen en de AOR.</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r w:rsidRPr="006E206F">
        <w:rPr>
          <w:rFonts w:ascii="Times New Roman" w:hAnsi="Times New Roman"/>
          <w:sz w:val="24"/>
          <w:lang w:eastAsia="en-US"/>
        </w:rPr>
        <w:t>I</w:t>
      </w:r>
    </w:p>
    <w:p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Artikel 13 komt als volgt te luiden:</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b/>
          <w:sz w:val="24"/>
          <w:lang w:eastAsia="en-US"/>
        </w:rPr>
      </w:pPr>
      <w:r w:rsidRPr="006E206F">
        <w:rPr>
          <w:rFonts w:ascii="Times New Roman" w:hAnsi="Times New Roman"/>
          <w:b/>
          <w:sz w:val="24"/>
          <w:lang w:eastAsia="en-US"/>
        </w:rPr>
        <w:t>Artikel 13</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 xml:space="preserve">Op het tijdstip van inwerkingtreding van </w:t>
      </w:r>
      <w:r w:rsidRPr="006E206F">
        <w:rPr>
          <w:rFonts w:ascii="Times New Roman" w:hAnsi="Times New Roman"/>
          <w:sz w:val="24"/>
        </w:rPr>
        <w:t>de wet</w:t>
      </w:r>
      <w:r w:rsidRPr="006E206F">
        <w:rPr>
          <w:rFonts w:ascii="Times New Roman" w:hAnsi="Times New Roman"/>
          <w:sz w:val="24"/>
          <w:lang w:eastAsia="en-US"/>
        </w:rPr>
        <w:t xml:space="preserve"> tot wijziging van de </w:t>
      </w:r>
      <w:r w:rsidRPr="006E206F">
        <w:rPr>
          <w:rFonts w:ascii="Times New Roman" w:hAnsi="Times New Roman"/>
          <w:color w:val="000000"/>
          <w:sz w:val="24"/>
          <w:shd w:val="clear" w:color="auto" w:fill="FFFFFF"/>
        </w:rPr>
        <w:t>Wet uitvoering wetten voor verzetsdeelnemers en oorlogsgetroffenen</w:t>
      </w:r>
      <w:r w:rsidRPr="006E206F">
        <w:rPr>
          <w:rFonts w:ascii="Times New Roman" w:hAnsi="Times New Roman"/>
          <w:sz w:val="24"/>
          <w:lang w:eastAsia="en-US"/>
        </w:rPr>
        <w:t xml:space="preserve"> in verband met het opnemen van een grondslag voor de uitvoering door de Pensioen- en Uitkeringsraad en de Sociale verzekeringsbank van de Algemene </w:t>
      </w:r>
      <w:proofErr w:type="spellStart"/>
      <w:r w:rsidRPr="006E206F">
        <w:rPr>
          <w:rFonts w:ascii="Times New Roman" w:hAnsi="Times New Roman"/>
          <w:sz w:val="24"/>
          <w:lang w:eastAsia="en-US"/>
        </w:rPr>
        <w:t>Oorlogsongevallenregeling</w:t>
      </w:r>
      <w:proofErr w:type="spellEnd"/>
      <w:r w:rsidRPr="006E206F">
        <w:rPr>
          <w:rFonts w:ascii="Times New Roman" w:hAnsi="Times New Roman"/>
          <w:sz w:val="24"/>
          <w:lang w:eastAsia="en-US"/>
        </w:rPr>
        <w:t xml:space="preserve"> Indonesië en het besluit van de Luitenant-Gouverneur-Generaal van Nederlands-Indië van 5 november 1946 (Indisch Staatsblad 1946, 118) worden de archiefbescheiden van de Stichting Administratie Indonesische Pensioenen, voor zover betrekking hebbend op de AOR, overgedragen aan de Sociale verzekeringsbank respectievelijk de Pensioen- en Uitkeringsraad, voor zover zij niet overeenkomstig de Archiefwet 1995 zijn overgebracht naar een archiefbewaarplaats.</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r w:rsidRPr="006E206F">
        <w:rPr>
          <w:rFonts w:ascii="Times New Roman" w:hAnsi="Times New Roman"/>
          <w:sz w:val="24"/>
          <w:lang w:eastAsia="en-US"/>
        </w:rPr>
        <w:t>J</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Artikel 14 vervalt.</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r w:rsidRPr="006E206F">
        <w:rPr>
          <w:rFonts w:ascii="Times New Roman" w:hAnsi="Times New Roman"/>
          <w:sz w:val="24"/>
          <w:lang w:eastAsia="en-US"/>
        </w:rPr>
        <w:t>K</w:t>
      </w:r>
    </w:p>
    <w:p w:rsidRPr="006E206F" w:rsidR="006E206F" w:rsidP="006E206F" w:rsidRDefault="006E206F">
      <w:pPr>
        <w:rPr>
          <w:rFonts w:ascii="Times New Roman" w:hAnsi="Times New Roman"/>
          <w:sz w:val="24"/>
          <w:lang w:eastAsia="en-US"/>
        </w:rPr>
      </w:pPr>
    </w:p>
    <w:p w:rsidRPr="006E206F" w:rsidR="006E206F" w:rsidP="006E206F" w:rsidRDefault="006E206F">
      <w:pPr>
        <w:ind w:firstLine="284"/>
        <w:rPr>
          <w:rFonts w:ascii="Times New Roman" w:hAnsi="Times New Roman"/>
          <w:sz w:val="24"/>
          <w:lang w:eastAsia="en-US"/>
        </w:rPr>
      </w:pPr>
      <w:r w:rsidRPr="006E206F">
        <w:rPr>
          <w:rFonts w:ascii="Times New Roman" w:hAnsi="Times New Roman"/>
          <w:sz w:val="24"/>
          <w:lang w:eastAsia="en-US"/>
        </w:rPr>
        <w:t>Artikel 22 vervalt.</w:t>
      </w: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b/>
          <w:sz w:val="24"/>
          <w:lang w:eastAsia="en-US"/>
        </w:rPr>
      </w:pPr>
      <w:r w:rsidRPr="006E206F">
        <w:rPr>
          <w:rFonts w:ascii="Times New Roman" w:hAnsi="Times New Roman"/>
          <w:b/>
          <w:sz w:val="24"/>
          <w:lang w:eastAsia="en-US"/>
        </w:rPr>
        <w:t>ARTIKEL II</w:t>
      </w:r>
    </w:p>
    <w:p w:rsidRPr="006E206F" w:rsidR="006E206F" w:rsidP="006E206F" w:rsidRDefault="006E206F">
      <w:pPr>
        <w:rPr>
          <w:rFonts w:ascii="Times New Roman" w:hAnsi="Times New Roman"/>
          <w:sz w:val="24"/>
          <w:lang w:eastAsia="en-US"/>
        </w:rPr>
      </w:pPr>
    </w:p>
    <w:p w:rsidR="006E206F" w:rsidP="006E206F" w:rsidRDefault="006E206F">
      <w:pPr>
        <w:spacing w:line="240" w:lineRule="exact"/>
        <w:ind w:firstLine="284"/>
        <w:rPr>
          <w:rFonts w:ascii="Times New Roman" w:hAnsi="Times New Roman"/>
          <w:sz w:val="24"/>
        </w:rPr>
      </w:pPr>
      <w:r>
        <w:rPr>
          <w:rFonts w:ascii="Times New Roman" w:hAnsi="Times New Roman"/>
          <w:sz w:val="24"/>
        </w:rPr>
        <w:t xml:space="preserve">1. </w:t>
      </w:r>
      <w:r w:rsidRPr="006E206F">
        <w:rPr>
          <w:rFonts w:ascii="Times New Roman" w:hAnsi="Times New Roman"/>
          <w:sz w:val="24"/>
        </w:rPr>
        <w:t xml:space="preserve">Een aanvraag op basis van de AOR van een persoon die op het tijdstip van inwerkingtreding van de wet tot wijziging van de </w:t>
      </w:r>
      <w:r w:rsidRPr="006E206F">
        <w:rPr>
          <w:rFonts w:ascii="Times New Roman" w:hAnsi="Times New Roman"/>
          <w:sz w:val="24"/>
          <w:shd w:val="clear" w:color="auto" w:fill="FFFFFF"/>
        </w:rPr>
        <w:t>Wet uitvoering wetten voor verzetsdeelnemers en oorlogsgetroffenen</w:t>
      </w:r>
      <w:r w:rsidRPr="006E206F">
        <w:rPr>
          <w:rFonts w:ascii="Times New Roman" w:hAnsi="Times New Roman"/>
          <w:sz w:val="24"/>
        </w:rPr>
        <w:t xml:space="preserve"> in verband met het opnemen van een grondslag voor de uitvoering door de Pensioen- en Uitkeringsraad en de Sociale verzekeringsbank  van de Algemene </w:t>
      </w:r>
      <w:proofErr w:type="spellStart"/>
      <w:r w:rsidRPr="006E206F">
        <w:rPr>
          <w:rFonts w:ascii="Times New Roman" w:hAnsi="Times New Roman"/>
          <w:sz w:val="24"/>
        </w:rPr>
        <w:t>Oorlogsongevallenregeling</w:t>
      </w:r>
      <w:proofErr w:type="spellEnd"/>
      <w:r w:rsidRPr="006E206F">
        <w:rPr>
          <w:rFonts w:ascii="Times New Roman" w:hAnsi="Times New Roman"/>
          <w:sz w:val="24"/>
        </w:rPr>
        <w:t xml:space="preserve"> Indonesië en het besluit van de Luitenant-Gouverneur-Generaal van Nederlands-Indië van 5 november 1946 (Indisch Staatsblad 1946, 118) geen financiële aanspraak ontleent aan deze regeling en waarop ten tijde van de inwerkingtreding van deze wet nog niet is beslist, wordt beschouwd als te zijn gericht tot de </w:t>
      </w:r>
      <w:r w:rsidRPr="006E206F">
        <w:rPr>
          <w:rFonts w:ascii="Times New Roman" w:hAnsi="Times New Roman"/>
          <w:bCs/>
          <w:sz w:val="24"/>
        </w:rPr>
        <w:t xml:space="preserve">Pensioen- en </w:t>
      </w:r>
      <w:proofErr w:type="spellStart"/>
      <w:r w:rsidRPr="006E206F">
        <w:rPr>
          <w:rFonts w:ascii="Times New Roman" w:hAnsi="Times New Roman"/>
          <w:bCs/>
          <w:sz w:val="24"/>
        </w:rPr>
        <w:t>Uitkeringraad</w:t>
      </w:r>
      <w:proofErr w:type="spellEnd"/>
      <w:r w:rsidRPr="006E206F">
        <w:rPr>
          <w:rFonts w:ascii="Times New Roman" w:hAnsi="Times New Roman"/>
          <w:sz w:val="24"/>
        </w:rPr>
        <w:t xml:space="preserve">, bedoeld in artikel 3 van de Wet uitvoering wetten voor verzetsdeelnemers en oorlogsgetroffenen. </w:t>
      </w:r>
    </w:p>
    <w:p w:rsidR="006E206F" w:rsidP="006E206F" w:rsidRDefault="006E206F">
      <w:pPr>
        <w:spacing w:line="240" w:lineRule="exact"/>
        <w:ind w:firstLine="284"/>
        <w:rPr>
          <w:rFonts w:ascii="Times New Roman" w:hAnsi="Times New Roman"/>
          <w:sz w:val="24"/>
        </w:rPr>
      </w:pPr>
      <w:r>
        <w:rPr>
          <w:rFonts w:ascii="Times New Roman" w:hAnsi="Times New Roman"/>
          <w:sz w:val="24"/>
        </w:rPr>
        <w:t xml:space="preserve">2. </w:t>
      </w:r>
      <w:r w:rsidRPr="006E206F">
        <w:rPr>
          <w:rFonts w:ascii="Times New Roman" w:hAnsi="Times New Roman"/>
          <w:sz w:val="24"/>
        </w:rPr>
        <w:t xml:space="preserve">Een aanvraag op basis van de AOR van een gerechtigde die op het tijdstip van inwerkingtreding van de wet tot wijziging van de </w:t>
      </w:r>
      <w:r w:rsidRPr="006E206F">
        <w:rPr>
          <w:rFonts w:ascii="Times New Roman" w:hAnsi="Times New Roman"/>
          <w:sz w:val="24"/>
          <w:shd w:val="clear" w:color="auto" w:fill="FFFFFF"/>
        </w:rPr>
        <w:t>Wet uitvoering wetten voor verzetsdeelnemers en oorlogsgetroffenen</w:t>
      </w:r>
      <w:r w:rsidRPr="006E206F">
        <w:rPr>
          <w:rFonts w:ascii="Times New Roman" w:hAnsi="Times New Roman"/>
          <w:sz w:val="24"/>
        </w:rPr>
        <w:t xml:space="preserve"> in verband met het opnemen van een grondslag voor de uitvoering door de Pensioen- en Uitkeringsraad en de Sociale verzekeringsbank  van de Algemene </w:t>
      </w:r>
      <w:proofErr w:type="spellStart"/>
      <w:r w:rsidRPr="006E206F">
        <w:rPr>
          <w:rFonts w:ascii="Times New Roman" w:hAnsi="Times New Roman"/>
          <w:sz w:val="24"/>
        </w:rPr>
        <w:t>Oorlogsongevallenregeling</w:t>
      </w:r>
      <w:proofErr w:type="spellEnd"/>
      <w:r w:rsidRPr="006E206F">
        <w:rPr>
          <w:rFonts w:ascii="Times New Roman" w:hAnsi="Times New Roman"/>
          <w:sz w:val="24"/>
        </w:rPr>
        <w:t xml:space="preserve"> Indonesië en het besluit van de Luitenant-Gouverneur-Generaal van Nederlands-Indië van 5 november 1946 (Indisch Staatsblad 1946, 118) een financiële aanspraak ontleent aan deze regeling en waarop ten tijde van de inwerkingtreding van die wet nog niet is beslist, wordt beschouwd als te zijn gericht tot de Sociale </w:t>
      </w:r>
      <w:r w:rsidRPr="006E206F">
        <w:rPr>
          <w:rFonts w:ascii="Times New Roman" w:hAnsi="Times New Roman"/>
          <w:sz w:val="24"/>
        </w:rPr>
        <w:lastRenderedPageBreak/>
        <w:t>verzekeringsbank, genoemd in hoofdstuk 6 van de Wet structuur uitvoeringsorganisatie werk en inkomen.</w:t>
      </w:r>
    </w:p>
    <w:p w:rsidR="006E206F" w:rsidP="006E206F" w:rsidRDefault="006E206F">
      <w:pPr>
        <w:spacing w:line="240" w:lineRule="exact"/>
        <w:ind w:firstLine="284"/>
        <w:rPr>
          <w:rFonts w:ascii="Times New Roman" w:hAnsi="Times New Roman"/>
          <w:sz w:val="24"/>
        </w:rPr>
      </w:pPr>
      <w:r>
        <w:rPr>
          <w:rFonts w:ascii="Times New Roman" w:hAnsi="Times New Roman"/>
          <w:sz w:val="24"/>
        </w:rPr>
        <w:t xml:space="preserve">3. </w:t>
      </w:r>
      <w:r w:rsidRPr="006E206F">
        <w:rPr>
          <w:rFonts w:ascii="Times New Roman" w:hAnsi="Times New Roman"/>
          <w:sz w:val="24"/>
        </w:rPr>
        <w:t xml:space="preserve">Bij de Commissie Algemene </w:t>
      </w:r>
      <w:proofErr w:type="spellStart"/>
      <w:r w:rsidRPr="006E206F">
        <w:rPr>
          <w:rFonts w:ascii="Times New Roman" w:hAnsi="Times New Roman"/>
          <w:sz w:val="24"/>
        </w:rPr>
        <w:t>Oorlogsongevallenregeling</w:t>
      </w:r>
      <w:proofErr w:type="spellEnd"/>
      <w:r w:rsidRPr="006E206F">
        <w:rPr>
          <w:rFonts w:ascii="Times New Roman" w:hAnsi="Times New Roman"/>
          <w:sz w:val="24"/>
        </w:rPr>
        <w:t xml:space="preserve"> Indonesië aanhangige bezwaarschriften gericht tegen besluiten op een aanvraag als bedoeld in het eerste lid gaan, in de stand waarin zij zich bevinden, over naar de Pensioen en Uitkeringsraad, </w:t>
      </w:r>
      <w:r w:rsidRPr="006E206F">
        <w:rPr>
          <w:rFonts w:ascii="Times New Roman" w:hAnsi="Times New Roman"/>
          <w:bCs/>
          <w:sz w:val="24"/>
        </w:rPr>
        <w:t>bedoeld in artikel 3 van de Wet uitvoering wetten voor verzetsdeelnemers en oorlogsgetroffenen</w:t>
      </w:r>
    </w:p>
    <w:p w:rsidR="006E206F" w:rsidP="006E206F" w:rsidRDefault="006E206F">
      <w:pPr>
        <w:spacing w:line="240" w:lineRule="exact"/>
        <w:ind w:firstLine="284"/>
        <w:rPr>
          <w:rFonts w:ascii="Times New Roman" w:hAnsi="Times New Roman"/>
          <w:sz w:val="24"/>
        </w:rPr>
      </w:pPr>
      <w:r>
        <w:rPr>
          <w:rFonts w:ascii="Times New Roman" w:hAnsi="Times New Roman"/>
          <w:sz w:val="24"/>
        </w:rPr>
        <w:t xml:space="preserve">4. </w:t>
      </w:r>
      <w:r w:rsidRPr="006E206F">
        <w:rPr>
          <w:rFonts w:ascii="Times New Roman" w:hAnsi="Times New Roman"/>
          <w:sz w:val="24"/>
        </w:rPr>
        <w:t xml:space="preserve">Bij de Commissie Algemene </w:t>
      </w:r>
      <w:proofErr w:type="spellStart"/>
      <w:r w:rsidRPr="006E206F">
        <w:rPr>
          <w:rFonts w:ascii="Times New Roman" w:hAnsi="Times New Roman"/>
          <w:sz w:val="24"/>
        </w:rPr>
        <w:t>Oorlogsongevallenregeling</w:t>
      </w:r>
      <w:proofErr w:type="spellEnd"/>
      <w:r w:rsidRPr="006E206F">
        <w:rPr>
          <w:rFonts w:ascii="Times New Roman" w:hAnsi="Times New Roman"/>
          <w:sz w:val="24"/>
        </w:rPr>
        <w:t xml:space="preserve"> Indonesië aanhangige bezwaarschriften gericht tegen besluiten op een aanvraag als bedoeld in het tweede lid gaan, in de stand waarin zij zich bevinden, over naar de Sociale Verzekeringsbank, genoemd in hoofdstuk 6 van de Wet structuur uitvoeringsorganisatie werk en inkomen.</w:t>
      </w:r>
    </w:p>
    <w:p w:rsidR="006E206F" w:rsidP="006E206F" w:rsidRDefault="006E206F">
      <w:pPr>
        <w:spacing w:line="240" w:lineRule="exact"/>
        <w:ind w:firstLine="284"/>
        <w:rPr>
          <w:rFonts w:ascii="Times New Roman" w:hAnsi="Times New Roman"/>
          <w:sz w:val="24"/>
        </w:rPr>
      </w:pPr>
      <w:r>
        <w:rPr>
          <w:rFonts w:ascii="Times New Roman" w:hAnsi="Times New Roman"/>
          <w:sz w:val="24"/>
        </w:rPr>
        <w:t xml:space="preserve">5. </w:t>
      </w:r>
      <w:r w:rsidRPr="006E206F">
        <w:rPr>
          <w:rFonts w:ascii="Times New Roman" w:hAnsi="Times New Roman"/>
          <w:sz w:val="24"/>
        </w:rPr>
        <w:t xml:space="preserve">In civielrechtelijke en bestuursrechtelijke gedingen waarin de Commissie Algemene </w:t>
      </w:r>
      <w:proofErr w:type="spellStart"/>
      <w:r w:rsidRPr="006E206F">
        <w:rPr>
          <w:rFonts w:ascii="Times New Roman" w:hAnsi="Times New Roman"/>
          <w:sz w:val="24"/>
        </w:rPr>
        <w:t>Oorlogsongevallenregeing</w:t>
      </w:r>
      <w:proofErr w:type="spellEnd"/>
      <w:r w:rsidRPr="006E206F">
        <w:rPr>
          <w:rFonts w:ascii="Times New Roman" w:hAnsi="Times New Roman"/>
          <w:sz w:val="24"/>
        </w:rPr>
        <w:t xml:space="preserve"> Indonesië partij is treedt de Pensioen- en Uitkeringsraad, </w:t>
      </w:r>
      <w:r w:rsidRPr="006E206F">
        <w:rPr>
          <w:rFonts w:ascii="Times New Roman" w:hAnsi="Times New Roman"/>
          <w:bCs/>
          <w:sz w:val="24"/>
        </w:rPr>
        <w:t>bedoeld in artikel 3 van de Wet uitvoering wetten voor verzetsdeelnemers en oorlogsgetroffenen,</w:t>
      </w:r>
      <w:r w:rsidRPr="006E206F">
        <w:rPr>
          <w:rFonts w:ascii="Times New Roman" w:hAnsi="Times New Roman"/>
          <w:sz w:val="24"/>
        </w:rPr>
        <w:t xml:space="preserve"> in haar plaats voor zover het gedingen inzake besluiten op een aanvraag als bedoeld in het eerste lid betreft, zonder dat daarvoor een betekening nodig is en met overneming van procureurstelling onderscheidenlijk aanwijzing van een gemachtigde.</w:t>
      </w:r>
    </w:p>
    <w:p w:rsidRPr="006E206F" w:rsidR="006E206F" w:rsidP="006E206F" w:rsidRDefault="006E206F">
      <w:pPr>
        <w:spacing w:line="240" w:lineRule="exact"/>
        <w:ind w:firstLine="284"/>
        <w:rPr>
          <w:rFonts w:ascii="Times New Roman" w:hAnsi="Times New Roman"/>
          <w:sz w:val="24"/>
        </w:rPr>
      </w:pPr>
      <w:r>
        <w:rPr>
          <w:rFonts w:ascii="Times New Roman" w:hAnsi="Times New Roman"/>
          <w:sz w:val="24"/>
        </w:rPr>
        <w:t xml:space="preserve">6. </w:t>
      </w:r>
      <w:r w:rsidRPr="006E206F">
        <w:rPr>
          <w:rFonts w:ascii="Times New Roman" w:hAnsi="Times New Roman"/>
          <w:sz w:val="24"/>
        </w:rPr>
        <w:t xml:space="preserve">In civielrechtelijke en bestuursrechtelijke gedingen waarin de Commissie Algemene </w:t>
      </w:r>
      <w:proofErr w:type="spellStart"/>
      <w:r w:rsidRPr="006E206F">
        <w:rPr>
          <w:rFonts w:ascii="Times New Roman" w:hAnsi="Times New Roman"/>
          <w:sz w:val="24"/>
        </w:rPr>
        <w:t>Oorlogsongevallenregeling</w:t>
      </w:r>
      <w:proofErr w:type="spellEnd"/>
      <w:r w:rsidRPr="006E206F">
        <w:rPr>
          <w:rFonts w:ascii="Times New Roman" w:hAnsi="Times New Roman"/>
          <w:sz w:val="24"/>
        </w:rPr>
        <w:t xml:space="preserve"> Indonesië partij is, treedt de Sociale Verzekeringsbank,  genoemd in hoofdstuk 6 van de Wet structuur uitvoeringsorganisatie werk en inkomen, in haar plaats voor zover het gedingen inzake besluiten op een aanvraag als bedoeld in het tweede lid betreft, zonder dat daarvoor een betekening nodig is en met overneming van procureurstelling onderscheidenlijk aanwijzing van een gemachtigde.</w:t>
      </w:r>
    </w:p>
    <w:p w:rsidR="006E206F" w:rsidP="006E206F" w:rsidRDefault="006E206F">
      <w:pPr>
        <w:rPr>
          <w:rFonts w:ascii="Times New Roman" w:hAnsi="Times New Roman"/>
          <w:sz w:val="24"/>
          <w:lang w:eastAsia="en-US"/>
        </w:rPr>
      </w:pPr>
    </w:p>
    <w:p w:rsidRPr="006E206F" w:rsidR="006E206F" w:rsidP="006E206F" w:rsidRDefault="006E206F">
      <w:pPr>
        <w:rPr>
          <w:rFonts w:ascii="Times New Roman" w:hAnsi="Times New Roman"/>
          <w:sz w:val="24"/>
          <w:lang w:eastAsia="en-US"/>
        </w:rPr>
      </w:pPr>
    </w:p>
    <w:p w:rsidRPr="006E206F" w:rsidR="006E206F" w:rsidP="006E206F" w:rsidRDefault="006E206F">
      <w:pPr>
        <w:widowControl w:val="0"/>
        <w:autoSpaceDE w:val="0"/>
        <w:autoSpaceDN w:val="0"/>
        <w:adjustRightInd w:val="0"/>
        <w:rPr>
          <w:rFonts w:ascii="Times New Roman" w:hAnsi="Times New Roman"/>
          <w:b/>
          <w:sz w:val="24"/>
        </w:rPr>
      </w:pPr>
      <w:r w:rsidRPr="006E206F">
        <w:rPr>
          <w:rFonts w:ascii="Times New Roman" w:hAnsi="Times New Roman"/>
          <w:b/>
          <w:sz w:val="24"/>
        </w:rPr>
        <w:t>ARTIKEL III</w:t>
      </w:r>
    </w:p>
    <w:p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ind w:firstLine="284"/>
        <w:rPr>
          <w:rFonts w:ascii="Times New Roman" w:hAnsi="Times New Roman"/>
          <w:b/>
          <w:sz w:val="24"/>
        </w:rPr>
      </w:pPr>
      <w:r w:rsidRPr="006E206F">
        <w:rPr>
          <w:rFonts w:ascii="Times New Roman" w:hAnsi="Times New Roman"/>
          <w:sz w:val="24"/>
        </w:rPr>
        <w:t xml:space="preserve">Deze wet treedt in werking op een bij koninklijk besluit te bepalen tijdstip. </w:t>
      </w:r>
    </w:p>
    <w:p w:rsidRPr="006E206F"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bookmarkStart w:name="_GoBack" w:id="0"/>
      <w:bookmarkEnd w:id="0"/>
    </w:p>
    <w:p w:rsidRPr="006E206F" w:rsidR="006E206F" w:rsidP="006E206F" w:rsidRDefault="006E206F">
      <w:pPr>
        <w:widowControl w:val="0"/>
        <w:autoSpaceDE w:val="0"/>
        <w:autoSpaceDN w:val="0"/>
        <w:adjustRightInd w:val="0"/>
        <w:ind w:firstLine="284"/>
        <w:rPr>
          <w:rFonts w:ascii="Times New Roman" w:hAnsi="Times New Roman"/>
          <w:sz w:val="24"/>
        </w:rPr>
      </w:pPr>
      <w:r w:rsidRPr="006E206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E206F"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r w:rsidRPr="006E206F">
        <w:rPr>
          <w:rFonts w:ascii="Times New Roman" w:hAnsi="Times New Roman"/>
          <w:sz w:val="24"/>
        </w:rPr>
        <w:t>Gegeven</w:t>
      </w:r>
    </w:p>
    <w:p w:rsidRPr="006E206F"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r w:rsidRPr="006E206F">
        <w:rPr>
          <w:rFonts w:ascii="Times New Roman" w:hAnsi="Times New Roman"/>
          <w:sz w:val="24"/>
        </w:rPr>
        <w:t>De Staatssecretaris van Volksgezondheid, Welzijn en Sport,</w:t>
      </w:r>
    </w:p>
    <w:p w:rsidRPr="006E206F"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r w:rsidRPr="006E206F">
        <w:rPr>
          <w:rFonts w:ascii="Times New Roman" w:hAnsi="Times New Roman"/>
          <w:sz w:val="24"/>
        </w:rPr>
        <w:t>De Staatssecretaris van Sociale Zaken en Werkgelegenheid,</w:t>
      </w:r>
    </w:p>
    <w:p w:rsidRPr="006E206F"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006E206F" w:rsidP="006E206F" w:rsidRDefault="006E206F">
      <w:pPr>
        <w:widowControl w:val="0"/>
        <w:autoSpaceDE w:val="0"/>
        <w:autoSpaceDN w:val="0"/>
        <w:adjustRightInd w:val="0"/>
        <w:rPr>
          <w:rFonts w:ascii="Times New Roman" w:hAnsi="Times New Roman"/>
          <w:sz w:val="24"/>
        </w:rPr>
      </w:pPr>
    </w:p>
    <w:p w:rsidRPr="006E206F" w:rsidR="006E206F" w:rsidP="006E206F" w:rsidRDefault="006E206F">
      <w:pPr>
        <w:widowControl w:val="0"/>
        <w:autoSpaceDE w:val="0"/>
        <w:autoSpaceDN w:val="0"/>
        <w:adjustRightInd w:val="0"/>
        <w:rPr>
          <w:rFonts w:ascii="Times New Roman" w:hAnsi="Times New Roman"/>
          <w:sz w:val="24"/>
        </w:rPr>
      </w:pPr>
    </w:p>
    <w:p w:rsidRPr="006E206F" w:rsidR="00CB3578" w:rsidP="006E206F" w:rsidRDefault="006E206F">
      <w:pPr>
        <w:widowControl w:val="0"/>
        <w:autoSpaceDE w:val="0"/>
        <w:autoSpaceDN w:val="0"/>
        <w:adjustRightInd w:val="0"/>
        <w:rPr>
          <w:rFonts w:ascii="Times New Roman" w:hAnsi="Times New Roman"/>
          <w:sz w:val="24"/>
        </w:rPr>
      </w:pPr>
      <w:r w:rsidRPr="006E206F">
        <w:rPr>
          <w:rFonts w:ascii="Times New Roman" w:hAnsi="Times New Roman"/>
          <w:sz w:val="24"/>
        </w:rPr>
        <w:t>De Minister voor Wonen en Rijksdienst,</w:t>
      </w:r>
    </w:p>
    <w:sectPr w:rsidRPr="006E206F"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06F" w:rsidRDefault="006E206F">
      <w:pPr>
        <w:spacing w:line="20" w:lineRule="exact"/>
      </w:pPr>
    </w:p>
  </w:endnote>
  <w:endnote w:type="continuationSeparator" w:id="0">
    <w:p w:rsidR="006E206F" w:rsidRDefault="006E206F">
      <w:pPr>
        <w:pStyle w:val="Amendement"/>
      </w:pPr>
      <w:r>
        <w:rPr>
          <w:b w:val="0"/>
          <w:bCs w:val="0"/>
        </w:rPr>
        <w:t xml:space="preserve"> </w:t>
      </w:r>
    </w:p>
  </w:endnote>
  <w:endnote w:type="continuationNotice" w:id="1">
    <w:p w:rsidR="006E206F" w:rsidRDefault="006E20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24987">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06F" w:rsidRDefault="006E206F">
      <w:pPr>
        <w:pStyle w:val="Amendement"/>
      </w:pPr>
      <w:r>
        <w:rPr>
          <w:b w:val="0"/>
          <w:bCs w:val="0"/>
        </w:rPr>
        <w:separator/>
      </w:r>
    </w:p>
  </w:footnote>
  <w:footnote w:type="continuationSeparator" w:id="0">
    <w:p w:rsidR="006E206F" w:rsidRDefault="006E2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7A2"/>
    <w:multiLevelType w:val="multilevel"/>
    <w:tmpl w:val="8246404E"/>
    <w:lvl w:ilvl="0">
      <w:start w:val="1"/>
      <w:numFmt w:val="decimal"/>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27B7B"/>
    <w:multiLevelType w:val="hybridMultilevel"/>
    <w:tmpl w:val="CF186060"/>
    <w:lvl w:ilvl="0" w:tplc="B5CE42B6">
      <w:start w:val="1"/>
      <w:numFmt w:val="decimal"/>
      <w:lvlText w:val="%1."/>
      <w:lvlJc w:val="left"/>
      <w:pPr>
        <w:ind w:left="720" w:hanging="360"/>
      </w:pPr>
      <w:rPr>
        <w:rFonts w:hint="default"/>
      </w:rPr>
    </w:lvl>
    <w:lvl w:ilvl="1" w:tplc="CB143170" w:tentative="1">
      <w:start w:val="1"/>
      <w:numFmt w:val="lowerLetter"/>
      <w:lvlText w:val="%2."/>
      <w:lvlJc w:val="left"/>
      <w:pPr>
        <w:ind w:left="1440" w:hanging="360"/>
      </w:pPr>
    </w:lvl>
    <w:lvl w:ilvl="2" w:tplc="03A29DA2" w:tentative="1">
      <w:start w:val="1"/>
      <w:numFmt w:val="lowerRoman"/>
      <w:lvlText w:val="%3."/>
      <w:lvlJc w:val="right"/>
      <w:pPr>
        <w:ind w:left="2160" w:hanging="180"/>
      </w:pPr>
    </w:lvl>
    <w:lvl w:ilvl="3" w:tplc="D12C0AAE" w:tentative="1">
      <w:start w:val="1"/>
      <w:numFmt w:val="decimal"/>
      <w:lvlText w:val="%4."/>
      <w:lvlJc w:val="left"/>
      <w:pPr>
        <w:ind w:left="2880" w:hanging="360"/>
      </w:pPr>
    </w:lvl>
    <w:lvl w:ilvl="4" w:tplc="27183952" w:tentative="1">
      <w:start w:val="1"/>
      <w:numFmt w:val="lowerLetter"/>
      <w:lvlText w:val="%5."/>
      <w:lvlJc w:val="left"/>
      <w:pPr>
        <w:ind w:left="3600" w:hanging="360"/>
      </w:pPr>
    </w:lvl>
    <w:lvl w:ilvl="5" w:tplc="5ABAF75C" w:tentative="1">
      <w:start w:val="1"/>
      <w:numFmt w:val="lowerRoman"/>
      <w:lvlText w:val="%6."/>
      <w:lvlJc w:val="right"/>
      <w:pPr>
        <w:ind w:left="4320" w:hanging="180"/>
      </w:pPr>
    </w:lvl>
    <w:lvl w:ilvl="6" w:tplc="4DCCDA18" w:tentative="1">
      <w:start w:val="1"/>
      <w:numFmt w:val="decimal"/>
      <w:lvlText w:val="%7."/>
      <w:lvlJc w:val="left"/>
      <w:pPr>
        <w:ind w:left="5040" w:hanging="360"/>
      </w:pPr>
    </w:lvl>
    <w:lvl w:ilvl="7" w:tplc="6F5C9248" w:tentative="1">
      <w:start w:val="1"/>
      <w:numFmt w:val="lowerLetter"/>
      <w:lvlText w:val="%8."/>
      <w:lvlJc w:val="left"/>
      <w:pPr>
        <w:ind w:left="5760" w:hanging="360"/>
      </w:pPr>
    </w:lvl>
    <w:lvl w:ilvl="8" w:tplc="3FAE7DE2" w:tentative="1">
      <w:start w:val="1"/>
      <w:numFmt w:val="lowerRoman"/>
      <w:lvlText w:val="%9."/>
      <w:lvlJc w:val="right"/>
      <w:pPr>
        <w:ind w:left="6480" w:hanging="180"/>
      </w:pPr>
    </w:lvl>
  </w:abstractNum>
  <w:abstractNum w:abstractNumId="2">
    <w:nsid w:val="56802295"/>
    <w:multiLevelType w:val="hybridMultilevel"/>
    <w:tmpl w:val="35A8DF72"/>
    <w:lvl w:ilvl="0" w:tplc="8EE0AA28">
      <w:start w:val="1"/>
      <w:numFmt w:val="decimal"/>
      <w:lvlText w:val="%1."/>
      <w:lvlJc w:val="left"/>
      <w:pPr>
        <w:ind w:left="720" w:hanging="360"/>
      </w:pPr>
      <w:rPr>
        <w:rFonts w:hint="default"/>
      </w:rPr>
    </w:lvl>
    <w:lvl w:ilvl="1" w:tplc="65FE5E12" w:tentative="1">
      <w:start w:val="1"/>
      <w:numFmt w:val="lowerLetter"/>
      <w:lvlText w:val="%2."/>
      <w:lvlJc w:val="left"/>
      <w:pPr>
        <w:ind w:left="1440" w:hanging="360"/>
      </w:pPr>
    </w:lvl>
    <w:lvl w:ilvl="2" w:tplc="58B4435E" w:tentative="1">
      <w:start w:val="1"/>
      <w:numFmt w:val="lowerRoman"/>
      <w:lvlText w:val="%3."/>
      <w:lvlJc w:val="right"/>
      <w:pPr>
        <w:ind w:left="2160" w:hanging="180"/>
      </w:pPr>
    </w:lvl>
    <w:lvl w:ilvl="3" w:tplc="BA469B58" w:tentative="1">
      <w:start w:val="1"/>
      <w:numFmt w:val="decimal"/>
      <w:lvlText w:val="%4."/>
      <w:lvlJc w:val="left"/>
      <w:pPr>
        <w:ind w:left="2880" w:hanging="360"/>
      </w:pPr>
    </w:lvl>
    <w:lvl w:ilvl="4" w:tplc="E8CA22C0" w:tentative="1">
      <w:start w:val="1"/>
      <w:numFmt w:val="lowerLetter"/>
      <w:lvlText w:val="%5."/>
      <w:lvlJc w:val="left"/>
      <w:pPr>
        <w:ind w:left="3600" w:hanging="360"/>
      </w:pPr>
    </w:lvl>
    <w:lvl w:ilvl="5" w:tplc="863E5D9A" w:tentative="1">
      <w:start w:val="1"/>
      <w:numFmt w:val="lowerRoman"/>
      <w:lvlText w:val="%6."/>
      <w:lvlJc w:val="right"/>
      <w:pPr>
        <w:ind w:left="4320" w:hanging="180"/>
      </w:pPr>
    </w:lvl>
    <w:lvl w:ilvl="6" w:tplc="4BE616C8" w:tentative="1">
      <w:start w:val="1"/>
      <w:numFmt w:val="decimal"/>
      <w:lvlText w:val="%7."/>
      <w:lvlJc w:val="left"/>
      <w:pPr>
        <w:ind w:left="5040" w:hanging="360"/>
      </w:pPr>
    </w:lvl>
    <w:lvl w:ilvl="7" w:tplc="47668932" w:tentative="1">
      <w:start w:val="1"/>
      <w:numFmt w:val="lowerLetter"/>
      <w:lvlText w:val="%8."/>
      <w:lvlJc w:val="left"/>
      <w:pPr>
        <w:ind w:left="5760" w:hanging="360"/>
      </w:pPr>
    </w:lvl>
    <w:lvl w:ilvl="8" w:tplc="C9DEC25E"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06F"/>
    <w:rsid w:val="00012DBE"/>
    <w:rsid w:val="00024987"/>
    <w:rsid w:val="000A1D81"/>
    <w:rsid w:val="00111ED3"/>
    <w:rsid w:val="001C190E"/>
    <w:rsid w:val="002168F4"/>
    <w:rsid w:val="002A727C"/>
    <w:rsid w:val="005D2707"/>
    <w:rsid w:val="00606255"/>
    <w:rsid w:val="006B607A"/>
    <w:rsid w:val="006E206F"/>
    <w:rsid w:val="007D451C"/>
    <w:rsid w:val="00826224"/>
    <w:rsid w:val="00881FF8"/>
    <w:rsid w:val="00930A23"/>
    <w:rsid w:val="00986B6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E206F"/>
    <w:pPr>
      <w:spacing w:line="240" w:lineRule="atLeast"/>
      <w:ind w:left="720"/>
      <w:contextualSpacing/>
    </w:pPr>
    <w:rPr>
      <w:sz w:val="18"/>
      <w:szCs w:val="20"/>
    </w:rPr>
  </w:style>
  <w:style w:type="paragraph" w:styleId="Ballontekst">
    <w:name w:val="Balloon Text"/>
    <w:basedOn w:val="Standaard"/>
    <w:link w:val="BallontekstChar"/>
    <w:rsid w:val="00024987"/>
    <w:rPr>
      <w:rFonts w:ascii="Tahoma" w:hAnsi="Tahoma" w:cs="Tahoma"/>
      <w:sz w:val="16"/>
      <w:szCs w:val="16"/>
    </w:rPr>
  </w:style>
  <w:style w:type="character" w:customStyle="1" w:styleId="BallontekstChar">
    <w:name w:val="Ballontekst Char"/>
    <w:basedOn w:val="Standaardalinea-lettertype"/>
    <w:link w:val="Ballontekst"/>
    <w:rsid w:val="00024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E206F"/>
    <w:pPr>
      <w:spacing w:line="240" w:lineRule="atLeast"/>
      <w:ind w:left="720"/>
      <w:contextualSpacing/>
    </w:pPr>
    <w:rPr>
      <w:sz w:val="18"/>
      <w:szCs w:val="20"/>
    </w:rPr>
  </w:style>
  <w:style w:type="paragraph" w:styleId="Ballontekst">
    <w:name w:val="Balloon Text"/>
    <w:basedOn w:val="Standaard"/>
    <w:link w:val="BallontekstChar"/>
    <w:rsid w:val="00024987"/>
    <w:rPr>
      <w:rFonts w:ascii="Tahoma" w:hAnsi="Tahoma" w:cs="Tahoma"/>
      <w:sz w:val="16"/>
      <w:szCs w:val="16"/>
    </w:rPr>
  </w:style>
  <w:style w:type="character" w:customStyle="1" w:styleId="BallontekstChar">
    <w:name w:val="Ballontekst Char"/>
    <w:basedOn w:val="Standaardalinea-lettertype"/>
    <w:link w:val="Ballontekst"/>
    <w:rsid w:val="00024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1160</ap:Words>
  <ap:Characters>7005</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2014-12-04T09:54:00.0000000Z</lastPrinted>
  <dcterms:created xsi:type="dcterms:W3CDTF">2014-12-04T10:19:00.0000000Z</dcterms:created>
  <dcterms:modified xsi:type="dcterms:W3CDTF">2014-12-04T10:19:00.0000000Z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0x010100786A41DD50136C428A002505EC566476</vt:lpwstr>
  </property>
</Properties>
</file>