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3F5FFD" w:rsidR="0062398F" w:rsidP="0062398F" w:rsidRDefault="00223242">
      <w:pPr>
        <w:pStyle w:val="Kop1"/>
        <w:numPr>
          <w:ilvl w:val="0"/>
          <w:numId w:val="0"/>
        </w:numPr>
        <w:ind w:left="432" w:hanging="432"/>
        <w:rPr>
          <w:szCs w:val="18"/>
        </w:rPr>
      </w:pPr>
      <w:r w:rsidRPr="003F5FFD">
        <w:rPr>
          <w:szCs w:val="18"/>
        </w:rPr>
        <w:t xml:space="preserve">Bijlage </w:t>
      </w:r>
      <w:r w:rsidRPr="003F5FFD">
        <w:rPr>
          <w:szCs w:val="18"/>
        </w:rPr>
        <w:t>2</w:t>
      </w:r>
      <w:r w:rsidRPr="003F5FFD">
        <w:rPr>
          <w:szCs w:val="18"/>
        </w:rPr>
        <w:t>: Toelichting op de Wet BIG</w:t>
      </w:r>
    </w:p>
    <w:p w:rsidRPr="003F5FFD" w:rsidR="0062398F" w:rsidP="0062398F" w:rsidRDefault="00223242">
      <w:pPr>
        <w:spacing w:line="240" w:lineRule="auto"/>
        <w:rPr>
          <w:szCs w:val="18"/>
        </w:rPr>
      </w:pPr>
    </w:p>
    <w:p w:rsidRPr="003F5FFD" w:rsidR="00D51FD3" w:rsidP="0062398F" w:rsidRDefault="00223242">
      <w:pPr>
        <w:spacing w:line="240" w:lineRule="auto"/>
        <w:rPr>
          <w:szCs w:val="18"/>
        </w:rPr>
      </w:pPr>
      <w:r w:rsidRPr="003F5FFD">
        <w:rPr>
          <w:szCs w:val="18"/>
        </w:rPr>
        <w:t>De Wet BIG is een kwaliteitswet ter bescherming van patiënten. De doelstelling van de wet is tweeledig: het bewaken en bevorderen van de kwaliteit van de beroepsuitoefening en het beschermen van de patiënt tegen ondeskundig en onzorgvuldig handelen door be</w:t>
      </w:r>
      <w:r w:rsidRPr="003F5FFD">
        <w:rPr>
          <w:szCs w:val="18"/>
        </w:rPr>
        <w:t>roepsbeoefenaren. De wet spitst zich toe op de individuele gezondheidszorg. Hiermee wordt gedoeld op handelingen die rechtstreeks gericht zijn op een persoon en het doel hebben de gezondheid van die persoon te bevorderen of te bewaken. De Wet BIG laat de u</w:t>
      </w:r>
      <w:r w:rsidRPr="003F5FFD">
        <w:rPr>
          <w:szCs w:val="18"/>
        </w:rPr>
        <w:t>itoefening van de individuele gezondheidszorg in principe vrij voor iedereen. Dit betekent dat niet-BIG-geregistreerde beroepsgroepen zorg mogen verlenen, maar niet dat iedereen alles mag.</w:t>
      </w:r>
      <w:r>
        <w:rPr>
          <w:szCs w:val="18"/>
        </w:rPr>
        <w:t xml:space="preserve"> Bepaalde beroepen kennen een beschermde titel en bepaalde handeling</w:t>
      </w:r>
      <w:r>
        <w:rPr>
          <w:szCs w:val="18"/>
        </w:rPr>
        <w:t xml:space="preserve">en zijn voorbehouden aan bevoegde beroepsbeoefenaren. </w:t>
      </w:r>
      <w:r>
        <w:rPr>
          <w:szCs w:val="18"/>
        </w:rPr>
        <w:t xml:space="preserve">De belangrijkste onderdelen van de Wet BIG zijn beroepenregulering en tuchtrecht. </w:t>
      </w:r>
      <w:r>
        <w:rPr>
          <w:szCs w:val="18"/>
        </w:rPr>
        <w:t xml:space="preserve">De onderdelen worden hieronder nader toegelicht. </w:t>
      </w:r>
    </w:p>
    <w:p w:rsidRPr="003F5FFD" w:rsidR="00D51FD3" w:rsidP="0062398F" w:rsidRDefault="00223242">
      <w:pPr>
        <w:spacing w:line="240" w:lineRule="auto"/>
        <w:rPr>
          <w:szCs w:val="18"/>
        </w:rPr>
      </w:pPr>
    </w:p>
    <w:p w:rsidR="00685ABF" w:rsidP="0062398F" w:rsidRDefault="00223242">
      <w:pPr>
        <w:spacing w:line="240" w:lineRule="auto"/>
        <w:rPr>
          <w:b/>
          <w:szCs w:val="18"/>
        </w:rPr>
      </w:pPr>
    </w:p>
    <w:p w:rsidRPr="00685ABF" w:rsidR="00D51FD3" w:rsidP="0062398F" w:rsidRDefault="00223242">
      <w:pPr>
        <w:spacing w:line="240" w:lineRule="auto"/>
        <w:rPr>
          <w:b/>
          <w:szCs w:val="18"/>
        </w:rPr>
      </w:pPr>
      <w:r w:rsidRPr="00685ABF">
        <w:rPr>
          <w:b/>
          <w:szCs w:val="18"/>
        </w:rPr>
        <w:t>Beroepenregulering</w:t>
      </w:r>
    </w:p>
    <w:p w:rsidR="00685ABF" w:rsidP="0062398F" w:rsidRDefault="00223242">
      <w:pPr>
        <w:spacing w:line="240" w:lineRule="auto"/>
        <w:rPr>
          <w:szCs w:val="18"/>
        </w:rPr>
      </w:pPr>
    </w:p>
    <w:p w:rsidRPr="003F5FFD" w:rsidR="0062398F" w:rsidP="00D7068E" w:rsidRDefault="00223242">
      <w:pPr>
        <w:spacing w:line="240" w:lineRule="auto"/>
        <w:rPr>
          <w:szCs w:val="18"/>
        </w:rPr>
      </w:pPr>
      <w:r w:rsidRPr="003F5FFD">
        <w:rPr>
          <w:szCs w:val="18"/>
        </w:rPr>
        <w:t>Via de Wet BIG zijn beroepen gereguleerd waarvan</w:t>
      </w:r>
      <w:r w:rsidRPr="003F5FFD">
        <w:rPr>
          <w:szCs w:val="18"/>
        </w:rPr>
        <w:t xml:space="preserve"> de titel beschermd is. </w:t>
      </w:r>
      <w:r>
        <w:rPr>
          <w:szCs w:val="18"/>
        </w:rPr>
        <w:t xml:space="preserve">Beroepen in het lichte regime (waarover later meer) kennen een beschermde opleidingstitel. Deze mag gevoerd worden als een wettelijk vastgelegde opleiding afgerond is. </w:t>
      </w:r>
      <w:r>
        <w:rPr>
          <w:szCs w:val="18"/>
        </w:rPr>
        <w:t>B</w:t>
      </w:r>
      <w:r>
        <w:rPr>
          <w:szCs w:val="18"/>
        </w:rPr>
        <w:t xml:space="preserve">eroepen in het zware regime (waarover later meer) </w:t>
      </w:r>
      <w:r>
        <w:rPr>
          <w:szCs w:val="18"/>
        </w:rPr>
        <w:t>kennen een be</w:t>
      </w:r>
      <w:r>
        <w:rPr>
          <w:szCs w:val="18"/>
        </w:rPr>
        <w:t xml:space="preserve">schermde beroepstitel. Deze mag gevoerd worden als een wettelijk vastgelegde opleiding afgerond is en </w:t>
      </w:r>
      <w:r>
        <w:rPr>
          <w:szCs w:val="18"/>
        </w:rPr>
        <w:t xml:space="preserve">daarnaast </w:t>
      </w:r>
      <w:r>
        <w:rPr>
          <w:szCs w:val="18"/>
        </w:rPr>
        <w:t xml:space="preserve">is een voorwaarde </w:t>
      </w:r>
      <w:r>
        <w:rPr>
          <w:szCs w:val="18"/>
        </w:rPr>
        <w:t xml:space="preserve">dat de beroepsbeoefenaar geregistreerd moet staan. </w:t>
      </w:r>
      <w:r w:rsidRPr="00C42E72">
        <w:rPr>
          <w:szCs w:val="18"/>
        </w:rPr>
        <w:t xml:space="preserve">Zo mag alleen iemand die verloskunde gestudeerd heeft en </w:t>
      </w:r>
      <w:r w:rsidRPr="00C42E72">
        <w:rPr>
          <w:szCs w:val="18"/>
        </w:rPr>
        <w:t>in het register va</w:t>
      </w:r>
      <w:r w:rsidRPr="00C42E72">
        <w:rPr>
          <w:szCs w:val="18"/>
        </w:rPr>
        <w:t>n</w:t>
      </w:r>
      <w:r w:rsidRPr="00C42E72">
        <w:rPr>
          <w:szCs w:val="18"/>
        </w:rPr>
        <w:t xml:space="preserve"> verloskundige i</w:t>
      </w:r>
      <w:r w:rsidRPr="00C42E72">
        <w:rPr>
          <w:szCs w:val="18"/>
        </w:rPr>
        <w:t>s ingeschreven</w:t>
      </w:r>
      <w:r w:rsidRPr="00C42E72">
        <w:rPr>
          <w:szCs w:val="18"/>
        </w:rPr>
        <w:t xml:space="preserve">e, deze titel voeren. </w:t>
      </w:r>
      <w:r w:rsidRPr="00C42E72">
        <w:rPr>
          <w:szCs w:val="18"/>
        </w:rPr>
        <w:t xml:space="preserve">Beroepen die gereguleerd zijn in het zware regime van de Wet BIG </w:t>
      </w:r>
      <w:r w:rsidRPr="00C42E72">
        <w:rPr>
          <w:szCs w:val="18"/>
        </w:rPr>
        <w:t>zijn</w:t>
      </w:r>
      <w:r w:rsidRPr="00C42E72">
        <w:rPr>
          <w:szCs w:val="18"/>
        </w:rPr>
        <w:t xml:space="preserve"> vindbaar via het BIG-register. Zo is voor het publiek controleerbaar of iemand terecht een beschermde titel voert. Deze beroepsgroepe</w:t>
      </w:r>
      <w:r w:rsidRPr="00C42E72">
        <w:rPr>
          <w:szCs w:val="18"/>
        </w:rPr>
        <w:t>n moeten ook aan herregistratie-eisen voldoen. Hierdoor wordt bereikt dat alleen beroepsbeoefenaren die over actuele deskundigheid beschikken, ingeschreven staan in het register.</w:t>
      </w:r>
      <w:r w:rsidRPr="00C42E72">
        <w:rPr>
          <w:szCs w:val="18"/>
        </w:rPr>
        <w:t xml:space="preserve"> </w:t>
      </w:r>
      <w:r w:rsidRPr="00C42E72">
        <w:rPr>
          <w:szCs w:val="18"/>
        </w:rPr>
        <w:t>Daarnaast kent de Wet BIG een regeling ‘voorbehouden handelingen’. Dit zijn b</w:t>
      </w:r>
      <w:r w:rsidRPr="00C42E72">
        <w:rPr>
          <w:szCs w:val="18"/>
        </w:rPr>
        <w:t xml:space="preserve">epaalde risicovolle handelingen, die </w:t>
      </w:r>
      <w:r w:rsidRPr="00C42E72">
        <w:rPr>
          <w:szCs w:val="18"/>
        </w:rPr>
        <w:t>onbevoegden niet</w:t>
      </w:r>
      <w:r w:rsidRPr="00C42E72">
        <w:rPr>
          <w:szCs w:val="18"/>
        </w:rPr>
        <w:t xml:space="preserve"> zelfstandig </w:t>
      </w:r>
      <w:r w:rsidRPr="00C42E72">
        <w:rPr>
          <w:szCs w:val="18"/>
        </w:rPr>
        <w:t>mogen verrichten</w:t>
      </w:r>
      <w:r w:rsidRPr="00C42E72">
        <w:rPr>
          <w:szCs w:val="18"/>
        </w:rPr>
        <w:t>. In de Wet BIG is opgenomen welke beroepsgroepen bevoegd zijn voor deze handelingen. Zo is een verloskundige bevoegd om zelfstandig verloskundige handelingen te verrichten</w:t>
      </w:r>
      <w:r w:rsidRPr="003F5FFD">
        <w:rPr>
          <w:szCs w:val="18"/>
        </w:rPr>
        <w:t xml:space="preserve">. </w:t>
      </w:r>
    </w:p>
    <w:p w:rsidRPr="003F5FFD" w:rsidR="0062398F" w:rsidP="0062398F" w:rsidRDefault="00223242">
      <w:pPr>
        <w:spacing w:line="240" w:lineRule="auto"/>
        <w:rPr>
          <w:szCs w:val="18"/>
        </w:rPr>
      </w:pPr>
    </w:p>
    <w:p w:rsidR="00685ABF" w:rsidP="0062398F" w:rsidRDefault="00223242">
      <w:pPr>
        <w:spacing w:line="240" w:lineRule="auto"/>
        <w:rPr>
          <w:b/>
          <w:szCs w:val="18"/>
        </w:rPr>
      </w:pPr>
    </w:p>
    <w:p w:rsidRPr="00685ABF" w:rsidR="00D51FD3" w:rsidP="0062398F" w:rsidRDefault="00223242">
      <w:pPr>
        <w:spacing w:line="240" w:lineRule="auto"/>
        <w:rPr>
          <w:b/>
          <w:szCs w:val="18"/>
        </w:rPr>
      </w:pPr>
      <w:r w:rsidRPr="00685ABF">
        <w:rPr>
          <w:b/>
          <w:szCs w:val="18"/>
        </w:rPr>
        <w:t>Tuchtrecht</w:t>
      </w:r>
    </w:p>
    <w:p w:rsidR="00685ABF" w:rsidP="0062398F" w:rsidRDefault="00223242">
      <w:pPr>
        <w:spacing w:line="240" w:lineRule="auto"/>
        <w:rPr>
          <w:szCs w:val="18"/>
        </w:rPr>
      </w:pPr>
    </w:p>
    <w:p w:rsidRPr="003F5FFD" w:rsidR="0062398F" w:rsidP="0062398F" w:rsidRDefault="00223242">
      <w:pPr>
        <w:spacing w:line="240" w:lineRule="auto"/>
        <w:rPr>
          <w:szCs w:val="18"/>
        </w:rPr>
      </w:pPr>
      <w:r>
        <w:rPr>
          <w:szCs w:val="18"/>
        </w:rPr>
        <w:t>D</w:t>
      </w:r>
      <w:r w:rsidRPr="003F5FFD">
        <w:rPr>
          <w:szCs w:val="18"/>
        </w:rPr>
        <w:t xml:space="preserve">e Wet BIG </w:t>
      </w:r>
      <w:r>
        <w:rPr>
          <w:szCs w:val="18"/>
        </w:rPr>
        <w:t xml:space="preserve">regelt </w:t>
      </w:r>
      <w:r>
        <w:rPr>
          <w:szCs w:val="18"/>
        </w:rPr>
        <w:t>dat beroepsbeoefenaren</w:t>
      </w:r>
      <w:r w:rsidRPr="003F5FFD">
        <w:rPr>
          <w:szCs w:val="18"/>
        </w:rPr>
        <w:t xml:space="preserve"> die ingeschreven zijn in het BIG-register, onder het tuchtrecht vallen. </w:t>
      </w:r>
      <w:r w:rsidRPr="003F5FFD">
        <w:rPr>
          <w:rFonts w:cs="TheSansOffice"/>
          <w:szCs w:val="18"/>
        </w:rPr>
        <w:t>Het tuchtrecht vervult twee functies. Ten eerste, het bevorderen van het lerend vermogen van de sector. Door het tuchtrecht worden de normen van het professionele handelen verduidelijkt en aangescherpt. Ten tweede de repressieve functie om disfunctionerend</w:t>
      </w:r>
      <w:r w:rsidRPr="003F5FFD">
        <w:rPr>
          <w:rFonts w:cs="TheSansOffice"/>
          <w:szCs w:val="18"/>
        </w:rPr>
        <w:t xml:space="preserve">e beroepsbeoefenaren te corrigeren en zo nodig van de beroepsuitoefening uit te sluiten. </w:t>
      </w:r>
    </w:p>
    <w:p w:rsidRPr="003F5FFD" w:rsidR="0062398F" w:rsidP="0062398F" w:rsidRDefault="00223242">
      <w:pPr>
        <w:spacing w:line="240" w:lineRule="auto"/>
        <w:rPr>
          <w:szCs w:val="18"/>
        </w:rPr>
      </w:pPr>
    </w:p>
    <w:tbl>
      <w:tblPr>
        <w:tblStyle w:val="Tabelraster"/>
        <w:tblW w:w="0" w:type="auto"/>
        <w:tblLook w:val="04A0"/>
      </w:tblPr>
      <w:tblGrid>
        <w:gridCol w:w="3794"/>
        <w:gridCol w:w="5418"/>
      </w:tblGrid>
      <w:tr w:rsidR="0055243B" w:rsidTr="006E1F39">
        <w:tc>
          <w:tcPr>
            <w:tcW w:w="3794" w:type="dxa"/>
          </w:tcPr>
          <w:p w:rsidRPr="003F5FFD" w:rsidR="0062398F" w:rsidP="00685ABF" w:rsidRDefault="00223242">
            <w:pPr>
              <w:rPr>
                <w:b/>
                <w:szCs w:val="18"/>
              </w:rPr>
            </w:pPr>
            <w:r w:rsidRPr="003F5FFD">
              <w:rPr>
                <w:b/>
                <w:szCs w:val="18"/>
              </w:rPr>
              <w:t>Doel Wet BIG</w:t>
            </w:r>
          </w:p>
        </w:tc>
        <w:tc>
          <w:tcPr>
            <w:tcW w:w="5418" w:type="dxa"/>
          </w:tcPr>
          <w:p w:rsidRPr="003F5FFD" w:rsidR="0062398F" w:rsidP="00685ABF" w:rsidRDefault="00223242">
            <w:pPr>
              <w:rPr>
                <w:b/>
                <w:szCs w:val="18"/>
              </w:rPr>
            </w:pPr>
            <w:r w:rsidRPr="003F5FFD">
              <w:rPr>
                <w:b/>
                <w:szCs w:val="18"/>
              </w:rPr>
              <w:t>Belangrijkste onderdelen Wet BIG</w:t>
            </w:r>
          </w:p>
        </w:tc>
      </w:tr>
      <w:tr w:rsidR="0055243B" w:rsidTr="006E1F39">
        <w:trPr>
          <w:trHeight w:val="567"/>
        </w:trPr>
        <w:tc>
          <w:tcPr>
            <w:tcW w:w="3794" w:type="dxa"/>
          </w:tcPr>
          <w:p w:rsidRPr="003F5FFD" w:rsidR="0062398F" w:rsidP="0062398F" w:rsidRDefault="00223242">
            <w:pPr>
              <w:pStyle w:val="Lijstalinea"/>
              <w:numPr>
                <w:ilvl w:val="0"/>
                <w:numId w:val="1"/>
              </w:numPr>
              <w:spacing w:after="0" w:line="240" w:lineRule="auto"/>
              <w:textAlignment w:val="baseline"/>
              <w:rPr>
                <w:rFonts w:ascii="Verdana" w:hAnsi="Verdana"/>
                <w:sz w:val="18"/>
                <w:szCs w:val="18"/>
              </w:rPr>
            </w:pPr>
            <w:r w:rsidRPr="003F5FFD">
              <w:rPr>
                <w:rFonts w:ascii="Verdana" w:hAnsi="Verdana"/>
                <w:sz w:val="18"/>
                <w:szCs w:val="18"/>
              </w:rPr>
              <w:t xml:space="preserve">Het bewaken en bevorderen van de kwaliteit van de beroepsuitoefening </w:t>
            </w:r>
          </w:p>
          <w:p w:rsidRPr="003F5FFD" w:rsidR="0062398F" w:rsidP="0062398F" w:rsidRDefault="00223242">
            <w:pPr>
              <w:pStyle w:val="Lijstalinea"/>
              <w:numPr>
                <w:ilvl w:val="0"/>
                <w:numId w:val="1"/>
              </w:numPr>
              <w:spacing w:after="0" w:line="240" w:lineRule="auto"/>
              <w:textAlignment w:val="baseline"/>
              <w:rPr>
                <w:rFonts w:ascii="Verdana" w:hAnsi="Verdana"/>
                <w:sz w:val="18"/>
                <w:szCs w:val="18"/>
              </w:rPr>
            </w:pPr>
            <w:r w:rsidRPr="003F5FFD">
              <w:rPr>
                <w:rFonts w:ascii="Verdana" w:hAnsi="Verdana"/>
                <w:sz w:val="18"/>
                <w:szCs w:val="18"/>
              </w:rPr>
              <w:t xml:space="preserve">Het beschermen van de patiënt tegen ondeskundig en onzorgvuldig handelen </w:t>
            </w:r>
          </w:p>
          <w:p w:rsidRPr="003F5FFD" w:rsidR="0062398F" w:rsidP="00685ABF" w:rsidRDefault="00223242">
            <w:pPr>
              <w:pStyle w:val="Lijstalinea"/>
              <w:textAlignment w:val="baseline"/>
              <w:rPr>
                <w:rFonts w:ascii="Verdana" w:hAnsi="Verdana"/>
                <w:sz w:val="18"/>
                <w:szCs w:val="18"/>
              </w:rPr>
            </w:pPr>
          </w:p>
          <w:p w:rsidRPr="003F5FFD" w:rsidR="0062398F" w:rsidP="00685ABF" w:rsidRDefault="00223242">
            <w:pPr>
              <w:rPr>
                <w:szCs w:val="18"/>
              </w:rPr>
            </w:pPr>
          </w:p>
        </w:tc>
        <w:tc>
          <w:tcPr>
            <w:tcW w:w="5418" w:type="dxa"/>
          </w:tcPr>
          <w:p w:rsidRPr="003F5FFD" w:rsidR="0062398F" w:rsidP="00685ABF" w:rsidRDefault="00223242">
            <w:pPr>
              <w:spacing w:line="240" w:lineRule="auto"/>
              <w:rPr>
                <w:szCs w:val="18"/>
              </w:rPr>
            </w:pPr>
            <w:r w:rsidRPr="003F5FFD">
              <w:rPr>
                <w:rFonts w:eastAsia="Verdana" w:cs="Verdana"/>
                <w:kern w:val="24"/>
                <w:szCs w:val="18"/>
              </w:rPr>
              <w:t xml:space="preserve">Beroepenregulering </w:t>
            </w:r>
          </w:p>
          <w:p w:rsidR="0075064D" w:rsidRDefault="00223242">
            <w:pPr>
              <w:pStyle w:val="Lijstalinea"/>
              <w:numPr>
                <w:ilvl w:val="0"/>
                <w:numId w:val="1"/>
              </w:numPr>
              <w:spacing w:after="0" w:line="240" w:lineRule="auto"/>
              <w:textAlignment w:val="baseline"/>
              <w:rPr>
                <w:rFonts w:ascii="Verdana" w:hAnsi="Verdana"/>
                <w:sz w:val="18"/>
                <w:szCs w:val="18"/>
              </w:rPr>
            </w:pPr>
            <w:r w:rsidRPr="00D04B38">
              <w:rPr>
                <w:rFonts w:ascii="Verdana" w:hAnsi="Verdana"/>
                <w:sz w:val="18"/>
                <w:szCs w:val="18"/>
              </w:rPr>
              <w:t>t</w:t>
            </w:r>
            <w:r w:rsidRPr="003F5FFD">
              <w:rPr>
                <w:rFonts w:ascii="Verdana" w:hAnsi="Verdana"/>
                <w:sz w:val="18"/>
                <w:szCs w:val="18"/>
              </w:rPr>
              <w:t>itelbescherming</w:t>
            </w:r>
          </w:p>
          <w:p w:rsidR="0075064D" w:rsidRDefault="00223242">
            <w:pPr>
              <w:pStyle w:val="Lijstalinea"/>
              <w:numPr>
                <w:ilvl w:val="0"/>
                <w:numId w:val="1"/>
              </w:numPr>
              <w:spacing w:after="0" w:line="240" w:lineRule="auto"/>
              <w:textAlignment w:val="baseline"/>
              <w:rPr>
                <w:rFonts w:ascii="Verdana" w:hAnsi="Verdana"/>
                <w:sz w:val="18"/>
                <w:szCs w:val="18"/>
              </w:rPr>
            </w:pPr>
            <w:r w:rsidRPr="003F5FFD">
              <w:rPr>
                <w:rFonts w:ascii="Verdana" w:hAnsi="Verdana"/>
                <w:sz w:val="18"/>
                <w:szCs w:val="18"/>
              </w:rPr>
              <w:t>o</w:t>
            </w:r>
            <w:r w:rsidRPr="00D04B38">
              <w:rPr>
                <w:rFonts w:ascii="Verdana" w:hAnsi="Verdana"/>
                <w:sz w:val="18"/>
                <w:szCs w:val="18"/>
              </w:rPr>
              <w:t>pleidingseisen</w:t>
            </w:r>
          </w:p>
          <w:p w:rsidR="0075064D" w:rsidRDefault="00223242">
            <w:pPr>
              <w:pStyle w:val="Lijstalinea"/>
              <w:numPr>
                <w:ilvl w:val="0"/>
                <w:numId w:val="1"/>
              </w:numPr>
              <w:spacing w:after="0" w:line="240" w:lineRule="auto"/>
              <w:textAlignment w:val="baseline"/>
              <w:rPr>
                <w:rFonts w:ascii="Verdana" w:hAnsi="Verdana"/>
                <w:sz w:val="18"/>
                <w:szCs w:val="18"/>
              </w:rPr>
            </w:pPr>
            <w:r w:rsidRPr="00D04B38">
              <w:rPr>
                <w:rFonts w:ascii="Verdana" w:hAnsi="Verdana"/>
                <w:sz w:val="18"/>
                <w:szCs w:val="18"/>
              </w:rPr>
              <w:t>herregistratie</w:t>
            </w:r>
          </w:p>
          <w:p w:rsidR="0075064D" w:rsidRDefault="00223242">
            <w:pPr>
              <w:pStyle w:val="Lijstalinea"/>
              <w:numPr>
                <w:ilvl w:val="0"/>
                <w:numId w:val="1"/>
              </w:numPr>
              <w:spacing w:after="0" w:line="240" w:lineRule="auto"/>
              <w:textAlignment w:val="baseline"/>
              <w:rPr>
                <w:rFonts w:ascii="Verdana" w:hAnsi="Verdana"/>
                <w:sz w:val="18"/>
                <w:szCs w:val="18"/>
              </w:rPr>
            </w:pPr>
            <w:r w:rsidRPr="00D04B38">
              <w:rPr>
                <w:rFonts w:ascii="Verdana" w:hAnsi="Verdana"/>
                <w:sz w:val="18"/>
                <w:szCs w:val="18"/>
              </w:rPr>
              <w:t>voorbehouden handelingen</w:t>
            </w:r>
          </w:p>
          <w:p w:rsidRPr="003F5FFD" w:rsidR="00FD5503" w:rsidP="00FD5503" w:rsidRDefault="00223242">
            <w:pPr>
              <w:pStyle w:val="Lijstalinea"/>
              <w:spacing w:after="0" w:line="240" w:lineRule="auto"/>
              <w:ind w:left="1440"/>
              <w:textAlignment w:val="baseline"/>
              <w:rPr>
                <w:rFonts w:ascii="Verdana" w:hAnsi="Verdana" w:eastAsia="Verdana" w:cs="Verdana"/>
                <w:kern w:val="24"/>
                <w:sz w:val="18"/>
                <w:szCs w:val="18"/>
              </w:rPr>
            </w:pPr>
          </w:p>
          <w:p w:rsidRPr="003F5FFD" w:rsidR="0062398F" w:rsidP="00685ABF" w:rsidRDefault="00223242">
            <w:pPr>
              <w:spacing w:line="240" w:lineRule="auto"/>
              <w:rPr>
                <w:szCs w:val="18"/>
              </w:rPr>
            </w:pPr>
            <w:r w:rsidRPr="003F5FFD">
              <w:rPr>
                <w:szCs w:val="18"/>
              </w:rPr>
              <w:t>Tuchtrecht</w:t>
            </w:r>
          </w:p>
          <w:p w:rsidR="0075064D" w:rsidRDefault="00223242">
            <w:pPr>
              <w:pStyle w:val="Lijstalinea"/>
              <w:numPr>
                <w:ilvl w:val="0"/>
                <w:numId w:val="1"/>
              </w:numPr>
              <w:spacing w:after="0" w:line="240" w:lineRule="auto"/>
              <w:textAlignment w:val="baseline"/>
              <w:rPr>
                <w:rFonts w:ascii="Verdana" w:hAnsi="Verdana"/>
                <w:sz w:val="18"/>
                <w:szCs w:val="18"/>
              </w:rPr>
            </w:pPr>
            <w:r>
              <w:rPr>
                <w:rFonts w:ascii="Verdana" w:hAnsi="Verdana"/>
                <w:sz w:val="18"/>
                <w:szCs w:val="18"/>
              </w:rPr>
              <w:t>a</w:t>
            </w:r>
            <w:r w:rsidRPr="003F5FFD">
              <w:rPr>
                <w:rFonts w:ascii="Verdana" w:hAnsi="Verdana"/>
                <w:sz w:val="18"/>
                <w:szCs w:val="18"/>
              </w:rPr>
              <w:t xml:space="preserve">anscherpen </w:t>
            </w:r>
            <w:r>
              <w:rPr>
                <w:rFonts w:ascii="Verdana" w:hAnsi="Verdana"/>
                <w:sz w:val="18"/>
                <w:szCs w:val="18"/>
              </w:rPr>
              <w:t xml:space="preserve">van de </w:t>
            </w:r>
            <w:r w:rsidRPr="003F5FFD">
              <w:rPr>
                <w:rFonts w:ascii="Verdana" w:hAnsi="Verdana"/>
                <w:sz w:val="18"/>
                <w:szCs w:val="18"/>
              </w:rPr>
              <w:t xml:space="preserve">norm </w:t>
            </w:r>
            <w:r>
              <w:rPr>
                <w:rFonts w:ascii="Verdana" w:hAnsi="Verdana"/>
                <w:sz w:val="18"/>
                <w:szCs w:val="18"/>
              </w:rPr>
              <w:t xml:space="preserve">voor </w:t>
            </w:r>
            <w:r w:rsidRPr="003F5FFD">
              <w:rPr>
                <w:rFonts w:ascii="Verdana" w:hAnsi="Verdana"/>
                <w:sz w:val="18"/>
                <w:szCs w:val="18"/>
              </w:rPr>
              <w:t>professioneel handelen</w:t>
            </w:r>
          </w:p>
          <w:p w:rsidR="0075064D" w:rsidRDefault="00223242">
            <w:pPr>
              <w:pStyle w:val="Lijstalinea"/>
              <w:numPr>
                <w:ilvl w:val="0"/>
                <w:numId w:val="1"/>
              </w:numPr>
              <w:spacing w:after="0" w:line="240" w:lineRule="auto"/>
              <w:textAlignment w:val="baseline"/>
              <w:rPr>
                <w:rFonts w:ascii="Verdana" w:hAnsi="Verdana"/>
                <w:sz w:val="18"/>
                <w:szCs w:val="18"/>
              </w:rPr>
            </w:pPr>
            <w:r w:rsidRPr="003F5FFD">
              <w:rPr>
                <w:rFonts w:ascii="Verdana" w:hAnsi="Verdana"/>
                <w:sz w:val="18"/>
                <w:szCs w:val="18"/>
              </w:rPr>
              <w:t xml:space="preserve">corrigeren/uitsluiten </w:t>
            </w:r>
            <w:r>
              <w:rPr>
                <w:rFonts w:ascii="Verdana" w:hAnsi="Verdana"/>
                <w:sz w:val="18"/>
                <w:szCs w:val="18"/>
              </w:rPr>
              <w:t xml:space="preserve">van </w:t>
            </w:r>
            <w:r w:rsidRPr="003F5FFD">
              <w:rPr>
                <w:rFonts w:ascii="Verdana" w:hAnsi="Verdana"/>
                <w:sz w:val="18"/>
                <w:szCs w:val="18"/>
              </w:rPr>
              <w:t xml:space="preserve">individuele beroepsbeoefenaren </w:t>
            </w:r>
          </w:p>
        </w:tc>
      </w:tr>
    </w:tbl>
    <w:p w:rsidR="00685ABF" w:rsidP="00685ABF" w:rsidRDefault="00223242">
      <w:pPr>
        <w:spacing w:line="240" w:lineRule="auto"/>
        <w:rPr>
          <w:i/>
          <w:szCs w:val="18"/>
        </w:rPr>
      </w:pPr>
      <w:r w:rsidRPr="003F5FFD">
        <w:rPr>
          <w:i/>
          <w:szCs w:val="18"/>
        </w:rPr>
        <w:t>Tabel 1. Doel en belangrijkste onderdelen Wet BIG</w:t>
      </w:r>
    </w:p>
    <w:p w:rsidR="00685ABF" w:rsidP="00685ABF" w:rsidRDefault="00223242">
      <w:pPr>
        <w:spacing w:line="240" w:lineRule="auto"/>
        <w:rPr>
          <w:szCs w:val="18"/>
        </w:rPr>
      </w:pPr>
    </w:p>
    <w:p w:rsidRPr="003F5FFD" w:rsidR="0062398F" w:rsidP="0062398F" w:rsidRDefault="00223242">
      <w:pPr>
        <w:pStyle w:val="Kop2"/>
        <w:numPr>
          <w:ilvl w:val="0"/>
          <w:numId w:val="0"/>
        </w:numPr>
        <w:ind w:left="576" w:hanging="576"/>
        <w:rPr>
          <w:szCs w:val="18"/>
        </w:rPr>
      </w:pPr>
      <w:r>
        <w:rPr>
          <w:szCs w:val="18"/>
        </w:rPr>
        <w:t xml:space="preserve">Beroepenregulering: licht en zwaar regime </w:t>
      </w:r>
    </w:p>
    <w:p w:rsidRPr="003F5FFD" w:rsidR="0062398F" w:rsidP="0062398F" w:rsidRDefault="00223242">
      <w:pPr>
        <w:spacing w:line="240" w:lineRule="auto"/>
        <w:rPr>
          <w:szCs w:val="18"/>
        </w:rPr>
      </w:pPr>
    </w:p>
    <w:p w:rsidRPr="003F5FFD" w:rsidR="0062398F" w:rsidP="0062398F" w:rsidRDefault="00223242">
      <w:pPr>
        <w:spacing w:line="240" w:lineRule="auto"/>
        <w:rPr>
          <w:szCs w:val="18"/>
        </w:rPr>
      </w:pPr>
      <w:r w:rsidRPr="003F5FFD">
        <w:rPr>
          <w:szCs w:val="18"/>
        </w:rPr>
        <w:t xml:space="preserve">De Wet BIG kent twee regimes om beroepen te reguleren. Er is een zogenaamd ‘zwaar regime’ op grond van artikel 3 van de Wet BIG en een ‘licht regime’ op grond van artikel 34 van de Wet BIG. </w:t>
      </w:r>
    </w:p>
    <w:p w:rsidRPr="003F5FFD" w:rsidR="0062398F" w:rsidP="0062398F" w:rsidRDefault="00223242">
      <w:pPr>
        <w:spacing w:line="240" w:lineRule="auto"/>
        <w:rPr>
          <w:szCs w:val="18"/>
        </w:rPr>
      </w:pPr>
    </w:p>
    <w:p w:rsidR="00151FEC" w:rsidP="00D51FD3" w:rsidRDefault="00223242">
      <w:pPr>
        <w:spacing w:line="240" w:lineRule="auto"/>
        <w:rPr>
          <w:szCs w:val="18"/>
        </w:rPr>
      </w:pPr>
    </w:p>
    <w:p w:rsidRPr="003F5FFD" w:rsidR="00D51FD3" w:rsidP="00D51FD3" w:rsidRDefault="00223242">
      <w:pPr>
        <w:spacing w:line="240" w:lineRule="auto"/>
        <w:rPr>
          <w:szCs w:val="18"/>
        </w:rPr>
      </w:pPr>
      <w:r>
        <w:rPr>
          <w:szCs w:val="18"/>
        </w:rPr>
        <w:t>Er zijn v</w:t>
      </w:r>
      <w:r w:rsidRPr="003F5FFD">
        <w:rPr>
          <w:szCs w:val="18"/>
        </w:rPr>
        <w:t>ijftien beroepen</w:t>
      </w:r>
      <w:r>
        <w:rPr>
          <w:rStyle w:val="Voetnootmarkering"/>
          <w:szCs w:val="18"/>
        </w:rPr>
        <w:footnoteReference w:id="1"/>
      </w:r>
      <w:r>
        <w:rPr>
          <w:szCs w:val="18"/>
        </w:rPr>
        <w:t xml:space="preserve"> </w:t>
      </w:r>
      <w:r w:rsidRPr="003F5FFD">
        <w:rPr>
          <w:szCs w:val="18"/>
        </w:rPr>
        <w:t>gereguleerd</w:t>
      </w:r>
      <w:r>
        <w:rPr>
          <w:szCs w:val="18"/>
        </w:rPr>
        <w:t xml:space="preserve"> </w:t>
      </w:r>
      <w:r>
        <w:rPr>
          <w:szCs w:val="18"/>
        </w:rPr>
        <w:t>volgens het lichte regim</w:t>
      </w:r>
      <w:r>
        <w:rPr>
          <w:szCs w:val="18"/>
        </w:rPr>
        <w:t>e</w:t>
      </w:r>
      <w:r w:rsidRPr="003F5FFD">
        <w:rPr>
          <w:szCs w:val="18"/>
        </w:rPr>
        <w:t>. Het gaat vooral om voor het publiek direct toegankelijke beroepen, zoals ergotherapeut en huidtherapeut. Ten aanzien van deze beroepen worden de opleidingseisen en het deskundigheidsgebied op grond van de wet vastgesteld</w:t>
      </w:r>
      <w:r>
        <w:rPr>
          <w:szCs w:val="18"/>
        </w:rPr>
        <w:t>. D</w:t>
      </w:r>
      <w:r w:rsidRPr="003F5FFD">
        <w:rPr>
          <w:szCs w:val="18"/>
        </w:rPr>
        <w:t>eze beroepen zijn niet onderwo</w:t>
      </w:r>
      <w:r w:rsidRPr="003F5FFD">
        <w:rPr>
          <w:szCs w:val="18"/>
        </w:rPr>
        <w:t xml:space="preserve">rpen aan publiek tuchtrecht en </w:t>
      </w:r>
      <w:r>
        <w:rPr>
          <w:szCs w:val="18"/>
        </w:rPr>
        <w:t>ze</w:t>
      </w:r>
      <w:r>
        <w:rPr>
          <w:szCs w:val="18"/>
        </w:rPr>
        <w:t xml:space="preserve"> zijn </w:t>
      </w:r>
      <w:r>
        <w:rPr>
          <w:szCs w:val="18"/>
        </w:rPr>
        <w:t xml:space="preserve">niet vindbaar in het </w:t>
      </w:r>
      <w:r>
        <w:rPr>
          <w:szCs w:val="18"/>
        </w:rPr>
        <w:t>BIG-register</w:t>
      </w:r>
      <w:r>
        <w:rPr>
          <w:szCs w:val="18"/>
        </w:rPr>
        <w:t xml:space="preserve">. </w:t>
      </w:r>
      <w:r w:rsidRPr="003F5FFD">
        <w:rPr>
          <w:szCs w:val="18"/>
        </w:rPr>
        <w:t xml:space="preserve"> </w:t>
      </w:r>
    </w:p>
    <w:p w:rsidRPr="003F5FFD" w:rsidR="00D51FD3" w:rsidP="0062398F" w:rsidRDefault="00223242">
      <w:pPr>
        <w:spacing w:line="240" w:lineRule="auto"/>
        <w:rPr>
          <w:szCs w:val="18"/>
        </w:rPr>
      </w:pPr>
    </w:p>
    <w:p w:rsidRPr="003F5FFD" w:rsidR="0062398F" w:rsidP="0062398F" w:rsidRDefault="00223242">
      <w:pPr>
        <w:spacing w:line="240" w:lineRule="auto"/>
        <w:rPr>
          <w:szCs w:val="18"/>
        </w:rPr>
      </w:pPr>
      <w:r w:rsidRPr="003F5FFD">
        <w:rPr>
          <w:szCs w:val="18"/>
        </w:rPr>
        <w:t>Het zware regime is momenteel van toepassing op acht basisberoepen</w:t>
      </w:r>
      <w:r>
        <w:rPr>
          <w:rStyle w:val="Voetnootmarkering"/>
          <w:szCs w:val="18"/>
        </w:rPr>
        <w:footnoteReference w:id="2"/>
      </w:r>
      <w:r w:rsidRPr="003F5FFD">
        <w:rPr>
          <w:szCs w:val="18"/>
        </w:rPr>
        <w:t xml:space="preserve">. </w:t>
      </w:r>
      <w:r>
        <w:rPr>
          <w:szCs w:val="18"/>
        </w:rPr>
        <w:t>Voor d</w:t>
      </w:r>
      <w:r w:rsidRPr="003F5FFD">
        <w:rPr>
          <w:szCs w:val="18"/>
        </w:rPr>
        <w:t xml:space="preserve">eze </w:t>
      </w:r>
      <w:r>
        <w:rPr>
          <w:szCs w:val="18"/>
        </w:rPr>
        <w:t>beroepen zijn registers ingesteld</w:t>
      </w:r>
      <w:r w:rsidRPr="003F5FFD">
        <w:rPr>
          <w:szCs w:val="18"/>
        </w:rPr>
        <w:t xml:space="preserve"> en </w:t>
      </w:r>
      <w:r>
        <w:rPr>
          <w:szCs w:val="18"/>
        </w:rPr>
        <w:t>zij</w:t>
      </w:r>
      <w:r w:rsidRPr="003F5FFD">
        <w:rPr>
          <w:szCs w:val="18"/>
        </w:rPr>
        <w:t xml:space="preserve"> vallen onder het publiek</w:t>
      </w:r>
      <w:r>
        <w:rPr>
          <w:szCs w:val="18"/>
        </w:rPr>
        <w:t>e</w:t>
      </w:r>
      <w:r w:rsidRPr="003F5FFD">
        <w:rPr>
          <w:szCs w:val="18"/>
        </w:rPr>
        <w:t xml:space="preserve"> tuchtrecht. Ook geldt voor deze b</w:t>
      </w:r>
      <w:r w:rsidRPr="003F5FFD">
        <w:rPr>
          <w:szCs w:val="18"/>
        </w:rPr>
        <w:t xml:space="preserve">eroepen een plicht tot herregistratie. Bij deze beroepen kunnen daarnaast specialismen aangewezen, waarover in de volgende paragraaf meer. </w:t>
      </w:r>
    </w:p>
    <w:p w:rsidRPr="003F5FFD" w:rsidR="0062398F" w:rsidP="0062398F" w:rsidRDefault="00223242">
      <w:pPr>
        <w:spacing w:line="240" w:lineRule="auto"/>
        <w:rPr>
          <w:szCs w:val="18"/>
        </w:rPr>
      </w:pPr>
    </w:p>
    <w:p w:rsidR="0062398F" w:rsidP="0062398F" w:rsidRDefault="00223242">
      <w:pPr>
        <w:spacing w:line="240" w:lineRule="auto"/>
        <w:rPr>
          <w:szCs w:val="18"/>
        </w:rPr>
      </w:pPr>
      <w:r w:rsidRPr="003F5FFD">
        <w:rPr>
          <w:szCs w:val="18"/>
        </w:rPr>
        <w:t xml:space="preserve">Aan beroepen die onder het zware regime vallen kan de bevoegdheid tot het zelfstandig uitvoeren van voorbehouden handelingen toegekend worden. Beroepen die onder het lichte regime vallen </w:t>
      </w:r>
      <w:r>
        <w:rPr>
          <w:szCs w:val="18"/>
        </w:rPr>
        <w:t>k</w:t>
      </w:r>
      <w:r w:rsidRPr="003F5FFD">
        <w:rPr>
          <w:szCs w:val="18"/>
        </w:rPr>
        <w:t>ennen alleen functionele zelfstandigheid. Het verschil hiertus</w:t>
      </w:r>
      <w:r w:rsidRPr="003F5FFD">
        <w:rPr>
          <w:szCs w:val="18"/>
        </w:rPr>
        <w:t>sen wo</w:t>
      </w:r>
      <w:r w:rsidRPr="003F5FFD">
        <w:rPr>
          <w:szCs w:val="18"/>
        </w:rPr>
        <w:t>rdt verderop in deze tekst</w:t>
      </w:r>
      <w:r w:rsidRPr="003F5FFD">
        <w:rPr>
          <w:szCs w:val="18"/>
        </w:rPr>
        <w:t xml:space="preserve"> toegelicht (zie ook tabel 3). Tabel 2 </w:t>
      </w:r>
      <w:r>
        <w:rPr>
          <w:szCs w:val="18"/>
        </w:rPr>
        <w:t>geeft een overzicht van de</w:t>
      </w:r>
      <w:r w:rsidRPr="003F5FFD">
        <w:rPr>
          <w:szCs w:val="18"/>
        </w:rPr>
        <w:t xml:space="preserve"> verschil</w:t>
      </w:r>
      <w:r>
        <w:rPr>
          <w:szCs w:val="18"/>
        </w:rPr>
        <w:t>len</w:t>
      </w:r>
      <w:r w:rsidRPr="003F5FFD">
        <w:rPr>
          <w:szCs w:val="18"/>
        </w:rPr>
        <w:t xml:space="preserve"> tussen het lichte en zware regime.</w:t>
      </w:r>
    </w:p>
    <w:p w:rsidRPr="003F5FFD" w:rsidR="00D7068E" w:rsidP="0062398F" w:rsidRDefault="00223242">
      <w:pPr>
        <w:spacing w:line="240" w:lineRule="auto"/>
        <w:rPr>
          <w:szCs w:val="18"/>
        </w:rPr>
      </w:pPr>
    </w:p>
    <w:p w:rsidRPr="003F5FFD" w:rsidR="00685ABF" w:rsidP="00685ABF" w:rsidRDefault="00223242">
      <w:pPr>
        <w:spacing w:line="240" w:lineRule="auto"/>
        <w:rPr>
          <w:i/>
          <w:szCs w:val="18"/>
        </w:rPr>
      </w:pPr>
      <w:r w:rsidRPr="003F5FFD">
        <w:rPr>
          <w:i/>
          <w:szCs w:val="18"/>
        </w:rPr>
        <w:t xml:space="preserve"> Tabel 2. Lichte en zware regime van de Wet BIG</w:t>
      </w:r>
    </w:p>
    <w:tbl>
      <w:tblPr>
        <w:tblStyle w:val="Tabelraster"/>
        <w:tblpPr w:leftFromText="141" w:rightFromText="141" w:vertAnchor="page" w:horzAnchor="margin" w:tblpY="5431"/>
        <w:tblW w:w="9322" w:type="dxa"/>
        <w:tblLayout w:type="fixed"/>
        <w:tblLook w:val="04A0"/>
      </w:tblPr>
      <w:tblGrid>
        <w:gridCol w:w="1526"/>
        <w:gridCol w:w="850"/>
        <w:gridCol w:w="851"/>
        <w:gridCol w:w="709"/>
        <w:gridCol w:w="992"/>
        <w:gridCol w:w="992"/>
        <w:gridCol w:w="1843"/>
        <w:gridCol w:w="1559"/>
      </w:tblGrid>
      <w:tr w:rsidR="0055243B" w:rsidTr="00BB1E72">
        <w:trPr>
          <w:cantSplit/>
          <w:trHeight w:val="1833"/>
        </w:trPr>
        <w:tc>
          <w:tcPr>
            <w:tcW w:w="1526" w:type="dxa"/>
          </w:tcPr>
          <w:p w:rsidRPr="003F5FFD" w:rsidR="00C25C43" w:rsidP="00BB1E72" w:rsidRDefault="00223242">
            <w:pPr>
              <w:rPr>
                <w:szCs w:val="18"/>
              </w:rPr>
            </w:pPr>
          </w:p>
          <w:p w:rsidRPr="003F5FFD" w:rsidR="00C25C43" w:rsidP="00BB1E72" w:rsidRDefault="00223242">
            <w:pPr>
              <w:ind w:left="142"/>
              <w:rPr>
                <w:szCs w:val="18"/>
              </w:rPr>
            </w:pPr>
          </w:p>
        </w:tc>
        <w:tc>
          <w:tcPr>
            <w:tcW w:w="850" w:type="dxa"/>
            <w:textDirection w:val="btLr"/>
          </w:tcPr>
          <w:p w:rsidRPr="003F5FFD" w:rsidR="00C25C43" w:rsidP="00BB1E72" w:rsidRDefault="00223242">
            <w:pPr>
              <w:ind w:left="113" w:right="113"/>
              <w:rPr>
                <w:b/>
                <w:szCs w:val="18"/>
              </w:rPr>
            </w:pPr>
            <w:r w:rsidRPr="003F5FFD">
              <w:rPr>
                <w:b/>
                <w:szCs w:val="18"/>
              </w:rPr>
              <w:t xml:space="preserve">Opleidings-eisen vastgelegd </w:t>
            </w:r>
          </w:p>
        </w:tc>
        <w:tc>
          <w:tcPr>
            <w:tcW w:w="851" w:type="dxa"/>
            <w:textDirection w:val="btLr"/>
          </w:tcPr>
          <w:p w:rsidRPr="003F5FFD" w:rsidR="00C25C43" w:rsidP="00BB1E72" w:rsidRDefault="00223242">
            <w:pPr>
              <w:ind w:left="113" w:right="113"/>
              <w:rPr>
                <w:b/>
                <w:szCs w:val="18"/>
              </w:rPr>
            </w:pPr>
            <w:r w:rsidRPr="003F5FFD">
              <w:rPr>
                <w:b/>
                <w:szCs w:val="18"/>
              </w:rPr>
              <w:t>Wettelijk beschermde titel</w:t>
            </w:r>
          </w:p>
        </w:tc>
        <w:tc>
          <w:tcPr>
            <w:tcW w:w="709" w:type="dxa"/>
            <w:textDirection w:val="btLr"/>
          </w:tcPr>
          <w:p w:rsidRPr="003F5FFD" w:rsidR="00C25C43" w:rsidP="00BB1E72" w:rsidRDefault="00223242">
            <w:pPr>
              <w:ind w:left="113" w:right="113"/>
              <w:rPr>
                <w:b/>
                <w:szCs w:val="18"/>
              </w:rPr>
            </w:pPr>
            <w:r w:rsidRPr="003F5FFD">
              <w:rPr>
                <w:b/>
                <w:szCs w:val="18"/>
              </w:rPr>
              <w:t xml:space="preserve">Publiek </w:t>
            </w:r>
            <w:r w:rsidRPr="003F5FFD">
              <w:rPr>
                <w:b/>
                <w:szCs w:val="18"/>
              </w:rPr>
              <w:t>tuchtrecht</w:t>
            </w:r>
          </w:p>
        </w:tc>
        <w:tc>
          <w:tcPr>
            <w:tcW w:w="992" w:type="dxa"/>
            <w:textDirection w:val="btLr"/>
          </w:tcPr>
          <w:p w:rsidRPr="003F5FFD" w:rsidR="00C25C43" w:rsidP="00BB1E72" w:rsidRDefault="00223242">
            <w:pPr>
              <w:ind w:left="113" w:right="113"/>
              <w:rPr>
                <w:b/>
                <w:szCs w:val="18"/>
              </w:rPr>
            </w:pPr>
            <w:r w:rsidRPr="003F5FFD">
              <w:rPr>
                <w:b/>
                <w:szCs w:val="18"/>
              </w:rPr>
              <w:t>Wettelijke erkende specialismen</w:t>
            </w:r>
          </w:p>
        </w:tc>
        <w:tc>
          <w:tcPr>
            <w:tcW w:w="992" w:type="dxa"/>
            <w:textDirection w:val="btLr"/>
          </w:tcPr>
          <w:p w:rsidRPr="003F5FFD" w:rsidR="00C25C43" w:rsidP="00BB1E72" w:rsidRDefault="00223242">
            <w:pPr>
              <w:ind w:left="113" w:right="113"/>
              <w:rPr>
                <w:b/>
                <w:szCs w:val="18"/>
              </w:rPr>
            </w:pPr>
            <w:r w:rsidRPr="003F5FFD">
              <w:rPr>
                <w:b/>
                <w:szCs w:val="18"/>
              </w:rPr>
              <w:t>Wettelijk verplichte herregistratie</w:t>
            </w:r>
          </w:p>
        </w:tc>
        <w:tc>
          <w:tcPr>
            <w:tcW w:w="1843" w:type="dxa"/>
            <w:textDirection w:val="btLr"/>
          </w:tcPr>
          <w:p w:rsidRPr="003F5FFD" w:rsidR="00C25C43" w:rsidP="00BB1E72" w:rsidRDefault="00223242">
            <w:pPr>
              <w:ind w:left="113" w:right="113"/>
              <w:rPr>
                <w:b/>
                <w:szCs w:val="18"/>
              </w:rPr>
            </w:pPr>
            <w:r w:rsidRPr="003F5FFD">
              <w:rPr>
                <w:b/>
                <w:szCs w:val="18"/>
              </w:rPr>
              <w:t>Mogelijkheid toekennen zelfstandige bevoegdheid voorbehouden handelingen</w:t>
            </w:r>
          </w:p>
        </w:tc>
        <w:tc>
          <w:tcPr>
            <w:tcW w:w="1559" w:type="dxa"/>
            <w:textDirection w:val="btLr"/>
          </w:tcPr>
          <w:p w:rsidRPr="003F5FFD" w:rsidR="00C25C43" w:rsidP="00BB1E72" w:rsidRDefault="00223242">
            <w:pPr>
              <w:ind w:left="113" w:right="113"/>
              <w:rPr>
                <w:b/>
                <w:szCs w:val="18"/>
              </w:rPr>
            </w:pPr>
            <w:r w:rsidRPr="003F5FFD">
              <w:rPr>
                <w:b/>
                <w:szCs w:val="18"/>
              </w:rPr>
              <w:t>Mogelijkheid toekennen functionele zelfstandigheid</w:t>
            </w:r>
          </w:p>
        </w:tc>
      </w:tr>
      <w:tr w:rsidR="0055243B" w:rsidTr="00BB1E72">
        <w:tc>
          <w:tcPr>
            <w:tcW w:w="1526" w:type="dxa"/>
          </w:tcPr>
          <w:p w:rsidRPr="003F5FFD" w:rsidR="00C25C43" w:rsidP="00BB1E72" w:rsidRDefault="00223242">
            <w:pPr>
              <w:rPr>
                <w:b/>
                <w:szCs w:val="18"/>
              </w:rPr>
            </w:pPr>
            <w:r w:rsidRPr="003F5FFD">
              <w:rPr>
                <w:b/>
                <w:szCs w:val="18"/>
              </w:rPr>
              <w:t>Niet in Wet BIG</w:t>
            </w:r>
          </w:p>
        </w:tc>
        <w:tc>
          <w:tcPr>
            <w:tcW w:w="850" w:type="dxa"/>
          </w:tcPr>
          <w:p w:rsidRPr="003F5FFD" w:rsidR="00C25C43" w:rsidP="00BB1E72" w:rsidRDefault="00223242">
            <w:pPr>
              <w:rPr>
                <w:szCs w:val="18"/>
              </w:rPr>
            </w:pPr>
            <w:r w:rsidRPr="003F5FFD">
              <w:rPr>
                <w:szCs w:val="18"/>
              </w:rPr>
              <w:t>Nee</w:t>
            </w:r>
          </w:p>
        </w:tc>
        <w:tc>
          <w:tcPr>
            <w:tcW w:w="851" w:type="dxa"/>
          </w:tcPr>
          <w:p w:rsidRPr="003F5FFD" w:rsidR="00C25C43" w:rsidP="00BB1E72" w:rsidRDefault="00223242">
            <w:pPr>
              <w:rPr>
                <w:szCs w:val="18"/>
              </w:rPr>
            </w:pPr>
            <w:r w:rsidRPr="003F5FFD">
              <w:rPr>
                <w:szCs w:val="18"/>
              </w:rPr>
              <w:t>Nee</w:t>
            </w:r>
          </w:p>
        </w:tc>
        <w:tc>
          <w:tcPr>
            <w:tcW w:w="709" w:type="dxa"/>
          </w:tcPr>
          <w:p w:rsidRPr="003F5FFD" w:rsidR="00C25C43" w:rsidP="00BB1E72" w:rsidRDefault="00223242">
            <w:pPr>
              <w:rPr>
                <w:szCs w:val="18"/>
              </w:rPr>
            </w:pPr>
            <w:r w:rsidRPr="003F5FFD">
              <w:rPr>
                <w:szCs w:val="18"/>
              </w:rPr>
              <w:t>Nee</w:t>
            </w:r>
          </w:p>
        </w:tc>
        <w:tc>
          <w:tcPr>
            <w:tcW w:w="992" w:type="dxa"/>
          </w:tcPr>
          <w:p w:rsidRPr="003F5FFD" w:rsidR="00C25C43" w:rsidP="00BB1E72" w:rsidRDefault="00223242">
            <w:pPr>
              <w:rPr>
                <w:szCs w:val="18"/>
              </w:rPr>
            </w:pPr>
            <w:r w:rsidRPr="003F5FFD">
              <w:rPr>
                <w:szCs w:val="18"/>
              </w:rPr>
              <w:t>Nee</w:t>
            </w:r>
          </w:p>
        </w:tc>
        <w:tc>
          <w:tcPr>
            <w:tcW w:w="992" w:type="dxa"/>
          </w:tcPr>
          <w:p w:rsidRPr="003F5FFD" w:rsidR="00C25C43" w:rsidP="00BB1E72" w:rsidRDefault="00223242">
            <w:pPr>
              <w:rPr>
                <w:szCs w:val="18"/>
              </w:rPr>
            </w:pPr>
            <w:r w:rsidRPr="003F5FFD">
              <w:rPr>
                <w:szCs w:val="18"/>
              </w:rPr>
              <w:t>Nee</w:t>
            </w:r>
          </w:p>
        </w:tc>
        <w:tc>
          <w:tcPr>
            <w:tcW w:w="1843" w:type="dxa"/>
          </w:tcPr>
          <w:p w:rsidRPr="003F5FFD" w:rsidR="00C25C43" w:rsidP="00BB1E72" w:rsidRDefault="00223242">
            <w:pPr>
              <w:rPr>
                <w:szCs w:val="18"/>
              </w:rPr>
            </w:pPr>
            <w:r w:rsidRPr="003F5FFD">
              <w:rPr>
                <w:szCs w:val="18"/>
              </w:rPr>
              <w:t>Nee</w:t>
            </w:r>
          </w:p>
        </w:tc>
        <w:tc>
          <w:tcPr>
            <w:tcW w:w="1559" w:type="dxa"/>
          </w:tcPr>
          <w:p w:rsidRPr="003F5FFD" w:rsidR="00C25C43" w:rsidP="00BB1E72" w:rsidRDefault="00223242">
            <w:pPr>
              <w:rPr>
                <w:szCs w:val="18"/>
              </w:rPr>
            </w:pPr>
            <w:r w:rsidRPr="003F5FFD">
              <w:rPr>
                <w:szCs w:val="18"/>
              </w:rPr>
              <w:t>Nee</w:t>
            </w:r>
          </w:p>
        </w:tc>
      </w:tr>
      <w:tr w:rsidR="0055243B" w:rsidTr="00BB1E72">
        <w:tc>
          <w:tcPr>
            <w:tcW w:w="1526" w:type="dxa"/>
          </w:tcPr>
          <w:p w:rsidRPr="003F5FFD" w:rsidR="00C25C43" w:rsidP="00BB1E72" w:rsidRDefault="00223242">
            <w:pPr>
              <w:rPr>
                <w:b/>
                <w:szCs w:val="18"/>
              </w:rPr>
            </w:pPr>
            <w:r w:rsidRPr="003F5FFD">
              <w:rPr>
                <w:b/>
                <w:szCs w:val="18"/>
              </w:rPr>
              <w:t xml:space="preserve">Lichte </w:t>
            </w:r>
            <w:r w:rsidRPr="003F5FFD">
              <w:rPr>
                <w:b/>
                <w:szCs w:val="18"/>
              </w:rPr>
              <w:t>regime (artikel 34)</w:t>
            </w:r>
          </w:p>
        </w:tc>
        <w:tc>
          <w:tcPr>
            <w:tcW w:w="850" w:type="dxa"/>
          </w:tcPr>
          <w:p w:rsidRPr="003F5FFD" w:rsidR="00C25C43" w:rsidP="00BB1E72" w:rsidRDefault="00223242">
            <w:pPr>
              <w:rPr>
                <w:szCs w:val="18"/>
              </w:rPr>
            </w:pPr>
            <w:r w:rsidRPr="003F5FFD">
              <w:rPr>
                <w:szCs w:val="18"/>
              </w:rPr>
              <w:t>Ja</w:t>
            </w:r>
          </w:p>
        </w:tc>
        <w:tc>
          <w:tcPr>
            <w:tcW w:w="851" w:type="dxa"/>
          </w:tcPr>
          <w:p w:rsidRPr="003F5FFD" w:rsidR="00C25C43" w:rsidP="00BB1E72" w:rsidRDefault="00223242">
            <w:pPr>
              <w:rPr>
                <w:szCs w:val="18"/>
              </w:rPr>
            </w:pPr>
            <w:r w:rsidRPr="003F5FFD">
              <w:rPr>
                <w:szCs w:val="18"/>
              </w:rPr>
              <w:t>Ja</w:t>
            </w:r>
          </w:p>
        </w:tc>
        <w:tc>
          <w:tcPr>
            <w:tcW w:w="709" w:type="dxa"/>
          </w:tcPr>
          <w:p w:rsidRPr="003F5FFD" w:rsidR="00C25C43" w:rsidP="00BB1E72" w:rsidRDefault="00223242">
            <w:pPr>
              <w:rPr>
                <w:szCs w:val="18"/>
              </w:rPr>
            </w:pPr>
            <w:r w:rsidRPr="003F5FFD">
              <w:rPr>
                <w:szCs w:val="18"/>
              </w:rPr>
              <w:t>Nee</w:t>
            </w:r>
          </w:p>
        </w:tc>
        <w:tc>
          <w:tcPr>
            <w:tcW w:w="992" w:type="dxa"/>
          </w:tcPr>
          <w:p w:rsidRPr="003F5FFD" w:rsidR="00C25C43" w:rsidP="00BB1E72" w:rsidRDefault="00223242">
            <w:pPr>
              <w:rPr>
                <w:szCs w:val="18"/>
              </w:rPr>
            </w:pPr>
            <w:r w:rsidRPr="003F5FFD">
              <w:rPr>
                <w:szCs w:val="18"/>
              </w:rPr>
              <w:t>Nee</w:t>
            </w:r>
          </w:p>
        </w:tc>
        <w:tc>
          <w:tcPr>
            <w:tcW w:w="992" w:type="dxa"/>
          </w:tcPr>
          <w:p w:rsidRPr="003F5FFD" w:rsidR="00C25C43" w:rsidP="00BB1E72" w:rsidRDefault="00223242">
            <w:pPr>
              <w:rPr>
                <w:szCs w:val="18"/>
              </w:rPr>
            </w:pPr>
            <w:r w:rsidRPr="003F5FFD">
              <w:rPr>
                <w:szCs w:val="18"/>
              </w:rPr>
              <w:t>Nee</w:t>
            </w:r>
          </w:p>
        </w:tc>
        <w:tc>
          <w:tcPr>
            <w:tcW w:w="1843" w:type="dxa"/>
          </w:tcPr>
          <w:p w:rsidRPr="003F5FFD" w:rsidR="00C25C43" w:rsidP="00BB1E72" w:rsidRDefault="00223242">
            <w:pPr>
              <w:rPr>
                <w:szCs w:val="18"/>
              </w:rPr>
            </w:pPr>
            <w:r w:rsidRPr="003F5FFD">
              <w:rPr>
                <w:szCs w:val="18"/>
              </w:rPr>
              <w:t>Nee</w:t>
            </w:r>
          </w:p>
        </w:tc>
        <w:tc>
          <w:tcPr>
            <w:tcW w:w="1559" w:type="dxa"/>
          </w:tcPr>
          <w:p w:rsidRPr="003F5FFD" w:rsidR="00C25C43" w:rsidP="00BB1E72" w:rsidRDefault="00223242">
            <w:pPr>
              <w:rPr>
                <w:szCs w:val="18"/>
              </w:rPr>
            </w:pPr>
            <w:r w:rsidRPr="003F5FFD">
              <w:rPr>
                <w:szCs w:val="18"/>
              </w:rPr>
              <w:t>Ja</w:t>
            </w:r>
          </w:p>
        </w:tc>
      </w:tr>
      <w:tr w:rsidR="0055243B" w:rsidTr="00BB1E72">
        <w:tc>
          <w:tcPr>
            <w:tcW w:w="1526" w:type="dxa"/>
          </w:tcPr>
          <w:p w:rsidRPr="003F5FFD" w:rsidR="00C25C43" w:rsidP="00BB1E72" w:rsidRDefault="00223242">
            <w:pPr>
              <w:rPr>
                <w:b/>
                <w:szCs w:val="18"/>
              </w:rPr>
            </w:pPr>
            <w:r w:rsidRPr="003F5FFD">
              <w:rPr>
                <w:b/>
                <w:szCs w:val="18"/>
              </w:rPr>
              <w:t xml:space="preserve">Zware regime </w:t>
            </w:r>
          </w:p>
          <w:p w:rsidRPr="003F5FFD" w:rsidR="00C25C43" w:rsidP="00BB1E72" w:rsidRDefault="00223242">
            <w:pPr>
              <w:rPr>
                <w:b/>
                <w:szCs w:val="18"/>
              </w:rPr>
            </w:pPr>
            <w:r w:rsidRPr="003F5FFD">
              <w:rPr>
                <w:b/>
                <w:szCs w:val="18"/>
              </w:rPr>
              <w:t>(artikel 3)</w:t>
            </w:r>
          </w:p>
        </w:tc>
        <w:tc>
          <w:tcPr>
            <w:tcW w:w="850" w:type="dxa"/>
          </w:tcPr>
          <w:p w:rsidRPr="003F5FFD" w:rsidR="00C25C43" w:rsidP="00BB1E72" w:rsidRDefault="00223242">
            <w:pPr>
              <w:rPr>
                <w:szCs w:val="18"/>
              </w:rPr>
            </w:pPr>
            <w:r w:rsidRPr="003F5FFD">
              <w:rPr>
                <w:szCs w:val="18"/>
              </w:rPr>
              <w:t>Ja</w:t>
            </w:r>
          </w:p>
        </w:tc>
        <w:tc>
          <w:tcPr>
            <w:tcW w:w="851" w:type="dxa"/>
          </w:tcPr>
          <w:p w:rsidRPr="003F5FFD" w:rsidR="00C25C43" w:rsidP="00BB1E72" w:rsidRDefault="00223242">
            <w:pPr>
              <w:rPr>
                <w:szCs w:val="18"/>
              </w:rPr>
            </w:pPr>
            <w:r w:rsidRPr="003F5FFD">
              <w:rPr>
                <w:szCs w:val="18"/>
              </w:rPr>
              <w:t>Ja</w:t>
            </w:r>
          </w:p>
        </w:tc>
        <w:tc>
          <w:tcPr>
            <w:tcW w:w="709" w:type="dxa"/>
          </w:tcPr>
          <w:p w:rsidRPr="003F5FFD" w:rsidR="00C25C43" w:rsidP="00BB1E72" w:rsidRDefault="00223242">
            <w:pPr>
              <w:rPr>
                <w:szCs w:val="18"/>
              </w:rPr>
            </w:pPr>
            <w:r w:rsidRPr="003F5FFD">
              <w:rPr>
                <w:szCs w:val="18"/>
              </w:rPr>
              <w:t>Ja</w:t>
            </w:r>
          </w:p>
        </w:tc>
        <w:tc>
          <w:tcPr>
            <w:tcW w:w="992" w:type="dxa"/>
          </w:tcPr>
          <w:p w:rsidRPr="003F5FFD" w:rsidR="00C25C43" w:rsidP="00BB1E72" w:rsidRDefault="00223242">
            <w:pPr>
              <w:rPr>
                <w:szCs w:val="18"/>
              </w:rPr>
            </w:pPr>
            <w:r w:rsidRPr="003F5FFD">
              <w:rPr>
                <w:szCs w:val="18"/>
              </w:rPr>
              <w:t>Ja</w:t>
            </w:r>
          </w:p>
        </w:tc>
        <w:tc>
          <w:tcPr>
            <w:tcW w:w="992" w:type="dxa"/>
          </w:tcPr>
          <w:p w:rsidRPr="003F5FFD" w:rsidR="00C25C43" w:rsidP="00BB1E72" w:rsidRDefault="00223242">
            <w:pPr>
              <w:rPr>
                <w:szCs w:val="18"/>
              </w:rPr>
            </w:pPr>
            <w:r w:rsidRPr="003F5FFD">
              <w:rPr>
                <w:szCs w:val="18"/>
              </w:rPr>
              <w:t>Ja</w:t>
            </w:r>
          </w:p>
        </w:tc>
        <w:tc>
          <w:tcPr>
            <w:tcW w:w="1843" w:type="dxa"/>
          </w:tcPr>
          <w:p w:rsidRPr="003F5FFD" w:rsidR="00C25C43" w:rsidP="00BB1E72" w:rsidRDefault="00223242">
            <w:pPr>
              <w:rPr>
                <w:szCs w:val="18"/>
              </w:rPr>
            </w:pPr>
            <w:r w:rsidRPr="003F5FFD">
              <w:rPr>
                <w:szCs w:val="18"/>
              </w:rPr>
              <w:t>Ja</w:t>
            </w:r>
          </w:p>
        </w:tc>
        <w:tc>
          <w:tcPr>
            <w:tcW w:w="1559" w:type="dxa"/>
          </w:tcPr>
          <w:p w:rsidRPr="003F5FFD" w:rsidR="00C25C43" w:rsidP="00BB1E72" w:rsidRDefault="00223242">
            <w:pPr>
              <w:rPr>
                <w:szCs w:val="18"/>
              </w:rPr>
            </w:pPr>
            <w:r w:rsidRPr="003F5FFD">
              <w:rPr>
                <w:szCs w:val="18"/>
              </w:rPr>
              <w:t>Ja</w:t>
            </w:r>
          </w:p>
        </w:tc>
      </w:tr>
    </w:tbl>
    <w:p w:rsidR="004F22E6" w:rsidP="00685ABF" w:rsidRDefault="00223242">
      <w:pPr>
        <w:pStyle w:val="Kop2"/>
        <w:numPr>
          <w:ilvl w:val="0"/>
          <w:numId w:val="0"/>
        </w:numPr>
        <w:ind w:left="576" w:hanging="576"/>
        <w:rPr>
          <w:szCs w:val="18"/>
        </w:rPr>
      </w:pPr>
    </w:p>
    <w:p w:rsidRPr="003F5FFD" w:rsidR="00685ABF" w:rsidP="00685ABF" w:rsidRDefault="00223242">
      <w:pPr>
        <w:pStyle w:val="Kop2"/>
        <w:numPr>
          <w:ilvl w:val="0"/>
          <w:numId w:val="0"/>
        </w:numPr>
        <w:ind w:left="576" w:hanging="576"/>
        <w:rPr>
          <w:szCs w:val="18"/>
        </w:rPr>
      </w:pPr>
      <w:r>
        <w:rPr>
          <w:szCs w:val="18"/>
        </w:rPr>
        <w:t>Beroepenregulering: s</w:t>
      </w:r>
      <w:r w:rsidRPr="003F5FFD">
        <w:rPr>
          <w:szCs w:val="18"/>
        </w:rPr>
        <w:t>pecialismen</w:t>
      </w:r>
    </w:p>
    <w:p w:rsidRPr="003F5FFD" w:rsidR="00685ABF" w:rsidP="0062398F" w:rsidRDefault="00223242">
      <w:pPr>
        <w:spacing w:line="240" w:lineRule="auto"/>
        <w:rPr>
          <w:szCs w:val="18"/>
        </w:rPr>
      </w:pPr>
    </w:p>
    <w:p w:rsidRPr="003F5FFD" w:rsidR="0062398F" w:rsidP="0062398F" w:rsidRDefault="00223242">
      <w:pPr>
        <w:spacing w:line="240" w:lineRule="auto"/>
        <w:rPr>
          <w:szCs w:val="18"/>
        </w:rPr>
      </w:pPr>
      <w:r w:rsidRPr="003F5FFD">
        <w:rPr>
          <w:szCs w:val="18"/>
        </w:rPr>
        <w:t xml:space="preserve">Op grond van artikel 14 van de Wet BIG kan de minister ten aanzien van beroepen in het zware regime specialismen erkennen. </w:t>
      </w:r>
      <w:r w:rsidRPr="003F5FFD">
        <w:rPr>
          <w:szCs w:val="18"/>
        </w:rPr>
        <w:t>Bijvoorbeeld longarts als specialis</w:t>
      </w:r>
      <w:r>
        <w:rPr>
          <w:szCs w:val="18"/>
        </w:rPr>
        <w:t>me</w:t>
      </w:r>
      <w:r w:rsidRPr="003F5FFD">
        <w:rPr>
          <w:szCs w:val="18"/>
        </w:rPr>
        <w:t xml:space="preserve"> van het basisberoep arts en verpleegkundig specialist acute zorg als specialis</w:t>
      </w:r>
      <w:r>
        <w:rPr>
          <w:szCs w:val="18"/>
        </w:rPr>
        <w:t>me</w:t>
      </w:r>
      <w:r w:rsidRPr="003F5FFD">
        <w:rPr>
          <w:szCs w:val="18"/>
        </w:rPr>
        <w:t xml:space="preserve"> van het basisberoep verpleegkundige. Specialismen worden erkend op voordracht van de betreffende beroepsorganisatie. Zo kan de </w:t>
      </w:r>
      <w:r w:rsidRPr="001D14CD">
        <w:rPr>
          <w:szCs w:val="18"/>
        </w:rPr>
        <w:t>KNMG bijvo</w:t>
      </w:r>
      <w:r w:rsidRPr="001D14CD">
        <w:rPr>
          <w:szCs w:val="18"/>
        </w:rPr>
        <w:t xml:space="preserve">orbeeld specialismen voordragen </w:t>
      </w:r>
      <w:r w:rsidRPr="001D14CD">
        <w:rPr>
          <w:szCs w:val="18"/>
        </w:rPr>
        <w:t xml:space="preserve">voor </w:t>
      </w:r>
      <w:r w:rsidRPr="001D14CD">
        <w:rPr>
          <w:szCs w:val="18"/>
        </w:rPr>
        <w:t xml:space="preserve">het beroep arts. De minister beoordeelt vervolgens of een titel als wettelijk erkende specialistentitel aangemerkt wordt. Hierbij wordt het specialisme allereerst getoetst aan de formele eisen uit artikel 14 van de Wet </w:t>
      </w:r>
      <w:r w:rsidRPr="001D14CD">
        <w:rPr>
          <w:szCs w:val="18"/>
        </w:rPr>
        <w:t xml:space="preserve">BIG. Zo moet de organisaties die het specialisme voordraagt voldoende representatief zijn voor het betreffende beroep. </w:t>
      </w:r>
      <w:r w:rsidRPr="001D14CD">
        <w:rPr>
          <w:szCs w:val="18"/>
        </w:rPr>
        <w:t>Vervolgens wordt onder meer beoordeeld</w:t>
      </w:r>
      <w:r>
        <w:rPr>
          <w:szCs w:val="18"/>
        </w:rPr>
        <w:t xml:space="preserve"> door de Minister</w:t>
      </w:r>
      <w:r w:rsidRPr="001D14CD">
        <w:rPr>
          <w:szCs w:val="18"/>
        </w:rPr>
        <w:t xml:space="preserve"> </w:t>
      </w:r>
      <w:r w:rsidRPr="001D14CD">
        <w:rPr>
          <w:szCs w:val="18"/>
        </w:rPr>
        <w:t xml:space="preserve">of aanwijzing van het specialisme wenselijk is voor een goede uitoefening van de </w:t>
      </w:r>
      <w:r w:rsidRPr="001D14CD">
        <w:rPr>
          <w:szCs w:val="18"/>
        </w:rPr>
        <w:t xml:space="preserve">individuele gezondheidszorg. Dit betekent </w:t>
      </w:r>
      <w:r w:rsidRPr="001D14CD">
        <w:rPr>
          <w:szCs w:val="18"/>
        </w:rPr>
        <w:t>bijvoorbeeld</w:t>
      </w:r>
      <w:r w:rsidRPr="001D14CD">
        <w:rPr>
          <w:szCs w:val="18"/>
        </w:rPr>
        <w:t xml:space="preserve"> dat het specialisme voldoende uitgekristalliseerd moet zijn, het specialisme zich moet onderscheiden van het basisberoep en andere wettelijk erkende specialismen en toegevoegde waarde moet hebben ten o</w:t>
      </w:r>
      <w:r w:rsidRPr="001D14CD">
        <w:rPr>
          <w:szCs w:val="18"/>
        </w:rPr>
        <w:t>pzichte hiervan.</w:t>
      </w:r>
      <w:r w:rsidRPr="003F5FFD">
        <w:rPr>
          <w:szCs w:val="18"/>
        </w:rPr>
        <w:t xml:space="preserve"> </w:t>
      </w:r>
    </w:p>
    <w:p w:rsidRPr="003F5FFD" w:rsidR="0062398F" w:rsidP="0062398F" w:rsidRDefault="00223242">
      <w:pPr>
        <w:pStyle w:val="Kop3"/>
        <w:numPr>
          <w:ilvl w:val="0"/>
          <w:numId w:val="0"/>
        </w:numPr>
        <w:ind w:left="720" w:hanging="720"/>
        <w:rPr>
          <w:szCs w:val="18"/>
        </w:rPr>
      </w:pPr>
      <w:r>
        <w:rPr>
          <w:szCs w:val="18"/>
        </w:rPr>
        <w:lastRenderedPageBreak/>
        <w:t xml:space="preserve">Beroepenregulering: </w:t>
      </w:r>
      <w:r w:rsidRPr="003F5FFD">
        <w:rPr>
          <w:szCs w:val="18"/>
        </w:rPr>
        <w:t>voorbehouden handelingen</w:t>
      </w:r>
    </w:p>
    <w:p w:rsidRPr="003F5FFD" w:rsidR="0062398F" w:rsidP="0062398F" w:rsidRDefault="00223242">
      <w:pPr>
        <w:rPr>
          <w:szCs w:val="18"/>
        </w:rPr>
      </w:pPr>
    </w:p>
    <w:p w:rsidRPr="003F5FFD" w:rsidR="0062398F" w:rsidP="0062398F" w:rsidRDefault="00223242">
      <w:pPr>
        <w:spacing w:line="240" w:lineRule="auto"/>
        <w:rPr>
          <w:szCs w:val="18"/>
        </w:rPr>
      </w:pPr>
      <w:r w:rsidRPr="003F5FFD">
        <w:rPr>
          <w:szCs w:val="18"/>
        </w:rPr>
        <w:t xml:space="preserve">De Wet BIG kent een regeling </w:t>
      </w:r>
      <w:r>
        <w:rPr>
          <w:szCs w:val="18"/>
        </w:rPr>
        <w:t xml:space="preserve">voor </w:t>
      </w:r>
      <w:r w:rsidRPr="003F5FFD">
        <w:rPr>
          <w:szCs w:val="18"/>
        </w:rPr>
        <w:t>voorbehouden handelingen. Dit zijn op dit moment 14 handelingen</w:t>
      </w:r>
      <w:r>
        <w:rPr>
          <w:rStyle w:val="Voetnootmarkering"/>
          <w:szCs w:val="18"/>
        </w:rPr>
        <w:footnoteReference w:id="3"/>
      </w:r>
      <w:r w:rsidRPr="003F5FFD">
        <w:rPr>
          <w:szCs w:val="18"/>
        </w:rPr>
        <w:t xml:space="preserve"> die dusdanig risicovol zijn, dat </w:t>
      </w:r>
      <w:r>
        <w:rPr>
          <w:szCs w:val="18"/>
        </w:rPr>
        <w:t xml:space="preserve">onbevoegden </w:t>
      </w:r>
      <w:r w:rsidRPr="003F5FFD">
        <w:rPr>
          <w:szCs w:val="18"/>
        </w:rPr>
        <w:t xml:space="preserve">ze </w:t>
      </w:r>
      <w:r>
        <w:rPr>
          <w:szCs w:val="18"/>
        </w:rPr>
        <w:t>niet</w:t>
      </w:r>
      <w:r w:rsidRPr="003F5FFD">
        <w:rPr>
          <w:szCs w:val="18"/>
        </w:rPr>
        <w:t xml:space="preserve"> zelfstandig </w:t>
      </w:r>
      <w:r>
        <w:rPr>
          <w:szCs w:val="18"/>
        </w:rPr>
        <w:t xml:space="preserve">mogen </w:t>
      </w:r>
      <w:r w:rsidRPr="003F5FFD">
        <w:rPr>
          <w:szCs w:val="18"/>
        </w:rPr>
        <w:t>verricht</w:t>
      </w:r>
      <w:r>
        <w:rPr>
          <w:szCs w:val="18"/>
        </w:rPr>
        <w:t>en</w:t>
      </w:r>
      <w:r w:rsidRPr="003F5FFD">
        <w:rPr>
          <w:szCs w:val="18"/>
        </w:rPr>
        <w:t>. In de wet worden beroepsgroepen aangewezen die zelfstandig bevoegd zijn voor deze handelingen. Beroepsgroepen die niet als zelfstandig bevoegd zijn aangewezen, mogen de handelingen alleen in opdracht uitvoeren. Hierbij moet voldaan worden aan bepaalde vo</w:t>
      </w:r>
      <w:r w:rsidRPr="003F5FFD">
        <w:rPr>
          <w:szCs w:val="18"/>
        </w:rPr>
        <w:t xml:space="preserve">orwaarden. Zo moet de mogelijkheid tot toezicht en </w:t>
      </w:r>
      <w:r w:rsidRPr="00153D87">
        <w:rPr>
          <w:szCs w:val="18"/>
        </w:rPr>
        <w:t xml:space="preserve">tussenkomst door de opdrachtgever geborgd zijn. De Wet BIG regelt voor enkele beroepsgroepen functionele zelfstandigheid. Deze beroepsgroepen </w:t>
      </w:r>
      <w:r w:rsidRPr="00153D87">
        <w:rPr>
          <w:szCs w:val="18"/>
        </w:rPr>
        <w:t xml:space="preserve">mogen </w:t>
      </w:r>
      <w:r w:rsidRPr="00153D87">
        <w:rPr>
          <w:szCs w:val="18"/>
        </w:rPr>
        <w:t xml:space="preserve">geen </w:t>
      </w:r>
      <w:r w:rsidRPr="00153D87">
        <w:rPr>
          <w:szCs w:val="18"/>
        </w:rPr>
        <w:t>opdracht geven voor het verrichten van een</w:t>
      </w:r>
      <w:r w:rsidRPr="00153D87">
        <w:rPr>
          <w:szCs w:val="18"/>
        </w:rPr>
        <w:t xml:space="preserve"> </w:t>
      </w:r>
      <w:r w:rsidRPr="00153D87">
        <w:rPr>
          <w:szCs w:val="18"/>
        </w:rPr>
        <w:t>voorbehou</w:t>
      </w:r>
      <w:r w:rsidRPr="00153D87">
        <w:rPr>
          <w:szCs w:val="18"/>
        </w:rPr>
        <w:t xml:space="preserve">den handelingen, maar </w:t>
      </w:r>
      <w:r w:rsidRPr="00153D87">
        <w:rPr>
          <w:szCs w:val="18"/>
        </w:rPr>
        <w:t>mogen</w:t>
      </w:r>
      <w:r w:rsidRPr="00153D87">
        <w:rPr>
          <w:szCs w:val="18"/>
        </w:rPr>
        <w:t xml:space="preserve"> deze wel zonder toezicht en tussenkomst van een andere beroepsbeoefenaar uit</w:t>
      </w:r>
      <w:r w:rsidRPr="00153D87">
        <w:rPr>
          <w:szCs w:val="18"/>
        </w:rPr>
        <w:t>voeren</w:t>
      </w:r>
      <w:r w:rsidRPr="00153D87">
        <w:rPr>
          <w:szCs w:val="18"/>
        </w:rPr>
        <w:t>.</w:t>
      </w:r>
      <w:r w:rsidRPr="00153D87">
        <w:rPr>
          <w:szCs w:val="18"/>
        </w:rPr>
        <w:t xml:space="preserve"> In dat geval moet een zelfstandig bevoegde beroepsbeoefenaar de opdracht geven.</w:t>
      </w:r>
      <w:r w:rsidRPr="00153D87">
        <w:rPr>
          <w:szCs w:val="18"/>
        </w:rPr>
        <w:t xml:space="preserve"> In alle gevallen geldt dat degene die de handeling uitvoert bekw</w:t>
      </w:r>
      <w:r w:rsidRPr="00153D87">
        <w:rPr>
          <w:szCs w:val="18"/>
        </w:rPr>
        <w:t>aam moet zijn voor deze handeling. De regeling voorbehouden handelingen wordt in tabel 3 nader toegelicht.</w:t>
      </w:r>
      <w:r w:rsidRPr="003F5FFD">
        <w:rPr>
          <w:szCs w:val="18"/>
        </w:rPr>
        <w:t xml:space="preserve"> </w:t>
      </w:r>
    </w:p>
    <w:tbl>
      <w:tblPr>
        <w:tblStyle w:val="Tabelraster"/>
        <w:tblpPr w:leftFromText="141" w:rightFromText="141" w:vertAnchor="text" w:horzAnchor="margin" w:tblpY="289"/>
        <w:tblW w:w="9322" w:type="dxa"/>
        <w:tblLayout w:type="fixed"/>
        <w:tblLook w:val="04A0"/>
      </w:tblPr>
      <w:tblGrid>
        <w:gridCol w:w="1842"/>
        <w:gridCol w:w="2377"/>
        <w:gridCol w:w="1701"/>
        <w:gridCol w:w="3402"/>
      </w:tblGrid>
      <w:tr w:rsidR="0055243B" w:rsidTr="004F47BB">
        <w:tc>
          <w:tcPr>
            <w:tcW w:w="1842" w:type="dxa"/>
          </w:tcPr>
          <w:p w:rsidRPr="003F5FFD" w:rsidR="004F47BB" w:rsidP="004F47BB" w:rsidRDefault="00223242">
            <w:pPr>
              <w:rPr>
                <w:szCs w:val="18"/>
              </w:rPr>
            </w:pPr>
          </w:p>
        </w:tc>
        <w:tc>
          <w:tcPr>
            <w:tcW w:w="2377" w:type="dxa"/>
          </w:tcPr>
          <w:p w:rsidRPr="003F5FFD" w:rsidR="004F47BB" w:rsidP="004F47BB" w:rsidRDefault="00223242">
            <w:pPr>
              <w:rPr>
                <w:b/>
                <w:szCs w:val="18"/>
              </w:rPr>
            </w:pPr>
            <w:r w:rsidRPr="003F5FFD">
              <w:rPr>
                <w:b/>
                <w:szCs w:val="18"/>
              </w:rPr>
              <w:t>Opdracht geven?</w:t>
            </w:r>
          </w:p>
        </w:tc>
        <w:tc>
          <w:tcPr>
            <w:tcW w:w="1701" w:type="dxa"/>
          </w:tcPr>
          <w:p w:rsidRPr="003F5FFD" w:rsidR="004F47BB" w:rsidP="004F47BB" w:rsidRDefault="00223242">
            <w:pPr>
              <w:rPr>
                <w:b/>
                <w:szCs w:val="18"/>
              </w:rPr>
            </w:pPr>
            <w:r w:rsidRPr="003F5FFD">
              <w:rPr>
                <w:b/>
                <w:szCs w:val="18"/>
              </w:rPr>
              <w:t>Zelfstandig uitvoeren?</w:t>
            </w:r>
          </w:p>
        </w:tc>
        <w:tc>
          <w:tcPr>
            <w:tcW w:w="3402" w:type="dxa"/>
          </w:tcPr>
          <w:p w:rsidRPr="003F5FFD" w:rsidR="004F47BB" w:rsidP="004F47BB" w:rsidRDefault="00223242">
            <w:pPr>
              <w:rPr>
                <w:b/>
                <w:szCs w:val="18"/>
              </w:rPr>
            </w:pPr>
            <w:r w:rsidRPr="003F5FFD">
              <w:rPr>
                <w:b/>
                <w:szCs w:val="18"/>
              </w:rPr>
              <w:t>Wie?</w:t>
            </w:r>
          </w:p>
        </w:tc>
      </w:tr>
      <w:tr w:rsidR="0055243B" w:rsidTr="004F47BB">
        <w:tc>
          <w:tcPr>
            <w:tcW w:w="1842" w:type="dxa"/>
          </w:tcPr>
          <w:p w:rsidRPr="003F5FFD" w:rsidR="004F47BB" w:rsidP="004F47BB" w:rsidRDefault="00223242">
            <w:pPr>
              <w:rPr>
                <w:b/>
                <w:szCs w:val="18"/>
              </w:rPr>
            </w:pPr>
            <w:r w:rsidRPr="003F5FFD">
              <w:rPr>
                <w:b/>
                <w:szCs w:val="18"/>
              </w:rPr>
              <w:t>Zelfstandige bevoegdheid</w:t>
            </w:r>
          </w:p>
        </w:tc>
        <w:tc>
          <w:tcPr>
            <w:tcW w:w="2377" w:type="dxa"/>
          </w:tcPr>
          <w:p w:rsidRPr="003F5FFD" w:rsidR="004F47BB" w:rsidP="004F47BB" w:rsidRDefault="00223242">
            <w:pPr>
              <w:rPr>
                <w:szCs w:val="18"/>
              </w:rPr>
            </w:pPr>
            <w:r w:rsidRPr="003F5FFD">
              <w:rPr>
                <w:szCs w:val="18"/>
              </w:rPr>
              <w:t>Ja</w:t>
            </w:r>
          </w:p>
        </w:tc>
        <w:tc>
          <w:tcPr>
            <w:tcW w:w="1701" w:type="dxa"/>
          </w:tcPr>
          <w:p w:rsidRPr="003F5FFD" w:rsidR="004F47BB" w:rsidP="004F47BB" w:rsidRDefault="00223242">
            <w:pPr>
              <w:rPr>
                <w:szCs w:val="18"/>
              </w:rPr>
            </w:pPr>
            <w:r w:rsidRPr="003F5FFD">
              <w:rPr>
                <w:szCs w:val="18"/>
              </w:rPr>
              <w:t>Ja</w:t>
            </w:r>
          </w:p>
        </w:tc>
        <w:tc>
          <w:tcPr>
            <w:tcW w:w="3402" w:type="dxa"/>
          </w:tcPr>
          <w:p w:rsidRPr="003F5FFD" w:rsidR="004F47BB" w:rsidP="004F47BB" w:rsidRDefault="00223242">
            <w:pPr>
              <w:rPr>
                <w:szCs w:val="18"/>
              </w:rPr>
            </w:pPr>
            <w:r w:rsidRPr="003F5FFD">
              <w:rPr>
                <w:szCs w:val="18"/>
              </w:rPr>
              <w:t xml:space="preserve">Artsen, tandartsen, verloskundigen, verpleegkundig specialisten </w:t>
            </w:r>
            <w:r w:rsidRPr="003F5FFD">
              <w:rPr>
                <w:szCs w:val="18"/>
              </w:rPr>
              <w:t>physician assistants en klinisch technologen</w:t>
            </w:r>
            <w:r>
              <w:rPr>
                <w:szCs w:val="18"/>
              </w:rPr>
              <w:t>; allen voor zover bekwaam</w:t>
            </w:r>
          </w:p>
        </w:tc>
      </w:tr>
      <w:tr w:rsidR="0055243B" w:rsidTr="004F47BB">
        <w:tc>
          <w:tcPr>
            <w:tcW w:w="1842" w:type="dxa"/>
          </w:tcPr>
          <w:p w:rsidRPr="003F5FFD" w:rsidR="004F47BB" w:rsidP="004F47BB" w:rsidRDefault="00223242">
            <w:pPr>
              <w:rPr>
                <w:b/>
                <w:szCs w:val="18"/>
              </w:rPr>
            </w:pPr>
            <w:r w:rsidRPr="003F5FFD">
              <w:rPr>
                <w:b/>
                <w:szCs w:val="18"/>
              </w:rPr>
              <w:t>Functionele zelfstandigheid</w:t>
            </w:r>
          </w:p>
        </w:tc>
        <w:tc>
          <w:tcPr>
            <w:tcW w:w="2377" w:type="dxa"/>
          </w:tcPr>
          <w:p w:rsidRPr="003F5FFD" w:rsidR="004F47BB" w:rsidP="004F47BB" w:rsidRDefault="00223242">
            <w:pPr>
              <w:rPr>
                <w:szCs w:val="18"/>
              </w:rPr>
            </w:pPr>
            <w:r w:rsidRPr="003F5FFD">
              <w:rPr>
                <w:szCs w:val="18"/>
              </w:rPr>
              <w:t>Nee</w:t>
            </w:r>
          </w:p>
        </w:tc>
        <w:tc>
          <w:tcPr>
            <w:tcW w:w="1701" w:type="dxa"/>
          </w:tcPr>
          <w:p w:rsidRPr="003F5FFD" w:rsidR="004F47BB" w:rsidP="004F47BB" w:rsidRDefault="00223242">
            <w:pPr>
              <w:rPr>
                <w:szCs w:val="18"/>
              </w:rPr>
            </w:pPr>
            <w:r w:rsidRPr="003F5FFD">
              <w:rPr>
                <w:szCs w:val="18"/>
              </w:rPr>
              <w:t xml:space="preserve">Ja, in opdracht </w:t>
            </w:r>
            <w:r>
              <w:rPr>
                <w:szCs w:val="18"/>
              </w:rPr>
              <w:t xml:space="preserve">van </w:t>
            </w:r>
            <w:r w:rsidRPr="003F5FFD">
              <w:rPr>
                <w:szCs w:val="18"/>
              </w:rPr>
              <w:t>zelfstandig bevoegde</w:t>
            </w:r>
          </w:p>
        </w:tc>
        <w:tc>
          <w:tcPr>
            <w:tcW w:w="3402" w:type="dxa"/>
          </w:tcPr>
          <w:p w:rsidRPr="003F5FFD" w:rsidR="004F47BB" w:rsidP="004F47BB" w:rsidRDefault="00223242">
            <w:pPr>
              <w:rPr>
                <w:szCs w:val="18"/>
              </w:rPr>
            </w:pPr>
            <w:r w:rsidRPr="003F5FFD">
              <w:rPr>
                <w:szCs w:val="18"/>
              </w:rPr>
              <w:t>Verpleegkundigen, ambulanceverpleegkundigen en mondhygiënisten</w:t>
            </w:r>
            <w:r>
              <w:rPr>
                <w:szCs w:val="18"/>
              </w:rPr>
              <w:t>; allen</w:t>
            </w:r>
            <w:r w:rsidRPr="003F5FFD">
              <w:rPr>
                <w:szCs w:val="18"/>
              </w:rPr>
              <w:t xml:space="preserve"> </w:t>
            </w:r>
            <w:r>
              <w:rPr>
                <w:szCs w:val="18"/>
              </w:rPr>
              <w:t>voor zover bekwaam</w:t>
            </w:r>
          </w:p>
        </w:tc>
      </w:tr>
      <w:tr w:rsidR="0055243B" w:rsidTr="004F47BB">
        <w:tc>
          <w:tcPr>
            <w:tcW w:w="1842" w:type="dxa"/>
          </w:tcPr>
          <w:p w:rsidRPr="003F5FFD" w:rsidR="004F47BB" w:rsidP="004F47BB" w:rsidRDefault="00223242">
            <w:pPr>
              <w:rPr>
                <w:b/>
                <w:szCs w:val="18"/>
              </w:rPr>
            </w:pPr>
            <w:r w:rsidRPr="003F5FFD">
              <w:rPr>
                <w:b/>
                <w:szCs w:val="18"/>
              </w:rPr>
              <w:t>‘In opdracht’</w:t>
            </w:r>
          </w:p>
        </w:tc>
        <w:tc>
          <w:tcPr>
            <w:tcW w:w="2377" w:type="dxa"/>
          </w:tcPr>
          <w:p w:rsidRPr="003F5FFD" w:rsidR="004F47BB" w:rsidP="004F47BB" w:rsidRDefault="00223242">
            <w:pPr>
              <w:rPr>
                <w:szCs w:val="18"/>
              </w:rPr>
            </w:pPr>
            <w:r w:rsidRPr="003F5FFD">
              <w:rPr>
                <w:szCs w:val="18"/>
              </w:rPr>
              <w:t>Nee</w:t>
            </w:r>
          </w:p>
        </w:tc>
        <w:tc>
          <w:tcPr>
            <w:tcW w:w="1701" w:type="dxa"/>
          </w:tcPr>
          <w:p w:rsidRPr="003F5FFD" w:rsidR="004F47BB" w:rsidP="004F47BB" w:rsidRDefault="00223242">
            <w:pPr>
              <w:rPr>
                <w:szCs w:val="18"/>
              </w:rPr>
            </w:pPr>
            <w:r w:rsidRPr="003F5FFD">
              <w:rPr>
                <w:szCs w:val="18"/>
              </w:rPr>
              <w:t>Nee</w:t>
            </w:r>
            <w:r w:rsidRPr="003F5FFD">
              <w:rPr>
                <w:szCs w:val="18"/>
              </w:rPr>
              <w:t xml:space="preserve">, </w:t>
            </w:r>
            <w:r>
              <w:rPr>
                <w:szCs w:val="18"/>
              </w:rPr>
              <w:t xml:space="preserve">er </w:t>
            </w:r>
            <w:r w:rsidRPr="003F5FFD">
              <w:rPr>
                <w:szCs w:val="18"/>
              </w:rPr>
              <w:t>moet toezicht en tussenkomst zijn</w:t>
            </w:r>
          </w:p>
        </w:tc>
        <w:tc>
          <w:tcPr>
            <w:tcW w:w="3402" w:type="dxa"/>
          </w:tcPr>
          <w:p w:rsidRPr="003F5FFD" w:rsidR="004F47BB" w:rsidP="004F47BB" w:rsidRDefault="00223242">
            <w:pPr>
              <w:rPr>
                <w:szCs w:val="18"/>
              </w:rPr>
            </w:pPr>
            <w:r w:rsidRPr="003F5FFD">
              <w:rPr>
                <w:szCs w:val="18"/>
              </w:rPr>
              <w:t>Iedereen die bekwaam is</w:t>
            </w:r>
          </w:p>
        </w:tc>
      </w:tr>
    </w:tbl>
    <w:p w:rsidR="004F47BB" w:rsidP="00685ABF" w:rsidRDefault="00223242">
      <w:pPr>
        <w:spacing w:line="240" w:lineRule="auto"/>
        <w:rPr>
          <w:szCs w:val="18"/>
        </w:rPr>
      </w:pPr>
    </w:p>
    <w:p w:rsidRPr="003F5FFD" w:rsidR="004F47BB" w:rsidP="004F47BB" w:rsidRDefault="00223242">
      <w:pPr>
        <w:spacing w:line="240" w:lineRule="auto"/>
        <w:rPr>
          <w:i/>
          <w:szCs w:val="18"/>
        </w:rPr>
      </w:pPr>
      <w:r w:rsidRPr="003F5FFD">
        <w:rPr>
          <w:i/>
          <w:szCs w:val="18"/>
        </w:rPr>
        <w:t xml:space="preserve">Tabel 3. Regeling voorbehouden handelingen </w:t>
      </w:r>
    </w:p>
    <w:p w:rsidR="004F47BB" w:rsidP="00685ABF" w:rsidRDefault="00223242">
      <w:pPr>
        <w:spacing w:line="240" w:lineRule="auto"/>
        <w:rPr>
          <w:szCs w:val="18"/>
        </w:rPr>
      </w:pPr>
    </w:p>
    <w:p w:rsidRPr="003F5FFD" w:rsidR="0062398F" w:rsidP="0062398F" w:rsidRDefault="00223242">
      <w:pPr>
        <w:spacing w:line="240" w:lineRule="auto"/>
        <w:rPr>
          <w:i/>
          <w:szCs w:val="18"/>
        </w:rPr>
      </w:pPr>
    </w:p>
    <w:p w:rsidR="004F47BB" w:rsidP="0062398F" w:rsidRDefault="00223242">
      <w:pPr>
        <w:spacing w:line="240" w:lineRule="auto"/>
        <w:rPr>
          <w:b/>
          <w:szCs w:val="18"/>
        </w:rPr>
      </w:pPr>
      <w:r w:rsidRPr="003F5FFD">
        <w:rPr>
          <w:b/>
          <w:szCs w:val="18"/>
        </w:rPr>
        <w:t xml:space="preserve">Tuchtrecht </w:t>
      </w:r>
      <w:r>
        <w:rPr>
          <w:b/>
          <w:szCs w:val="18"/>
        </w:rPr>
        <w:t>en strafrecht</w:t>
      </w:r>
    </w:p>
    <w:p w:rsidR="004F47BB" w:rsidP="0062398F" w:rsidRDefault="00223242">
      <w:pPr>
        <w:spacing w:line="240" w:lineRule="auto"/>
        <w:rPr>
          <w:b/>
          <w:szCs w:val="18"/>
        </w:rPr>
      </w:pPr>
    </w:p>
    <w:p w:rsidR="0062398F" w:rsidP="0062398F" w:rsidRDefault="00223242">
      <w:pPr>
        <w:spacing w:line="240" w:lineRule="auto"/>
        <w:rPr>
          <w:szCs w:val="18"/>
        </w:rPr>
      </w:pPr>
      <w:r w:rsidRPr="003F5FFD">
        <w:rPr>
          <w:szCs w:val="18"/>
        </w:rPr>
        <w:t xml:space="preserve">Het tuchtrecht in de Wet BIG biedt de mogelijkheid om gedragingen van beroepsbeoefenaren te toetsen aan specifieke </w:t>
      </w:r>
      <w:r w:rsidRPr="003F5FFD">
        <w:rPr>
          <w:szCs w:val="18"/>
        </w:rPr>
        <w:t>beroepsnormen. Tuchtcolleges bestaan uit juristen, meestal afkomstig uit de rechterlijke macht, en</w:t>
      </w:r>
      <w:r>
        <w:rPr>
          <w:szCs w:val="18"/>
        </w:rPr>
        <w:t xml:space="preserve"> leden beroepsgenoten. Er zijn vijf</w:t>
      </w:r>
      <w:r w:rsidRPr="003F5FFD">
        <w:rPr>
          <w:szCs w:val="18"/>
        </w:rPr>
        <w:t xml:space="preserve"> regionale tuchtcolleges en een Centraal Tuchtcollege als beroepsinstantie. Doordat beroepsgenoten over beroepsgenoten oord</w:t>
      </w:r>
      <w:r w:rsidRPr="003F5FFD">
        <w:rPr>
          <w:szCs w:val="18"/>
        </w:rPr>
        <w:t>elen draagt het tuchtrecht bij aan normontwikkeling binnen de beroepsgroepen (</w:t>
      </w:r>
      <w:r>
        <w:rPr>
          <w:szCs w:val="18"/>
        </w:rPr>
        <w:t>lerende functie</w:t>
      </w:r>
      <w:r w:rsidRPr="003F5FFD">
        <w:rPr>
          <w:szCs w:val="18"/>
        </w:rPr>
        <w:t xml:space="preserve">). Een tuchtmaatregel is geen strafmaatregel maar beoogt primair </w:t>
      </w:r>
      <w:r w:rsidRPr="003F5FFD">
        <w:rPr>
          <w:iCs/>
          <w:szCs w:val="18"/>
        </w:rPr>
        <w:t>correctie</w:t>
      </w:r>
      <w:r w:rsidRPr="003F5FFD">
        <w:rPr>
          <w:i/>
          <w:iCs/>
          <w:szCs w:val="18"/>
        </w:rPr>
        <w:t xml:space="preserve"> </w:t>
      </w:r>
      <w:r w:rsidRPr="003F5FFD">
        <w:rPr>
          <w:szCs w:val="18"/>
        </w:rPr>
        <w:t>van professioneel gedrag om herhaling van gemaakte fouten te voorkomen. Dat is in het bi</w:t>
      </w:r>
      <w:r w:rsidRPr="003F5FFD">
        <w:rPr>
          <w:szCs w:val="18"/>
        </w:rPr>
        <w:t>jzonder ook in het belang van de burger die zo wordt beschermd tegen ondeskundig en onzorgvuldig medisch handelen.</w:t>
      </w:r>
      <w:r>
        <w:rPr>
          <w:szCs w:val="18"/>
        </w:rPr>
        <w:t xml:space="preserve"> </w:t>
      </w:r>
      <w:r w:rsidRPr="003F5FFD">
        <w:rPr>
          <w:szCs w:val="18"/>
        </w:rPr>
        <w:t>Naast de tuchtcollege is er een College van Medisch Toezicht dat bevoegd is om te beoordelen of een beroepsbeoefenaar ongeschikt is om het be</w:t>
      </w:r>
      <w:r w:rsidRPr="003F5FFD">
        <w:rPr>
          <w:szCs w:val="18"/>
        </w:rPr>
        <w:t>roep uit te oefenen wegens zijn geestelijke of lichamelijke gesteldheid of wegens zijn gewoonte van drank-, drugs- of medicijnmisbruik.</w:t>
      </w:r>
    </w:p>
    <w:p w:rsidRPr="004F47BB" w:rsidR="004F47BB" w:rsidP="004F47BB" w:rsidRDefault="00223242">
      <w:pPr>
        <w:spacing w:line="240" w:lineRule="auto"/>
        <w:rPr>
          <w:b/>
          <w:szCs w:val="18"/>
        </w:rPr>
      </w:pPr>
    </w:p>
    <w:p w:rsidRPr="003F5FFD" w:rsidR="00A17C6E" w:rsidP="00922B40" w:rsidRDefault="00223242">
      <w:pPr>
        <w:widowControl/>
        <w:suppressAutoHyphens w:val="0"/>
        <w:autoSpaceDE w:val="0"/>
        <w:adjustRightInd w:val="0"/>
        <w:spacing w:line="240" w:lineRule="auto"/>
        <w:textAlignment w:val="auto"/>
        <w:rPr>
          <w:szCs w:val="18"/>
        </w:rPr>
      </w:pPr>
      <w:r w:rsidRPr="00C910EC">
        <w:rPr>
          <w:szCs w:val="18"/>
        </w:rPr>
        <w:t>De Wet BIG bevat ook een aantal specifieke strafbepalingen voor individuele gezondheidszorg verricht door BIG-geregistr</w:t>
      </w:r>
      <w:r w:rsidRPr="00C910EC">
        <w:rPr>
          <w:szCs w:val="18"/>
        </w:rPr>
        <w:t>eerden en niet BIG-geregistreerden. Het doel van die bepalingen is om de</w:t>
      </w:r>
      <w:r w:rsidRPr="00C910EC">
        <w:rPr>
          <w:szCs w:val="18"/>
        </w:rPr>
        <w:t xml:space="preserve"> </w:t>
      </w:r>
      <w:r w:rsidRPr="00C910EC">
        <w:rPr>
          <w:szCs w:val="18"/>
        </w:rPr>
        <w:t>zorgverlener die schade of een aanmerkelijke kans daarop doet ontstaan, strafrechtelijk te kunnen vervolgen. De inzet van het strafrecht staat los van de toepassing van het tuchtrecht</w:t>
      </w:r>
      <w:r w:rsidRPr="00C910EC">
        <w:rPr>
          <w:szCs w:val="18"/>
        </w:rPr>
        <w:t>. Het strafrecht ziet op bescherming van de maatschappij.</w:t>
      </w:r>
    </w:p>
    <w:sectPr w:rsidRPr="003F5FFD" w:rsidR="00A17C6E" w:rsidSect="00A17C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243B" w:rsidRDefault="0055243B" w:rsidP="0055243B">
      <w:pPr>
        <w:spacing w:line="240" w:lineRule="auto"/>
      </w:pPr>
      <w:r>
        <w:separator/>
      </w:r>
    </w:p>
  </w:endnote>
  <w:endnote w:type="continuationSeparator" w:id="0">
    <w:p w:rsidR="0055243B" w:rsidRDefault="0055243B" w:rsidP="005524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heSansOffice">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7BB" w:rsidRDefault="00223242">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19696"/>
      <w:docPartObj>
        <w:docPartGallery w:val="Page Numbers (Bottom of Page)"/>
        <w:docPartUnique/>
      </w:docPartObj>
    </w:sdtPr>
    <w:sdtContent>
      <w:p w:rsidR="004F47BB" w:rsidRDefault="0055243B">
        <w:pPr>
          <w:pStyle w:val="Voettekst"/>
          <w:jc w:val="right"/>
        </w:pPr>
        <w:r>
          <w:fldChar w:fldCharType="begin"/>
        </w:r>
        <w:r w:rsidR="00223242">
          <w:instrText xml:space="preserve"> PAGE   \* MERGEFORMAT </w:instrText>
        </w:r>
        <w:r>
          <w:fldChar w:fldCharType="separate"/>
        </w:r>
        <w:r w:rsidR="00223242">
          <w:rPr>
            <w:noProof/>
          </w:rPr>
          <w:t>1</w:t>
        </w:r>
        <w:r>
          <w:rPr>
            <w:noProof/>
          </w:rPr>
          <w:fldChar w:fldCharType="end"/>
        </w:r>
      </w:p>
    </w:sdtContent>
  </w:sdt>
  <w:p w:rsidR="004F47BB" w:rsidRDefault="00223242">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7BB" w:rsidRDefault="00223242">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ABF" w:rsidRDefault="00223242" w:rsidP="0062398F">
      <w:pPr>
        <w:spacing w:line="240" w:lineRule="auto"/>
      </w:pPr>
      <w:r>
        <w:separator/>
      </w:r>
    </w:p>
  </w:footnote>
  <w:footnote w:type="continuationSeparator" w:id="0">
    <w:p w:rsidR="00685ABF" w:rsidRDefault="00223242" w:rsidP="0062398F">
      <w:pPr>
        <w:spacing w:line="240" w:lineRule="auto"/>
      </w:pPr>
      <w:r>
        <w:continuationSeparator/>
      </w:r>
    </w:p>
  </w:footnote>
  <w:footnote w:id="1">
    <w:p w:rsidR="00D7068E" w:rsidRPr="00151FEC" w:rsidRDefault="00223242" w:rsidP="00D7068E">
      <w:pPr>
        <w:pStyle w:val="Voetnoottekst"/>
        <w:rPr>
          <w:rFonts w:ascii="Verdana" w:hAnsi="Verdana"/>
          <w:sz w:val="16"/>
          <w:szCs w:val="16"/>
        </w:rPr>
      </w:pPr>
      <w:r w:rsidRPr="00151FEC">
        <w:rPr>
          <w:rStyle w:val="Voetnootmarkering"/>
          <w:rFonts w:ascii="Verdana" w:hAnsi="Verdana"/>
          <w:sz w:val="16"/>
          <w:szCs w:val="16"/>
        </w:rPr>
        <w:footnoteRef/>
      </w:r>
      <w:r w:rsidRPr="00151FEC">
        <w:rPr>
          <w:rFonts w:ascii="Verdana" w:hAnsi="Verdana"/>
          <w:sz w:val="16"/>
          <w:szCs w:val="16"/>
        </w:rPr>
        <w:t xml:space="preserve"> Apothekers-assistent, diëtist, ergotherapeut, logopedist, mondhygiënist, oefentherapeut, </w:t>
      </w:r>
      <w:r w:rsidRPr="00151FEC">
        <w:rPr>
          <w:rFonts w:ascii="Verdana" w:hAnsi="Verdana"/>
          <w:sz w:val="16"/>
          <w:szCs w:val="16"/>
        </w:rPr>
        <w:t>orthoptist, huidtherapeut, podotherapeut, radiotherapeutisch laborant, radiodiagnostisch laborant, tandprotheticus, optometrist, klinisch fysicus en verzorgende (individuele gezondheidszorg).</w:t>
      </w:r>
    </w:p>
  </w:footnote>
  <w:footnote w:id="2">
    <w:p w:rsidR="00685ABF" w:rsidRPr="00151FEC" w:rsidRDefault="00223242" w:rsidP="0062398F">
      <w:pPr>
        <w:pStyle w:val="Voetnoottekst"/>
        <w:rPr>
          <w:rFonts w:ascii="Verdana" w:hAnsi="Verdana"/>
          <w:sz w:val="16"/>
          <w:szCs w:val="16"/>
        </w:rPr>
      </w:pPr>
      <w:r w:rsidRPr="00151FEC">
        <w:rPr>
          <w:rStyle w:val="Voetnootmarkering"/>
          <w:rFonts w:ascii="Verdana" w:hAnsi="Verdana"/>
          <w:sz w:val="16"/>
          <w:szCs w:val="16"/>
        </w:rPr>
        <w:footnoteRef/>
      </w:r>
      <w:r w:rsidRPr="00151FEC">
        <w:rPr>
          <w:rFonts w:ascii="Verdana" w:hAnsi="Verdana"/>
          <w:sz w:val="16"/>
          <w:szCs w:val="16"/>
        </w:rPr>
        <w:t xml:space="preserve"> Arts, tandarts, verloskundige, apotheker, verpleegkundige, fys</w:t>
      </w:r>
      <w:r w:rsidRPr="00151FEC">
        <w:rPr>
          <w:rFonts w:ascii="Verdana" w:hAnsi="Verdana"/>
          <w:sz w:val="16"/>
          <w:szCs w:val="16"/>
        </w:rPr>
        <w:t>iotherapeut, gezondheidszorgpsycholoog en psychotherapeut.</w:t>
      </w:r>
    </w:p>
  </w:footnote>
  <w:footnote w:id="3">
    <w:p w:rsidR="00685ABF" w:rsidRPr="00151FEC" w:rsidRDefault="00223242" w:rsidP="0062398F">
      <w:pPr>
        <w:pStyle w:val="Voetnoottekst"/>
        <w:rPr>
          <w:rFonts w:ascii="Verdana" w:hAnsi="Verdana"/>
          <w:sz w:val="16"/>
          <w:szCs w:val="16"/>
        </w:rPr>
      </w:pPr>
      <w:r w:rsidRPr="00151FEC">
        <w:rPr>
          <w:rStyle w:val="Voetnootmarkering"/>
          <w:rFonts w:ascii="Verdana" w:hAnsi="Verdana"/>
          <w:sz w:val="16"/>
          <w:szCs w:val="16"/>
        </w:rPr>
        <w:footnoteRef/>
      </w:r>
      <w:r w:rsidRPr="00151FEC">
        <w:rPr>
          <w:rFonts w:ascii="Verdana" w:hAnsi="Verdana"/>
          <w:sz w:val="16"/>
          <w:szCs w:val="16"/>
        </w:rPr>
        <w:t xml:space="preserve"> Voorbehouden handelingen: heelkundige handelingen, verloskundige handelingen, verrichten van endoscopieën, verrichten van catheterisaties, geven van injecties, verrichten van puncties, brengen on</w:t>
      </w:r>
      <w:r w:rsidRPr="00151FEC">
        <w:rPr>
          <w:rFonts w:ascii="Verdana" w:hAnsi="Verdana"/>
          <w:sz w:val="16"/>
          <w:szCs w:val="16"/>
        </w:rPr>
        <w:t>der narcose, verrichten van handelingen met gebruikmaking van radioactieve stoffen of toestellen die ioniserende stralen uitzenden, verrichten van electieve cardioversie, toepassen van defibrillatie, toepassen van electroconvulsieve therapie, steenvergruiz</w:t>
      </w:r>
      <w:r w:rsidRPr="00151FEC">
        <w:rPr>
          <w:rFonts w:ascii="Verdana" w:hAnsi="Verdana"/>
          <w:sz w:val="16"/>
          <w:szCs w:val="16"/>
        </w:rPr>
        <w:t>ing voor geneeskundige doeleinden, handelingen ten aanzien van menselijke geslachtscellen en embryo's en voorschrijven van UR-geneesmiddelen.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7BB" w:rsidRDefault="00223242">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7BB" w:rsidRDefault="00223242">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7BB" w:rsidRDefault="00223242">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753D"/>
    <w:multiLevelType w:val="hybridMultilevel"/>
    <w:tmpl w:val="F51A8D70"/>
    <w:lvl w:ilvl="0" w:tplc="D2DA9034">
      <w:start w:val="1"/>
      <w:numFmt w:val="bullet"/>
      <w:lvlText w:val=""/>
      <w:lvlJc w:val="left"/>
      <w:pPr>
        <w:ind w:left="1440" w:hanging="360"/>
      </w:pPr>
      <w:rPr>
        <w:rFonts w:ascii="Symbol" w:hAnsi="Symbol" w:hint="default"/>
      </w:rPr>
    </w:lvl>
    <w:lvl w:ilvl="1" w:tplc="8352824C" w:tentative="1">
      <w:start w:val="1"/>
      <w:numFmt w:val="bullet"/>
      <w:lvlText w:val="o"/>
      <w:lvlJc w:val="left"/>
      <w:pPr>
        <w:ind w:left="2160" w:hanging="360"/>
      </w:pPr>
      <w:rPr>
        <w:rFonts w:ascii="Courier New" w:hAnsi="Courier New" w:cs="Courier New" w:hint="default"/>
      </w:rPr>
    </w:lvl>
    <w:lvl w:ilvl="2" w:tplc="3A1CC334" w:tentative="1">
      <w:start w:val="1"/>
      <w:numFmt w:val="bullet"/>
      <w:lvlText w:val=""/>
      <w:lvlJc w:val="left"/>
      <w:pPr>
        <w:ind w:left="2880" w:hanging="360"/>
      </w:pPr>
      <w:rPr>
        <w:rFonts w:ascii="Wingdings" w:hAnsi="Wingdings" w:hint="default"/>
      </w:rPr>
    </w:lvl>
    <w:lvl w:ilvl="3" w:tplc="2C80A736" w:tentative="1">
      <w:start w:val="1"/>
      <w:numFmt w:val="bullet"/>
      <w:lvlText w:val=""/>
      <w:lvlJc w:val="left"/>
      <w:pPr>
        <w:ind w:left="3600" w:hanging="360"/>
      </w:pPr>
      <w:rPr>
        <w:rFonts w:ascii="Symbol" w:hAnsi="Symbol" w:hint="default"/>
      </w:rPr>
    </w:lvl>
    <w:lvl w:ilvl="4" w:tplc="66A8A84A" w:tentative="1">
      <w:start w:val="1"/>
      <w:numFmt w:val="bullet"/>
      <w:lvlText w:val="o"/>
      <w:lvlJc w:val="left"/>
      <w:pPr>
        <w:ind w:left="4320" w:hanging="360"/>
      </w:pPr>
      <w:rPr>
        <w:rFonts w:ascii="Courier New" w:hAnsi="Courier New" w:cs="Courier New" w:hint="default"/>
      </w:rPr>
    </w:lvl>
    <w:lvl w:ilvl="5" w:tplc="C19ADB74" w:tentative="1">
      <w:start w:val="1"/>
      <w:numFmt w:val="bullet"/>
      <w:lvlText w:val=""/>
      <w:lvlJc w:val="left"/>
      <w:pPr>
        <w:ind w:left="5040" w:hanging="360"/>
      </w:pPr>
      <w:rPr>
        <w:rFonts w:ascii="Wingdings" w:hAnsi="Wingdings" w:hint="default"/>
      </w:rPr>
    </w:lvl>
    <w:lvl w:ilvl="6" w:tplc="98E06726" w:tentative="1">
      <w:start w:val="1"/>
      <w:numFmt w:val="bullet"/>
      <w:lvlText w:val=""/>
      <w:lvlJc w:val="left"/>
      <w:pPr>
        <w:ind w:left="5760" w:hanging="360"/>
      </w:pPr>
      <w:rPr>
        <w:rFonts w:ascii="Symbol" w:hAnsi="Symbol" w:hint="default"/>
      </w:rPr>
    </w:lvl>
    <w:lvl w:ilvl="7" w:tplc="73D2CEBA" w:tentative="1">
      <w:start w:val="1"/>
      <w:numFmt w:val="bullet"/>
      <w:lvlText w:val="o"/>
      <w:lvlJc w:val="left"/>
      <w:pPr>
        <w:ind w:left="6480" w:hanging="360"/>
      </w:pPr>
      <w:rPr>
        <w:rFonts w:ascii="Courier New" w:hAnsi="Courier New" w:cs="Courier New" w:hint="default"/>
      </w:rPr>
    </w:lvl>
    <w:lvl w:ilvl="8" w:tplc="2DA43F40" w:tentative="1">
      <w:start w:val="1"/>
      <w:numFmt w:val="bullet"/>
      <w:lvlText w:val=""/>
      <w:lvlJc w:val="left"/>
      <w:pPr>
        <w:ind w:left="7200" w:hanging="360"/>
      </w:pPr>
      <w:rPr>
        <w:rFonts w:ascii="Wingdings" w:hAnsi="Wingdings" w:hint="default"/>
      </w:rPr>
    </w:lvl>
  </w:abstractNum>
  <w:abstractNum w:abstractNumId="1">
    <w:nsid w:val="3A7C6BC6"/>
    <w:multiLevelType w:val="multilevel"/>
    <w:tmpl w:val="3A9CE9D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2">
    <w:nsid w:val="6E7376F0"/>
    <w:multiLevelType w:val="hybridMultilevel"/>
    <w:tmpl w:val="297A9C4C"/>
    <w:lvl w:ilvl="0" w:tplc="7C58AD44">
      <w:start w:val="1"/>
      <w:numFmt w:val="bullet"/>
      <w:lvlText w:val=""/>
      <w:lvlJc w:val="left"/>
      <w:pPr>
        <w:ind w:left="720" w:hanging="360"/>
      </w:pPr>
      <w:rPr>
        <w:rFonts w:ascii="Symbol" w:hAnsi="Symbol" w:hint="default"/>
      </w:rPr>
    </w:lvl>
    <w:lvl w:ilvl="1" w:tplc="879CF888" w:tentative="1">
      <w:start w:val="1"/>
      <w:numFmt w:val="bullet"/>
      <w:lvlText w:val="o"/>
      <w:lvlJc w:val="left"/>
      <w:pPr>
        <w:ind w:left="1440" w:hanging="360"/>
      </w:pPr>
      <w:rPr>
        <w:rFonts w:ascii="Courier New" w:hAnsi="Courier New" w:cs="Courier New" w:hint="default"/>
      </w:rPr>
    </w:lvl>
    <w:lvl w:ilvl="2" w:tplc="2F1A46AE" w:tentative="1">
      <w:start w:val="1"/>
      <w:numFmt w:val="bullet"/>
      <w:lvlText w:val=""/>
      <w:lvlJc w:val="left"/>
      <w:pPr>
        <w:ind w:left="2160" w:hanging="360"/>
      </w:pPr>
      <w:rPr>
        <w:rFonts w:ascii="Wingdings" w:hAnsi="Wingdings" w:hint="default"/>
      </w:rPr>
    </w:lvl>
    <w:lvl w:ilvl="3" w:tplc="DCDA4D52" w:tentative="1">
      <w:start w:val="1"/>
      <w:numFmt w:val="bullet"/>
      <w:lvlText w:val=""/>
      <w:lvlJc w:val="left"/>
      <w:pPr>
        <w:ind w:left="2880" w:hanging="360"/>
      </w:pPr>
      <w:rPr>
        <w:rFonts w:ascii="Symbol" w:hAnsi="Symbol" w:hint="default"/>
      </w:rPr>
    </w:lvl>
    <w:lvl w:ilvl="4" w:tplc="9B70A9E6" w:tentative="1">
      <w:start w:val="1"/>
      <w:numFmt w:val="bullet"/>
      <w:lvlText w:val="o"/>
      <w:lvlJc w:val="left"/>
      <w:pPr>
        <w:ind w:left="3600" w:hanging="360"/>
      </w:pPr>
      <w:rPr>
        <w:rFonts w:ascii="Courier New" w:hAnsi="Courier New" w:cs="Courier New" w:hint="default"/>
      </w:rPr>
    </w:lvl>
    <w:lvl w:ilvl="5" w:tplc="5ABA0B52" w:tentative="1">
      <w:start w:val="1"/>
      <w:numFmt w:val="bullet"/>
      <w:lvlText w:val=""/>
      <w:lvlJc w:val="left"/>
      <w:pPr>
        <w:ind w:left="4320" w:hanging="360"/>
      </w:pPr>
      <w:rPr>
        <w:rFonts w:ascii="Wingdings" w:hAnsi="Wingdings" w:hint="default"/>
      </w:rPr>
    </w:lvl>
    <w:lvl w:ilvl="6" w:tplc="94B2E844" w:tentative="1">
      <w:start w:val="1"/>
      <w:numFmt w:val="bullet"/>
      <w:lvlText w:val=""/>
      <w:lvlJc w:val="left"/>
      <w:pPr>
        <w:ind w:left="5040" w:hanging="360"/>
      </w:pPr>
      <w:rPr>
        <w:rFonts w:ascii="Symbol" w:hAnsi="Symbol" w:hint="default"/>
      </w:rPr>
    </w:lvl>
    <w:lvl w:ilvl="7" w:tplc="05FC06A2" w:tentative="1">
      <w:start w:val="1"/>
      <w:numFmt w:val="bullet"/>
      <w:lvlText w:val="o"/>
      <w:lvlJc w:val="left"/>
      <w:pPr>
        <w:ind w:left="5760" w:hanging="360"/>
      </w:pPr>
      <w:rPr>
        <w:rFonts w:ascii="Courier New" w:hAnsi="Courier New" w:cs="Courier New" w:hint="default"/>
      </w:rPr>
    </w:lvl>
    <w:lvl w:ilvl="8" w:tplc="EE9C7814"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oNotTrackMoves/>
  <w:defaultTabStop w:val="708"/>
  <w:hyphenationZone w:val="425"/>
  <w:characterSpacingControl w:val="doNotCompress"/>
  <w:footnotePr>
    <w:footnote w:id="-1"/>
    <w:footnote w:id="0"/>
  </w:footnotePr>
  <w:endnotePr>
    <w:endnote w:id="-1"/>
    <w:endnote w:id="0"/>
  </w:endnotePr>
  <w:compat/>
  <w:rsids>
    <w:rsidRoot w:val="0055243B"/>
    <w:rsid w:val="00223242"/>
    <w:rsid w:val="0055243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2398F"/>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paragraph" w:styleId="Kop1">
    <w:name w:val="heading 1"/>
    <w:basedOn w:val="Standaard"/>
    <w:next w:val="Standaard"/>
    <w:link w:val="Kop1Char"/>
    <w:uiPriority w:val="9"/>
    <w:qFormat/>
    <w:rsid w:val="0062398F"/>
    <w:pPr>
      <w:keepNext/>
      <w:keepLines/>
      <w:numPr>
        <w:numId w:val="3"/>
      </w:numPr>
      <w:spacing w:before="480"/>
      <w:outlineLvl w:val="0"/>
    </w:pPr>
    <w:rPr>
      <w:rFonts w:eastAsiaTheme="majorEastAsia" w:cs="Mangal"/>
      <w:b/>
      <w:bCs/>
      <w:szCs w:val="25"/>
    </w:rPr>
  </w:style>
  <w:style w:type="paragraph" w:styleId="Kop2">
    <w:name w:val="heading 2"/>
    <w:basedOn w:val="Standaard"/>
    <w:next w:val="Standaard"/>
    <w:link w:val="Kop2Char"/>
    <w:uiPriority w:val="9"/>
    <w:unhideWhenUsed/>
    <w:qFormat/>
    <w:rsid w:val="0062398F"/>
    <w:pPr>
      <w:keepNext/>
      <w:keepLines/>
      <w:numPr>
        <w:ilvl w:val="1"/>
        <w:numId w:val="3"/>
      </w:numPr>
      <w:spacing w:before="200"/>
      <w:outlineLvl w:val="1"/>
    </w:pPr>
    <w:rPr>
      <w:rFonts w:eastAsiaTheme="majorEastAsia" w:cs="Mangal"/>
      <w:b/>
      <w:bCs/>
      <w:szCs w:val="23"/>
    </w:rPr>
  </w:style>
  <w:style w:type="paragraph" w:styleId="Kop3">
    <w:name w:val="heading 3"/>
    <w:basedOn w:val="Standaard"/>
    <w:next w:val="Standaard"/>
    <w:link w:val="Kop3Char"/>
    <w:uiPriority w:val="9"/>
    <w:unhideWhenUsed/>
    <w:qFormat/>
    <w:rsid w:val="0062398F"/>
    <w:pPr>
      <w:keepNext/>
      <w:keepLines/>
      <w:numPr>
        <w:ilvl w:val="2"/>
        <w:numId w:val="3"/>
      </w:numPr>
      <w:spacing w:before="200"/>
      <w:outlineLvl w:val="2"/>
    </w:pPr>
    <w:rPr>
      <w:rFonts w:eastAsiaTheme="majorEastAsia" w:cs="Mangal"/>
      <w:b/>
      <w:bCs/>
    </w:rPr>
  </w:style>
  <w:style w:type="paragraph" w:styleId="Kop4">
    <w:name w:val="heading 4"/>
    <w:basedOn w:val="Standaard"/>
    <w:next w:val="Standaard"/>
    <w:link w:val="Kop4Char"/>
    <w:uiPriority w:val="9"/>
    <w:semiHidden/>
    <w:unhideWhenUsed/>
    <w:qFormat/>
    <w:rsid w:val="0062398F"/>
    <w:pPr>
      <w:keepNext/>
      <w:keepLines/>
      <w:numPr>
        <w:ilvl w:val="3"/>
        <w:numId w:val="3"/>
      </w:numPr>
      <w:spacing w:before="200"/>
      <w:outlineLvl w:val="3"/>
    </w:pPr>
    <w:rPr>
      <w:rFonts w:asciiTheme="majorHAnsi" w:eastAsiaTheme="majorEastAsia" w:hAnsiTheme="majorHAnsi" w:cs="Mangal"/>
      <w:b/>
      <w:bCs/>
      <w:i/>
      <w:iCs/>
      <w:color w:val="4F81BD" w:themeColor="accent1"/>
    </w:rPr>
  </w:style>
  <w:style w:type="paragraph" w:styleId="Kop5">
    <w:name w:val="heading 5"/>
    <w:basedOn w:val="Standaard"/>
    <w:next w:val="Standaard"/>
    <w:link w:val="Kop5Char"/>
    <w:uiPriority w:val="9"/>
    <w:semiHidden/>
    <w:unhideWhenUsed/>
    <w:qFormat/>
    <w:rsid w:val="0062398F"/>
    <w:pPr>
      <w:keepNext/>
      <w:keepLines/>
      <w:numPr>
        <w:ilvl w:val="4"/>
        <w:numId w:val="3"/>
      </w:numPr>
      <w:spacing w:before="200"/>
      <w:outlineLvl w:val="4"/>
    </w:pPr>
    <w:rPr>
      <w:rFonts w:asciiTheme="majorHAnsi" w:eastAsiaTheme="majorEastAsia" w:hAnsiTheme="majorHAnsi" w:cs="Mangal"/>
      <w:color w:val="243F60" w:themeColor="accent1" w:themeShade="7F"/>
    </w:rPr>
  </w:style>
  <w:style w:type="paragraph" w:styleId="Kop6">
    <w:name w:val="heading 6"/>
    <w:basedOn w:val="Standaard"/>
    <w:next w:val="Standaard"/>
    <w:link w:val="Kop6Char"/>
    <w:uiPriority w:val="9"/>
    <w:semiHidden/>
    <w:unhideWhenUsed/>
    <w:qFormat/>
    <w:rsid w:val="0062398F"/>
    <w:pPr>
      <w:keepNext/>
      <w:keepLines/>
      <w:numPr>
        <w:ilvl w:val="5"/>
        <w:numId w:val="3"/>
      </w:numPr>
      <w:spacing w:before="200"/>
      <w:outlineLvl w:val="5"/>
    </w:pPr>
    <w:rPr>
      <w:rFonts w:asciiTheme="majorHAnsi" w:eastAsiaTheme="majorEastAsia" w:hAnsiTheme="majorHAnsi" w:cs="Mangal"/>
      <w:i/>
      <w:iCs/>
      <w:color w:val="243F60" w:themeColor="accent1" w:themeShade="7F"/>
    </w:rPr>
  </w:style>
  <w:style w:type="paragraph" w:styleId="Kop7">
    <w:name w:val="heading 7"/>
    <w:basedOn w:val="Standaard"/>
    <w:next w:val="Standaard"/>
    <w:link w:val="Kop7Char"/>
    <w:uiPriority w:val="9"/>
    <w:semiHidden/>
    <w:unhideWhenUsed/>
    <w:qFormat/>
    <w:rsid w:val="0062398F"/>
    <w:pPr>
      <w:keepNext/>
      <w:keepLines/>
      <w:numPr>
        <w:ilvl w:val="6"/>
        <w:numId w:val="3"/>
      </w:numPr>
      <w:spacing w:before="200"/>
      <w:outlineLvl w:val="6"/>
    </w:pPr>
    <w:rPr>
      <w:rFonts w:asciiTheme="majorHAnsi" w:eastAsiaTheme="majorEastAsia" w:hAnsiTheme="majorHAnsi" w:cs="Mangal"/>
      <w:i/>
      <w:iCs/>
      <w:color w:val="404040" w:themeColor="text1" w:themeTint="BF"/>
    </w:rPr>
  </w:style>
  <w:style w:type="paragraph" w:styleId="Kop8">
    <w:name w:val="heading 8"/>
    <w:basedOn w:val="Standaard"/>
    <w:next w:val="Standaard"/>
    <w:link w:val="Kop8Char"/>
    <w:uiPriority w:val="9"/>
    <w:semiHidden/>
    <w:unhideWhenUsed/>
    <w:qFormat/>
    <w:rsid w:val="0062398F"/>
    <w:pPr>
      <w:keepNext/>
      <w:keepLines/>
      <w:numPr>
        <w:ilvl w:val="7"/>
        <w:numId w:val="3"/>
      </w:numPr>
      <w:spacing w:before="200"/>
      <w:outlineLvl w:val="7"/>
    </w:pPr>
    <w:rPr>
      <w:rFonts w:asciiTheme="majorHAnsi" w:eastAsiaTheme="majorEastAsia" w:hAnsiTheme="majorHAnsi" w:cs="Mangal"/>
      <w:color w:val="404040" w:themeColor="text1" w:themeTint="BF"/>
      <w:sz w:val="20"/>
      <w:szCs w:val="18"/>
    </w:rPr>
  </w:style>
  <w:style w:type="paragraph" w:styleId="Kop9">
    <w:name w:val="heading 9"/>
    <w:basedOn w:val="Standaard"/>
    <w:next w:val="Standaard"/>
    <w:link w:val="Kop9Char"/>
    <w:uiPriority w:val="9"/>
    <w:semiHidden/>
    <w:unhideWhenUsed/>
    <w:qFormat/>
    <w:rsid w:val="0062398F"/>
    <w:pPr>
      <w:keepNext/>
      <w:keepLines/>
      <w:numPr>
        <w:ilvl w:val="8"/>
        <w:numId w:val="3"/>
      </w:numPr>
      <w:spacing w:before="200"/>
      <w:outlineLvl w:val="8"/>
    </w:pPr>
    <w:rPr>
      <w:rFonts w:asciiTheme="majorHAnsi" w:eastAsiaTheme="majorEastAsia" w:hAnsiTheme="majorHAnsi" w:cs="Mangal"/>
      <w:i/>
      <w:iCs/>
      <w:color w:val="404040" w:themeColor="text1" w:themeTint="BF"/>
      <w:sz w:val="2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398F"/>
    <w:rPr>
      <w:rFonts w:ascii="Verdana" w:eastAsiaTheme="majorEastAsia" w:hAnsi="Verdana" w:cs="Mangal"/>
      <w:b/>
      <w:bCs/>
      <w:kern w:val="3"/>
      <w:sz w:val="18"/>
      <w:szCs w:val="25"/>
      <w:lang w:eastAsia="zh-CN" w:bidi="hi-IN"/>
    </w:rPr>
  </w:style>
  <w:style w:type="character" w:customStyle="1" w:styleId="Kop2Char">
    <w:name w:val="Kop 2 Char"/>
    <w:basedOn w:val="Standaardalinea-lettertype"/>
    <w:link w:val="Kop2"/>
    <w:uiPriority w:val="9"/>
    <w:rsid w:val="0062398F"/>
    <w:rPr>
      <w:rFonts w:ascii="Verdana" w:eastAsiaTheme="majorEastAsia" w:hAnsi="Verdana" w:cs="Mangal"/>
      <w:b/>
      <w:bCs/>
      <w:kern w:val="3"/>
      <w:sz w:val="18"/>
      <w:szCs w:val="23"/>
      <w:lang w:eastAsia="zh-CN" w:bidi="hi-IN"/>
    </w:rPr>
  </w:style>
  <w:style w:type="character" w:customStyle="1" w:styleId="Kop3Char">
    <w:name w:val="Kop 3 Char"/>
    <w:basedOn w:val="Standaardalinea-lettertype"/>
    <w:link w:val="Kop3"/>
    <w:uiPriority w:val="9"/>
    <w:rsid w:val="0062398F"/>
    <w:rPr>
      <w:rFonts w:ascii="Verdana" w:eastAsiaTheme="majorEastAsia" w:hAnsi="Verdana" w:cs="Mangal"/>
      <w:b/>
      <w:bCs/>
      <w:kern w:val="3"/>
      <w:sz w:val="18"/>
      <w:szCs w:val="24"/>
      <w:lang w:eastAsia="zh-CN" w:bidi="hi-IN"/>
    </w:rPr>
  </w:style>
  <w:style w:type="character" w:customStyle="1" w:styleId="Kop4Char">
    <w:name w:val="Kop 4 Char"/>
    <w:basedOn w:val="Standaardalinea-lettertype"/>
    <w:link w:val="Kop4"/>
    <w:uiPriority w:val="9"/>
    <w:semiHidden/>
    <w:rsid w:val="0062398F"/>
    <w:rPr>
      <w:rFonts w:asciiTheme="majorHAnsi" w:eastAsiaTheme="majorEastAsia" w:hAnsiTheme="majorHAnsi" w:cs="Mangal"/>
      <w:b/>
      <w:bCs/>
      <w:i/>
      <w:iCs/>
      <w:color w:val="4F81BD" w:themeColor="accent1"/>
      <w:kern w:val="3"/>
      <w:sz w:val="18"/>
      <w:szCs w:val="24"/>
      <w:lang w:eastAsia="zh-CN" w:bidi="hi-IN"/>
    </w:rPr>
  </w:style>
  <w:style w:type="character" w:customStyle="1" w:styleId="Kop5Char">
    <w:name w:val="Kop 5 Char"/>
    <w:basedOn w:val="Standaardalinea-lettertype"/>
    <w:link w:val="Kop5"/>
    <w:uiPriority w:val="9"/>
    <w:semiHidden/>
    <w:rsid w:val="0062398F"/>
    <w:rPr>
      <w:rFonts w:asciiTheme="majorHAnsi" w:eastAsiaTheme="majorEastAsia" w:hAnsiTheme="majorHAnsi" w:cs="Mangal"/>
      <w:color w:val="243F60" w:themeColor="accent1" w:themeShade="7F"/>
      <w:kern w:val="3"/>
      <w:sz w:val="18"/>
      <w:szCs w:val="24"/>
      <w:lang w:eastAsia="zh-CN" w:bidi="hi-IN"/>
    </w:rPr>
  </w:style>
  <w:style w:type="character" w:customStyle="1" w:styleId="Kop6Char">
    <w:name w:val="Kop 6 Char"/>
    <w:basedOn w:val="Standaardalinea-lettertype"/>
    <w:link w:val="Kop6"/>
    <w:uiPriority w:val="9"/>
    <w:semiHidden/>
    <w:rsid w:val="0062398F"/>
    <w:rPr>
      <w:rFonts w:asciiTheme="majorHAnsi" w:eastAsiaTheme="majorEastAsia" w:hAnsiTheme="majorHAnsi" w:cs="Mangal"/>
      <w:i/>
      <w:iCs/>
      <w:color w:val="243F60" w:themeColor="accent1" w:themeShade="7F"/>
      <w:kern w:val="3"/>
      <w:sz w:val="18"/>
      <w:szCs w:val="24"/>
      <w:lang w:eastAsia="zh-CN" w:bidi="hi-IN"/>
    </w:rPr>
  </w:style>
  <w:style w:type="character" w:customStyle="1" w:styleId="Kop7Char">
    <w:name w:val="Kop 7 Char"/>
    <w:basedOn w:val="Standaardalinea-lettertype"/>
    <w:link w:val="Kop7"/>
    <w:uiPriority w:val="9"/>
    <w:semiHidden/>
    <w:rsid w:val="0062398F"/>
    <w:rPr>
      <w:rFonts w:asciiTheme="majorHAnsi" w:eastAsiaTheme="majorEastAsia" w:hAnsiTheme="majorHAnsi" w:cs="Mangal"/>
      <w:i/>
      <w:iCs/>
      <w:color w:val="404040" w:themeColor="text1" w:themeTint="BF"/>
      <w:kern w:val="3"/>
      <w:sz w:val="18"/>
      <w:szCs w:val="24"/>
      <w:lang w:eastAsia="zh-CN" w:bidi="hi-IN"/>
    </w:rPr>
  </w:style>
  <w:style w:type="character" w:customStyle="1" w:styleId="Kop8Char">
    <w:name w:val="Kop 8 Char"/>
    <w:basedOn w:val="Standaardalinea-lettertype"/>
    <w:link w:val="Kop8"/>
    <w:uiPriority w:val="9"/>
    <w:semiHidden/>
    <w:rsid w:val="0062398F"/>
    <w:rPr>
      <w:rFonts w:asciiTheme="majorHAnsi" w:eastAsiaTheme="majorEastAsia" w:hAnsiTheme="majorHAnsi" w:cs="Mangal"/>
      <w:color w:val="404040" w:themeColor="text1" w:themeTint="BF"/>
      <w:kern w:val="3"/>
      <w:sz w:val="20"/>
      <w:szCs w:val="18"/>
      <w:lang w:eastAsia="zh-CN" w:bidi="hi-IN"/>
    </w:rPr>
  </w:style>
  <w:style w:type="character" w:customStyle="1" w:styleId="Kop9Char">
    <w:name w:val="Kop 9 Char"/>
    <w:basedOn w:val="Standaardalinea-lettertype"/>
    <w:link w:val="Kop9"/>
    <w:uiPriority w:val="9"/>
    <w:semiHidden/>
    <w:rsid w:val="0062398F"/>
    <w:rPr>
      <w:rFonts w:asciiTheme="majorHAnsi" w:eastAsiaTheme="majorEastAsia" w:hAnsiTheme="majorHAnsi" w:cs="Mangal"/>
      <w:i/>
      <w:iCs/>
      <w:color w:val="404040" w:themeColor="text1" w:themeTint="BF"/>
      <w:kern w:val="3"/>
      <w:sz w:val="20"/>
      <w:szCs w:val="18"/>
      <w:lang w:eastAsia="zh-CN" w:bidi="hi-IN"/>
    </w:rPr>
  </w:style>
  <w:style w:type="table" w:styleId="Tabelraster">
    <w:name w:val="Table Grid"/>
    <w:basedOn w:val="Standaardtabel"/>
    <w:uiPriority w:val="59"/>
    <w:rsid w:val="0062398F"/>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jstalinea">
    <w:name w:val="List Paragraph"/>
    <w:basedOn w:val="Standaard"/>
    <w:uiPriority w:val="34"/>
    <w:qFormat/>
    <w:rsid w:val="0062398F"/>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paragraph" w:styleId="Voetnoottekst">
    <w:name w:val="footnote text"/>
    <w:basedOn w:val="Standaard"/>
    <w:link w:val="VoetnoottekstChar"/>
    <w:uiPriority w:val="99"/>
    <w:semiHidden/>
    <w:rsid w:val="0062398F"/>
    <w:pPr>
      <w:widowControl/>
      <w:suppressAutoHyphens w:val="0"/>
      <w:autoSpaceDN/>
      <w:spacing w:line="240" w:lineRule="auto"/>
      <w:textAlignment w:val="auto"/>
    </w:pPr>
    <w:rPr>
      <w:rFonts w:ascii="Calibri" w:eastAsia="Calibri" w:hAnsi="Calibri" w:cs="Calibri"/>
      <w:kern w:val="0"/>
      <w:sz w:val="20"/>
      <w:szCs w:val="20"/>
      <w:lang w:eastAsia="en-US" w:bidi="ar-SA"/>
    </w:rPr>
  </w:style>
  <w:style w:type="character" w:customStyle="1" w:styleId="VoetnoottekstChar">
    <w:name w:val="Voetnoottekst Char"/>
    <w:basedOn w:val="Standaardalinea-lettertype"/>
    <w:link w:val="Voetnoottekst"/>
    <w:uiPriority w:val="99"/>
    <w:semiHidden/>
    <w:rsid w:val="0062398F"/>
    <w:rPr>
      <w:rFonts w:ascii="Calibri" w:eastAsia="Calibri" w:hAnsi="Calibri" w:cs="Calibri"/>
      <w:sz w:val="20"/>
      <w:szCs w:val="20"/>
    </w:rPr>
  </w:style>
  <w:style w:type="character" w:styleId="Voetnootmarkering">
    <w:name w:val="footnote reference"/>
    <w:basedOn w:val="Standaardalinea-lettertype"/>
    <w:uiPriority w:val="99"/>
    <w:semiHidden/>
    <w:rsid w:val="0062398F"/>
    <w:rPr>
      <w:vertAlign w:val="superscript"/>
    </w:rPr>
  </w:style>
  <w:style w:type="character" w:styleId="Verwijzingopmerking">
    <w:name w:val="annotation reference"/>
    <w:basedOn w:val="Standaardalinea-lettertype"/>
    <w:uiPriority w:val="99"/>
    <w:semiHidden/>
    <w:unhideWhenUsed/>
    <w:rsid w:val="00D51FD3"/>
    <w:rPr>
      <w:sz w:val="16"/>
      <w:szCs w:val="16"/>
    </w:rPr>
  </w:style>
  <w:style w:type="paragraph" w:styleId="Tekstopmerking">
    <w:name w:val="annotation text"/>
    <w:basedOn w:val="Standaard"/>
    <w:link w:val="TekstopmerkingChar"/>
    <w:uiPriority w:val="99"/>
    <w:semiHidden/>
    <w:unhideWhenUsed/>
    <w:rsid w:val="00D51FD3"/>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semiHidden/>
    <w:rsid w:val="00D51FD3"/>
    <w:rPr>
      <w:rFonts w:ascii="Verdana" w:eastAsia="DejaVu Sans" w:hAnsi="Verdana" w:cs="Mangal"/>
      <w:kern w:val="3"/>
      <w:sz w:val="20"/>
      <w:szCs w:val="18"/>
      <w:lang w:eastAsia="zh-CN" w:bidi="hi-IN"/>
    </w:rPr>
  </w:style>
  <w:style w:type="paragraph" w:styleId="Onderwerpvanopmerking">
    <w:name w:val="annotation subject"/>
    <w:basedOn w:val="Tekstopmerking"/>
    <w:next w:val="Tekstopmerking"/>
    <w:link w:val="OnderwerpvanopmerkingChar"/>
    <w:uiPriority w:val="99"/>
    <w:semiHidden/>
    <w:unhideWhenUsed/>
    <w:rsid w:val="00D51FD3"/>
    <w:rPr>
      <w:b/>
      <w:bCs/>
    </w:rPr>
  </w:style>
  <w:style w:type="character" w:customStyle="1" w:styleId="OnderwerpvanopmerkingChar">
    <w:name w:val="Onderwerp van opmerking Char"/>
    <w:basedOn w:val="TekstopmerkingChar"/>
    <w:link w:val="Onderwerpvanopmerking"/>
    <w:uiPriority w:val="99"/>
    <w:semiHidden/>
    <w:rsid w:val="00D51FD3"/>
    <w:rPr>
      <w:b/>
      <w:bCs/>
    </w:rPr>
  </w:style>
  <w:style w:type="paragraph" w:styleId="Ballontekst">
    <w:name w:val="Balloon Text"/>
    <w:basedOn w:val="Standaard"/>
    <w:link w:val="BallontekstChar"/>
    <w:uiPriority w:val="99"/>
    <w:semiHidden/>
    <w:unhideWhenUsed/>
    <w:rsid w:val="00D51FD3"/>
    <w:pPr>
      <w:spacing w:line="240" w:lineRule="auto"/>
    </w:pPr>
    <w:rPr>
      <w:rFonts w:ascii="Tahoma" w:hAnsi="Tahoma" w:cs="Mangal"/>
      <w:sz w:val="16"/>
      <w:szCs w:val="14"/>
    </w:rPr>
  </w:style>
  <w:style w:type="character" w:customStyle="1" w:styleId="BallontekstChar">
    <w:name w:val="Ballontekst Char"/>
    <w:basedOn w:val="Standaardalinea-lettertype"/>
    <w:link w:val="Ballontekst"/>
    <w:uiPriority w:val="99"/>
    <w:semiHidden/>
    <w:rsid w:val="00D51FD3"/>
    <w:rPr>
      <w:rFonts w:ascii="Tahoma" w:eastAsia="DejaVu Sans" w:hAnsi="Tahoma" w:cs="Mangal"/>
      <w:kern w:val="3"/>
      <w:sz w:val="16"/>
      <w:szCs w:val="14"/>
      <w:lang w:eastAsia="zh-CN" w:bidi="hi-IN"/>
    </w:rPr>
  </w:style>
  <w:style w:type="paragraph" w:styleId="Koptekst">
    <w:name w:val="header"/>
    <w:basedOn w:val="Standaard"/>
    <w:link w:val="KoptekstChar"/>
    <w:uiPriority w:val="99"/>
    <w:semiHidden/>
    <w:unhideWhenUsed/>
    <w:rsid w:val="004F47BB"/>
    <w:pPr>
      <w:tabs>
        <w:tab w:val="center" w:pos="4536"/>
        <w:tab w:val="right" w:pos="9072"/>
      </w:tabs>
      <w:spacing w:line="240" w:lineRule="auto"/>
    </w:pPr>
    <w:rPr>
      <w:rFonts w:cs="Mangal"/>
    </w:rPr>
  </w:style>
  <w:style w:type="character" w:customStyle="1" w:styleId="KoptekstChar">
    <w:name w:val="Koptekst Char"/>
    <w:basedOn w:val="Standaardalinea-lettertype"/>
    <w:link w:val="Koptekst"/>
    <w:uiPriority w:val="99"/>
    <w:semiHidden/>
    <w:rsid w:val="004F47BB"/>
    <w:rPr>
      <w:rFonts w:ascii="Verdana" w:eastAsia="DejaVu Sans" w:hAnsi="Verdana" w:cs="Mangal"/>
      <w:kern w:val="3"/>
      <w:sz w:val="18"/>
      <w:szCs w:val="24"/>
      <w:lang w:eastAsia="zh-CN" w:bidi="hi-IN"/>
    </w:rPr>
  </w:style>
  <w:style w:type="paragraph" w:styleId="Voettekst">
    <w:name w:val="footer"/>
    <w:basedOn w:val="Standaard"/>
    <w:link w:val="VoettekstChar"/>
    <w:uiPriority w:val="99"/>
    <w:unhideWhenUsed/>
    <w:rsid w:val="004F47BB"/>
    <w:pPr>
      <w:tabs>
        <w:tab w:val="center" w:pos="4536"/>
        <w:tab w:val="right" w:pos="9072"/>
      </w:tabs>
      <w:spacing w:line="240" w:lineRule="auto"/>
    </w:pPr>
    <w:rPr>
      <w:rFonts w:cs="Mangal"/>
    </w:rPr>
  </w:style>
  <w:style w:type="character" w:customStyle="1" w:styleId="VoettekstChar">
    <w:name w:val="Voettekst Char"/>
    <w:basedOn w:val="Standaardalinea-lettertype"/>
    <w:link w:val="Voettekst"/>
    <w:uiPriority w:val="99"/>
    <w:rsid w:val="004F47BB"/>
    <w:rPr>
      <w:rFonts w:ascii="Verdana" w:eastAsia="DejaVu Sans" w:hAnsi="Verdana" w:cs="Mangal"/>
      <w:kern w:val="3"/>
      <w:sz w:val="18"/>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1442</ap:Words>
  <ap:Characters>7937</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2014-06-26T09:10:00.0000000Z</lastPrinted>
  <dcterms:created xsi:type="dcterms:W3CDTF">2014-12-02T12:21:00.0000000Z</dcterms:created>
  <dcterms:modified xsi:type="dcterms:W3CDTF">2014-12-02T12:21:00.0000000Z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0x0101009DA8F8323BD470449B01DF88869E01BF</vt:lpwstr>
  </property>
</Properties>
</file>