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336D90BF" wp14:anchorId="65ACDB7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45034CE" wp14:anchorId="0D56C1A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W03.14.0154/II</w:t>
              </w:r>
              <w:r w:rsidR="00FB2069">
                <w:t xml:space="preserve"> en no. W03.14.0155/II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A517C" w:rsidP="0094419E" w:rsidRDefault="00FB2069">
              <w:r>
                <w:t>Bij Kabinetsmissive van 23 mei 2014, no.2014001001, heeft Uwe Majesteit, op voordracht van de Minister van Veiligheid en Justitie, mede namens de Staatssecretaris van Veiligheid en Justitie, bij de Afdeling advisering van de Raad van State ter overweging aanhangig gemaakt het voorstel van wet tot wijziging van het Wetboek van Strafvordering in verband met de eigen bijdrage van veroordeelden aan de kosten van de strafvordering en de slachtofferzorg, met memorie van toelichting</w:t>
              </w:r>
              <w:r w:rsidR="0094419E">
                <w:t xml:space="preserve"> en bij Kabinetsmissive van 23 mei 2014, no.2014001000, heeft Uwe Majesteit, op voordracht van de Staatssecretaris van Veiligheid en Justitie, bij de Afdeling advisering van de Raad van State ter overweging aanhangig gemaakt het voorstel van wet tot wijziging van de Penitentiaire beginselenwet, de Beginselenwet verpleging ter beschikking </w:t>
              </w:r>
              <w:r w:rsidR="0094419E">
                <w:br/>
                <w:t xml:space="preserve">gestelden, de Beginselenwet justitiële jeugdinrichtingen en enige andere wetten in </w:t>
              </w:r>
              <w:r w:rsidR="0094419E">
                <w:br/>
                <w:t xml:space="preserve">verband met de eigen bijdrage voor verblijf in een justitiële inrichting, met memorie </w:t>
              </w:r>
              <w:r w:rsidR="0094419E">
                <w:br/>
                <w:t>van toelichting</w:t>
              </w:r>
              <w:r>
                <w:t>.</w:t>
              </w:r>
            </w:p>
          </w:sdtContent>
        </w:sdt>
        <w:p w:rsidR="0071031E" w:rsidRDefault="0071031E"/>
        <w:sdt>
          <w:sdtPr>
            <w:alias w:val="VrijeTekst1"/>
            <w:tag w:val="VrijeTekst1"/>
            <w:id w:val="-437221631"/>
            <w:lock w:val="sdtLocked"/>
          </w:sdtPr>
          <w:sdtEndPr/>
          <w:sdtContent>
            <w:p w:rsidR="00EC0603" w:rsidP="00EC0603" w:rsidRDefault="00FB2069">
              <w:r>
                <w:t>Het wetsvoorstel tot wijziging van het Wetboek van Strafvordering in verband met de eigen bijdrage van veroordeelden aan de kosten van de strafvordering en de slachtofferzorg (hierna: voorstel eigen bijdrage kosten strafvordering) strekt ertoe om van veroordeelden en ter beschikking gestelden een eigen bijdrage te vragen voor de kosten van de strafprocedure in eerste aanleg en de slachtofferzorg.</w:t>
              </w:r>
              <w:r>
                <w:rPr>
                  <w:rStyle w:val="Voetnootmarkering"/>
                </w:rPr>
                <w:footnoteReference w:id="1"/>
              </w:r>
            </w:p>
            <w:p w:rsidR="00EC0603" w:rsidP="00EC0603" w:rsidRDefault="007957EE"/>
            <w:p w:rsidR="00EC0603" w:rsidP="00EC0603" w:rsidRDefault="00FB2069">
              <w:r>
                <w:t>Het wetsvoorstel tot wijziging van de Penitentiaire beginselenwet, de Beginselenwet verpleging ter beschikking gestelden, de Beginselenwet justitiële jeugdinrichtingen en enige andere wetten in verband met de eigen bijdrage voor verblijf in een justitiële inrichting (hierna: voorstel eigen bijdrage verblijf inrichting) strekt ertoe van veroordeelden en ter beschikking gestelden een eigen bijdrage te heffen voor het verblijf in een penitentiaire inrichting en voor elektronische detentie (huur van een enkelband). Voorts dienen ouders van jeugdigen een eigen bijdrage te betalen voor het verblijf van de jeugdige in een penitentiaire inrichting voor jeugdigen.</w:t>
              </w:r>
            </w:p>
            <w:p w:rsidR="00EC0603" w:rsidP="00E564E1" w:rsidRDefault="007957EE"/>
            <w:p w:rsidR="00EC0603" w:rsidP="00E564E1" w:rsidRDefault="00FB2069">
              <w:r>
                <w:t>Uitgangspunt van beide wetsvoorstellen is dat degene die de wet overtreedt en een strafvorderlijke reactie uitlokt, verantwoordelijk moet worden gehouden voor (een deel van) de kosten die de samenleving voor de strafprocedure en de tenuitvoerlegging van straffen draagt. Het is niet meer vanzelfsprekend dat deze kosten in hoofdzaak door de samenleving worden gedragen, aldus de toelichting.</w:t>
              </w:r>
              <w:r>
                <w:rPr>
                  <w:rStyle w:val="Voetnootmarkering"/>
                </w:rPr>
                <w:footnoteReference w:id="2"/>
              </w:r>
              <w:r>
                <w:t xml:space="preserve"> Voorgesteld wordt de eigen bijdrage voor het verblijf in een penitentiaire inrichting en de huur van een enkelband op € 16 per dag te stellen en over een maximale periode van 2 jaar te heffen.</w:t>
              </w:r>
              <w:r>
                <w:rPr>
                  <w:rStyle w:val="Voetnootmarkering"/>
                </w:rPr>
                <w:footnoteReference w:id="3"/>
              </w:r>
              <w:r>
                <w:t xml:space="preserve"> Voor de eigen bijdrage voor het strafproces en de slachtofferzorg worden forfaitaire bedragen gehanteerd oplopend van € 450 (maximaal) voor een veroordeling door de </w:t>
              </w:r>
              <w:r>
                <w:lastRenderedPageBreak/>
                <w:t>kantonrechter</w:t>
              </w:r>
              <w:r>
                <w:rPr>
                  <w:rStyle w:val="Voetnootmarkering"/>
                </w:rPr>
                <w:footnoteReference w:id="4"/>
              </w:r>
              <w:r>
                <w:t xml:space="preserve"> tot ca. € 2400 voor een veroordeling door een meervoudige kamer van de rechtbank.</w:t>
              </w:r>
              <w:r>
                <w:rPr>
                  <w:rStyle w:val="Voetnootmarkering"/>
                </w:rPr>
                <w:footnoteReference w:id="5"/>
              </w:r>
              <w:r>
                <w:t xml:space="preserve"> De eigen bijdrage wordt niet door de rechter opgelegd; het gaat om een administratieve bijdrage in de vorm van een bestuursrechtelijke geldschuld waarop de Algemene wet bestuursrecht van toepassing is.</w:t>
              </w:r>
              <w:r>
                <w:rPr>
                  <w:rStyle w:val="Voetnootmarkering"/>
                </w:rPr>
                <w:footnoteReference w:id="6"/>
              </w:r>
              <w:r>
                <w:t xml:space="preserve"> Het doel is dat met de voorstellen een structurele netto-opbrengst van € 65 mln. per jaar wordt gerealiseerd.</w:t>
              </w:r>
            </w:p>
            <w:p w:rsidR="00EC0603" w:rsidP="00E564E1" w:rsidRDefault="007957EE"/>
            <w:p w:rsidR="00EC0603" w:rsidP="00E564E1" w:rsidRDefault="00FB2069">
              <w:r>
                <w:t>Vanwege de nauwe inhoudelijke samenhang tussen beide wetsvoorstellen en het feit dat de toelichting op de voorstellen grotendeels parallel loopt, brengt de Afdeling één advies uit. In het algemeen deel (deel A) worden opmerkingen over beide voorstellen gemaakt; in deel B over de eigen bijdrage kosten verblijf en in deel C over de eigen bijdrage kosten strafprocedure.</w:t>
              </w:r>
            </w:p>
            <w:p w:rsidR="00EC0603" w:rsidP="00E564E1" w:rsidRDefault="007957EE"/>
            <w:p w:rsidR="00EC0603" w:rsidP="00E564E1" w:rsidRDefault="00FB2069">
              <w:r>
                <w:t>De Afdeling is niet overtuigd van het feit dat de baten (met inbegrip van de beoogde besparingen) die met de voorstellen gerealiseerd zouden moeten worden opwegen tegen de maatschappelijke en financiële lasten van de voorstellen. De toename van de schuldenlast van veroordeelden door de eigen bijdrage kan ertoe leiden dat het recidiverisico wordt vergroot, de sociale problematiek van (gezinnen van) veroordeelden verder toeneemt en hun resocialisatie wordt belemmerd. In het merendeel van de gevallen zal de inning van de eigen bijdrage problematisch zijn. Bij de financiële berekening is voorts onvoldoende rekening gehouden met de stijging van de k</w:t>
              </w:r>
              <w:r w:rsidRPr="003776F4">
                <w:t xml:space="preserve">osten </w:t>
              </w:r>
              <w:r>
                <w:t xml:space="preserve">door een groter beroep op </w:t>
              </w:r>
              <w:r w:rsidRPr="003776F4">
                <w:t>bijstand</w:t>
              </w:r>
              <w:r>
                <w:t xml:space="preserve"> </w:t>
              </w:r>
              <w:r w:rsidRPr="003776F4">
                <w:t xml:space="preserve">en </w:t>
              </w:r>
              <w:r>
                <w:t>door extra beroepsprocedures. In dat licht bezien moet ernstig worden betwijfeld of de beoogde (financiële) opbrengsten zullen worden behaald. Op grond van deze overwegingen tezamen adviseert de Afdeling om van de voorgestelde eigen bijdragen af te zien. Onverminderd dit advies maakt de Afdeling opmerkingen over het niveau van regelgeving, de onmiddellijke werking, de samenhang met s</w:t>
              </w:r>
              <w:r w:rsidRPr="00C71086">
                <w:t>ociale zekerheidsrechten</w:t>
              </w:r>
              <w:r>
                <w:t xml:space="preserve">, het moment van ontstaan van de schuld, de bijdrage van ouders, de verhouding van de eigen bijdrage voor de kosten van strafvordering tot artikel 6 van het </w:t>
              </w:r>
              <w:r w:rsidRPr="00EB03C0">
                <w:t xml:space="preserve">Europees Verdrag tot bescherming van de rechten van de mens en de fundamentele vrijheden </w:t>
              </w:r>
              <w:r>
                <w:t>(EVRM) en het v</w:t>
              </w:r>
              <w:r w:rsidRPr="00C71086">
                <w:t xml:space="preserve">erzet tegen </w:t>
              </w:r>
              <w:r>
                <w:t xml:space="preserve">de </w:t>
              </w:r>
              <w:r w:rsidRPr="00C71086">
                <w:t>OM</w:t>
              </w:r>
              <w:r>
                <w:t xml:space="preserve">-strafbeschikking. </w:t>
              </w:r>
            </w:p>
            <w:p w:rsidR="00EC0603" w:rsidP="00E564E1" w:rsidRDefault="007957EE"/>
            <w:p w:rsidR="00D513D1" w:rsidP="00183A39" w:rsidRDefault="00FB2069">
              <w:pPr>
                <w:keepNext/>
              </w:pPr>
              <w:r>
                <w:t>A.</w:t>
              </w:r>
              <w:r>
                <w:tab/>
                <w:t>ALGEMEEN DEEL</w:t>
              </w:r>
            </w:p>
            <w:p w:rsidRPr="00C71086" w:rsidR="00EC0603" w:rsidP="00183A39" w:rsidRDefault="007957EE">
              <w:pPr>
                <w:keepNext/>
              </w:pPr>
            </w:p>
            <w:p w:rsidR="00EC0603" w:rsidP="00183A39" w:rsidRDefault="00FB2069">
              <w:pPr>
                <w:keepNext/>
                <w:rPr>
                  <w:u w:val="single"/>
                </w:rPr>
              </w:pPr>
              <w:r>
                <w:t>1.</w:t>
              </w:r>
              <w:r>
                <w:tab/>
              </w:r>
              <w:r>
                <w:rPr>
                  <w:u w:val="single"/>
                </w:rPr>
                <w:t>Maatschappelijke en financiële effecten</w:t>
              </w:r>
            </w:p>
            <w:p w:rsidR="00EC0603" w:rsidP="00183A39" w:rsidRDefault="007957EE">
              <w:pPr>
                <w:keepNext/>
              </w:pPr>
            </w:p>
            <w:p w:rsidRPr="00F11EBC" w:rsidR="00EC0603" w:rsidP="00183A39" w:rsidRDefault="00FB2069">
              <w:pPr>
                <w:keepNext/>
                <w:rPr>
                  <w:i/>
                </w:rPr>
              </w:pPr>
              <w:r w:rsidRPr="00251909">
                <w:t>a.</w:t>
              </w:r>
              <w:r>
                <w:rPr>
                  <w:i/>
                </w:rPr>
                <w:tab/>
                <w:t>Problematiek d</w:t>
              </w:r>
              <w:r w:rsidRPr="00F11EBC">
                <w:rPr>
                  <w:i/>
                </w:rPr>
                <w:t>oe</w:t>
              </w:r>
              <w:r>
                <w:rPr>
                  <w:i/>
                </w:rPr>
                <w:t>l</w:t>
              </w:r>
              <w:r w:rsidRPr="00F11EBC">
                <w:rPr>
                  <w:i/>
                </w:rPr>
                <w:t>groep</w:t>
              </w:r>
              <w:r>
                <w:rPr>
                  <w:i/>
                </w:rPr>
                <w:t xml:space="preserve"> </w:t>
              </w:r>
            </w:p>
            <w:p w:rsidR="00EC0603" w:rsidP="00183A39" w:rsidRDefault="00FB2069">
              <w:pPr>
                <w:keepNext/>
              </w:pPr>
              <w:r>
                <w:t>De Afdeling wijst erop dat veel veroordeelden beperkte financiële middelen en een zwakke sociale positie hebben; bijna drie kwart (73,1%) van hen heeft schulden</w:t>
              </w:r>
              <w:r>
                <w:rPr>
                  <w:rStyle w:val="Voetnootmarkering"/>
                </w:rPr>
                <w:footnoteReference w:id="7"/>
              </w:r>
              <w:r>
                <w:t xml:space="preserve"> en een derde heeft een bijstandsuitkering voor de aanvang van detentie.</w:t>
              </w:r>
              <w:r>
                <w:rPr>
                  <w:rStyle w:val="Voetnootmarkering"/>
                </w:rPr>
                <w:footnoteReference w:id="8"/>
              </w:r>
              <w:r>
                <w:t xml:space="preserve"> Volgens Reclassering Nederland is het percentage van gedetineerden met schulden na detentie nog hoger, omdat tijdens detentie het inkomen in de meeste gevallen wegvalt.</w:t>
              </w:r>
              <w:r>
                <w:rPr>
                  <w:rStyle w:val="Voetnootmarkering"/>
                </w:rPr>
                <w:footnoteReference w:id="9"/>
              </w:r>
              <w:r>
                <w:t xml:space="preserve"> In de toelichting wordt vermeld dat 60% van de gedetineerden bij ontslag uit detentie een inkomen heeft en na zes maanden 87%. Niet wordt echter aangegeven wat de bron is van het inkomen: arbeid, bijstandsuitkering of anderszins.</w:t>
              </w:r>
            </w:p>
            <w:p w:rsidR="00EC0603" w:rsidP="00E564E1" w:rsidRDefault="00FB2069">
              <w:r>
                <w:t xml:space="preserve"> </w:t>
              </w:r>
            </w:p>
            <w:p w:rsidR="00EC0603" w:rsidP="00E564E1" w:rsidRDefault="00FB2069">
              <w:r>
                <w:t>De Afdeling merkt op dat door de introductie van de eigen bijdrage, die kan oplopen tot € 11.520 voor ondergane detentie en ca. € 2400 voor de kosten van de strafprocedure door de meervoudige kamer van de rechtbank, de nu al aanzienlijke schuldenlast van veel veroordeelden (en hun gezinnen) verder zal toenemen. Voor zover gedetineerden en tbs-gestelden in een penitentiaire inrichting of kliniek inkomen kunnen verwerven, is dat inkomen onvoldoende om de voorgestelde eigen bijdrage te kunnen voldoen.</w:t>
              </w:r>
              <w:r>
                <w:rPr>
                  <w:rStyle w:val="Voetnootmarkering"/>
                </w:rPr>
                <w:footnoteReference w:id="10"/>
              </w:r>
              <w:r>
                <w:t xml:space="preserve"> In dat licht bezien is aannemelijk dat het financieel perspectief voor (gezinnen van) gedetineerden verder verslechtert en in een aantal gevallen welhaast uitzichtloos wordt.</w:t>
              </w:r>
              <w:r>
                <w:rPr>
                  <w:rStyle w:val="Voetnootmarkering"/>
                </w:rPr>
                <w:footnoteReference w:id="11"/>
              </w:r>
              <w:r>
                <w:t xml:space="preserve"> In dergelijke gevallen behoren een betalingsregeling of uitstel van betaling weliswaar tot de mogelijkheden maar het is maar zeer de vraag is of dit voldoende soelaas zal bieden; de lasten voor gedetineerden kunnen zich over een lange periode – vaak een veelvoud van de periode in detentie - uitstrekken, waardoor de schuldenlast nauwelijks en hooguit zeer geleidelijk zal afnemen.</w:t>
              </w:r>
            </w:p>
            <w:p w:rsidR="00EC0603" w:rsidP="00E564E1" w:rsidRDefault="007957EE"/>
            <w:p w:rsidR="00EC0603" w:rsidP="00E564E1" w:rsidRDefault="00FB2069">
              <w:r>
                <w:t>In 2008 werd het, gelet op de inkomenspositie van gedetineerden, door de regering niet realistisch geacht hun inkomen als basis voor een eigen bijdrage te gebruiken.</w:t>
              </w:r>
              <w:r>
                <w:rPr>
                  <w:rStyle w:val="Voetnootmarkering"/>
                </w:rPr>
                <w:footnoteReference w:id="12"/>
              </w:r>
              <w:r>
                <w:t xml:space="preserve"> Te allen tijde moest worden voorkomen dat een gedetineerde schulden zou opbouwen of vergroten ten gevolge van een eigenbijdrageregeling, aldus de regering.</w:t>
              </w:r>
              <w:r>
                <w:rPr>
                  <w:rStyle w:val="Voetnootmarkering"/>
                </w:rPr>
                <w:footnoteReference w:id="13"/>
              </w:r>
              <w:r>
                <w:t xml:space="preserve"> Het invoeren van een eigenbijdrageregeling werd, bovenop het stopzetten van de uitkering tijdens detentie, disproportioneel geacht (zie hierover punt 4).</w:t>
              </w:r>
              <w:r>
                <w:rPr>
                  <w:rStyle w:val="Voetnootmarkering"/>
                </w:rPr>
                <w:footnoteReference w:id="14"/>
              </w:r>
              <w:r>
                <w:t xml:space="preserve"> De sociale- en inkomenspositie van veroordeelden is sindsdien niet ingrijpend gewijzigd.</w:t>
              </w:r>
            </w:p>
            <w:p w:rsidR="00EC0603" w:rsidP="00E564E1" w:rsidRDefault="007957EE"/>
            <w:p w:rsidR="00EC0603" w:rsidP="00E564E1" w:rsidRDefault="00FB2069">
              <w:pPr>
                <w:rPr>
                  <w:i/>
                </w:rPr>
              </w:pPr>
              <w:r>
                <w:t>b.</w:t>
              </w:r>
              <w:r>
                <w:tab/>
              </w:r>
              <w:r>
                <w:rPr>
                  <w:i/>
                </w:rPr>
                <w:t>Verhoging re</w:t>
              </w:r>
              <w:r w:rsidRPr="00F11EBC">
                <w:rPr>
                  <w:i/>
                </w:rPr>
                <w:t>cidive</w:t>
              </w:r>
              <w:r>
                <w:rPr>
                  <w:i/>
                </w:rPr>
                <w:t>risico en</w:t>
              </w:r>
              <w:r w:rsidRPr="00F11EBC">
                <w:rPr>
                  <w:i/>
                </w:rPr>
                <w:t xml:space="preserve"> sociale problematiek</w:t>
              </w:r>
            </w:p>
            <w:p w:rsidR="00EC0603" w:rsidP="00E564E1" w:rsidRDefault="00FB2069">
              <w:r>
                <w:t>De hiervoor geschetste problematiek heeft naar verwachting een aantal sociaal-maatschappelijke effecten. De Afdeling wijst op het volgende.</w:t>
              </w:r>
            </w:p>
            <w:p w:rsidR="00EC0603" w:rsidP="00E564E1" w:rsidRDefault="007957EE"/>
            <w:p w:rsidR="00535C7A" w:rsidP="00E564E1" w:rsidRDefault="00FB2069">
              <w:r>
                <w:t>Zoals hiervoor opgemerkt loopt als gevolg van de voorgestelde regeling de schuldenlast van veroordeelden die al schulden bezitten verder op. Het hebben van schulden is een belangrijke criminogene factor, die het risico op recidive en de daarmee samenhangende kosten voor de samenleving doet stijgen.</w:t>
              </w:r>
              <w:r>
                <w:rPr>
                  <w:rStyle w:val="Voetnootmarkering"/>
                </w:rPr>
                <w:footnoteReference w:id="15"/>
              </w:r>
              <w:r>
                <w:t xml:space="preserve"> De invoering van de eigen bijdrage kan daarom tot meer recidive leiden. In dat geval zal van de wetsvoorstellen een criminaliteit bevorderende werking uitgaan met alle maatschappelijke en financiële kosten van dien.</w:t>
              </w:r>
              <w:r>
                <w:rPr>
                  <w:rStyle w:val="Voetnootmarkering"/>
                </w:rPr>
                <w:footnoteReference w:id="16"/>
              </w:r>
              <w:r>
                <w:t xml:space="preserve"> </w:t>
              </w:r>
            </w:p>
            <w:p w:rsidR="00535C7A" w:rsidP="00E564E1" w:rsidRDefault="007957EE"/>
            <w:p w:rsidR="00535C7A" w:rsidP="00E564E1" w:rsidRDefault="00FB2069">
              <w:r>
                <w:t>De Afdeling merkt op dat het aannemelijk is dat de voorgestelde eigen bijdrage door het verhogen van de schuldenlast en het vergroten van de sociale problematiek in meer algemene zin de resocialisatie van veroordeelden belemmert. In de toelichting wordt in dit verband verwezen naar het in opdracht van het WODC opgestelde rapport ‘Kostenveroordeling in strafzaken’</w:t>
              </w:r>
              <w:r>
                <w:rPr>
                  <w:rStyle w:val="Voetnootmarkering"/>
                </w:rPr>
                <w:footnoteReference w:id="17"/>
              </w:r>
              <w:r>
                <w:t xml:space="preserve"> (hierna: rapport), dat verwijst naar onderzoek uit 1989 waaruit zou blijken dat er geen onmiddellijke samenhang is tussen de betalingsplicht inzake de proceskosten en de beoogde resocialisatie.</w:t>
              </w:r>
              <w:r>
                <w:rPr>
                  <w:rStyle w:val="Voetnootmarkering"/>
                </w:rPr>
                <w:footnoteReference w:id="18"/>
              </w:r>
              <w:r>
                <w:t xml:space="preserve"> Nog los van de vraag of een verwijzing naar een onderzoek uit 1989 nog als relevant kan worden aangemerkt, wijst de Afdeling erop dat vervolgens in het rapport van de WODC wordt vermeld dat een veroordeling in de proceskosten, zeker als deze aanzienlijk zijn, belemmerend kan werken voor de resocialisatie van de veroordeelde en een betaling van de schade aan het slachtoffer in de weg kan staan.</w:t>
              </w:r>
              <w:r>
                <w:rPr>
                  <w:rStyle w:val="Voetnootmarkering"/>
                </w:rPr>
                <w:footnoteReference w:id="19"/>
              </w:r>
              <w:r>
                <w:t xml:space="preserve"> De toelichting gaat daar niet op in.</w:t>
              </w:r>
            </w:p>
            <w:p w:rsidR="00535C7A" w:rsidP="00E564E1" w:rsidRDefault="007957EE"/>
            <w:p w:rsidR="00535C7A" w:rsidP="00E564E1" w:rsidRDefault="00FB2069">
              <w:r>
                <w:t>In de toelichting wordt ten aanzien van het recidiverisico en de resocialisatie vermeld dat de voorgestelde regeling diverse voorzieningen bevat waardoor rekening kan worden gehouden met de inkomenspositie van de betalingsplichtige (betalingsregeling of uitstel van betaling).</w:t>
              </w:r>
              <w:r>
                <w:rPr>
                  <w:rStyle w:val="Voetnootmarkering"/>
                </w:rPr>
                <w:footnoteReference w:id="20"/>
              </w:r>
              <w:r>
                <w:t xml:space="preserve"> De Afdeling is van oordeel dat de persoonsgerichte incassostrategie de verhoogde kans op recidive en het negatieve effect op resocialisatie voor een grote groep gedetineerden met verminderde financiële draagkracht niet in substantiële mate wegneemt. Immers, de schuld ten gevolge van de eigen bijdrage blijft intact – de verjaringstermijn van de vordering wordt verlengd gedurende de periode dat uitstel van betaling is verleend</w:t>
              </w:r>
              <w:r>
                <w:rPr>
                  <w:rStyle w:val="Voetnootmarkering"/>
                </w:rPr>
                <w:footnoteReference w:id="21"/>
              </w:r>
              <w:r>
                <w:t xml:space="preserve"> –, hetgeen de financiële situatie van gedetineerden en daarmee de verhoogde kans op recidive en het negatieve effect op resocialisatie gedurende lange periode negatief kan beïnvloeden.</w:t>
              </w:r>
            </w:p>
            <w:p w:rsidR="00535C7A" w:rsidP="00E564E1" w:rsidRDefault="007957EE"/>
            <w:p w:rsidR="00D513D1" w:rsidRDefault="00FB2069">
              <w:r>
                <w:t>De uit de eigen bijdrage voortvloeiende schuldenlast kan voorts een negatieve invloed hebben op de re-integratie in het arbeidsproces</w:t>
              </w:r>
              <w:r>
                <w:rPr>
                  <w:rStyle w:val="Voetnootmarkering"/>
                </w:rPr>
                <w:footnoteReference w:id="22"/>
              </w:r>
              <w:r>
                <w:t xml:space="preserve"> en de ‘sociale inbedding’ van gedetineerden, terwijl arbeid en sociale inbedding een recidive reducerend effect hebben.</w:t>
              </w:r>
              <w:r>
                <w:rPr>
                  <w:rStyle w:val="Voetnootmarkering"/>
                </w:rPr>
                <w:footnoteReference w:id="23"/>
              </w:r>
              <w:r>
                <w:t xml:space="preserve"> De schuldenlast zal de relaties binnen de gezinnen van de veroordeelden (verder) onder druk zetten en de sociale problematiek verergeren, vooral in gezinnen waarin meerdere (jeugdige) personen gedetineerd zijn (geweest). Een slechte financiële situatie vergroot de kans op huiselijk geweld.</w:t>
              </w:r>
              <w:r>
                <w:rPr>
                  <w:rStyle w:val="Voetnootmarkering"/>
                </w:rPr>
                <w:footnoteReference w:id="24"/>
              </w:r>
              <w:r>
                <w:t xml:space="preserve"> </w:t>
              </w:r>
            </w:p>
            <w:p w:rsidR="00EC0603" w:rsidP="00E564E1" w:rsidRDefault="007957EE"/>
            <w:p w:rsidR="00EC0603" w:rsidP="00E564E1" w:rsidRDefault="00FB2069">
              <w:r>
                <w:t>Ook de eigen bijdrage van ouders van minderjarige veroordeelden kan tot sociale problemen leiden. Het gegeven dat ouders een eigen bijdrage van ongeveer € 480 per maand moeten betalen voor hun veroordeelde kind zal nadelige gevolgen hebben voor de financiële en sociale situatie van gezinnen met een laag inkomen.</w:t>
              </w:r>
              <w:r>
                <w:rPr>
                  <w:rStyle w:val="Voetnootmarkering"/>
                </w:rPr>
                <w:footnoteReference w:id="25"/>
              </w:r>
              <w:r>
                <w:t xml:space="preserve"> Een dergelijk bedrag vormt in die gevallen immers een groot gedeelte van het gezinsinkomen.</w:t>
              </w:r>
              <w:r>
                <w:rPr>
                  <w:rStyle w:val="Voetnootmarkering"/>
                </w:rPr>
                <w:footnoteReference w:id="26"/>
              </w:r>
              <w:r>
                <w:t xml:space="preserve"> De mogelijkheden van gezinsleden, in het bijzonder kinderen, om zich te ontwikkelen en in de samenleving te functioneren worden hierdoor beperkt. In bepaalde gevallen kan beroep worden gedaan op bijzondere bijstand; dat leidt echter wederom tot maatschappelijke kosten die in het geval van bijzondere bijstand op gemeentelijk niveau moeten worden opgebracht.</w:t>
              </w:r>
              <w:r>
                <w:rPr>
                  <w:rStyle w:val="Voetnootmarkering"/>
                </w:rPr>
                <w:footnoteReference w:id="27"/>
              </w:r>
              <w:r>
                <w:t xml:space="preserve"> </w:t>
              </w:r>
            </w:p>
            <w:p w:rsidR="00EC0603" w:rsidP="00E564E1" w:rsidRDefault="007957EE"/>
            <w:p w:rsidR="00832C62" w:rsidP="00832C62" w:rsidRDefault="00FB2069">
              <w:pPr>
                <w:rPr>
                  <w:i/>
                </w:rPr>
              </w:pPr>
              <w:r>
                <w:t>c.</w:t>
              </w:r>
              <w:r>
                <w:tab/>
              </w:r>
              <w:r>
                <w:rPr>
                  <w:i/>
                </w:rPr>
                <w:t>I</w:t>
              </w:r>
              <w:r w:rsidRPr="00F11EBC">
                <w:rPr>
                  <w:i/>
                </w:rPr>
                <w:t>nning</w:t>
              </w:r>
            </w:p>
            <w:p w:rsidR="00832C62" w:rsidP="00832C62" w:rsidRDefault="00FB2069">
              <w:r>
                <w:t>Volgens de toelichting zal de bijdrage in die gevallen waarin de betrokkene beperkte financiële middelen of zelfs (grote) schulden heeft, slechts tegen betrekkelijk hoge kosten en dienovereenkomstig lagere opbrengsten kunnen worden geïnd.</w:t>
              </w:r>
              <w:r>
                <w:rPr>
                  <w:rStyle w:val="Voetnootmarkering"/>
                </w:rPr>
                <w:footnoteReference w:id="28"/>
              </w:r>
              <w:r>
                <w:t xml:space="preserve"> Dit kan door het treffen van een betalingsregeling of uitstel van betaling worden voorkomen, aldus de toelichting.</w:t>
              </w:r>
              <w:r>
                <w:rPr>
                  <w:rStyle w:val="Voetnootmarkering"/>
                </w:rPr>
                <w:footnoteReference w:id="29"/>
              </w:r>
              <w:r>
                <w:t xml:space="preserve"> </w:t>
              </w:r>
            </w:p>
            <w:p w:rsidR="00832C62" w:rsidP="00832C62" w:rsidRDefault="007957EE"/>
            <w:p w:rsidR="00832C62" w:rsidP="00E564E1" w:rsidRDefault="00FB2069">
              <w:r>
                <w:t>De Afdeling merkt hierover op dat, aangezien de toelichting onvoldoende inzicht biedt in hoeveel gevallen voornoemde maatregelen zullen worden getroffen, onzeker is of de met de voorstellen beoogde netto-opbrengsten kunnen worden gerealiseerd. Naar mag worden aangenomen kunnen relatief veel eigen bijdragen gelet op de penibele financiële situatie van veroordeelden niet worden geïnd. Volgens de impactanalyse zal het inningspercentage bij een eigen bijdrage van € 16 per dag voor detentie variëren van 0% tot 32%; bij de eigen bijdrage voor het gevoerde strafproces is dit tussen de 12% en 32%.</w:t>
              </w:r>
              <w:r>
                <w:rPr>
                  <w:rStyle w:val="Voetnootmarkering"/>
                </w:rPr>
                <w:footnoteReference w:id="30"/>
              </w:r>
              <w:r>
                <w:t xml:space="preserve"> De netto-opbrengst voor de eigen bijdrage in detentie varieert volgens de impactanalyse tussen € -1 mln en 16 mln.</w:t>
              </w:r>
              <w:r>
                <w:rPr>
                  <w:rStyle w:val="Voetnootmarkering"/>
                </w:rPr>
                <w:footnoteReference w:id="31"/>
              </w:r>
              <w:r>
                <w:t xml:space="preserve"> Bovendien moet gedurende de eerste jaren na de invoering van de eigen bijdragen (tot 2017) rekening worden gehouden met “aanloopverliezen” van € 34 mln.</w:t>
              </w:r>
              <w:r>
                <w:rPr>
                  <w:rStyle w:val="Voetnootmarkering"/>
                </w:rPr>
                <w:footnoteReference w:id="32"/>
              </w:r>
            </w:p>
            <w:p w:rsidR="00832C62" w:rsidP="00E564E1" w:rsidRDefault="007957EE"/>
            <w:p w:rsidR="00D513D1" w:rsidRDefault="00FB2069">
              <w:pPr>
                <w:rPr>
                  <w:i/>
                </w:rPr>
              </w:pPr>
              <w:r>
                <w:t>d.</w:t>
              </w:r>
              <w:r>
                <w:tab/>
              </w:r>
              <w:r>
                <w:rPr>
                  <w:i/>
                </w:rPr>
                <w:t>Financiële lasten</w:t>
              </w:r>
            </w:p>
            <w:p w:rsidR="00EC0603" w:rsidP="00E564E1" w:rsidRDefault="00FB2069">
              <w:r>
                <w:t>Naast de kosten die gemoeid zijn met de inning van de eigen bijdrage zullen de voorstellen ook andere kosten met zich brengen. De Afdeling wijst er allereerst op dat na de invoering van de eigen bijdrage door veroordeelden in meer gevallen een beroep zal kunnen worden gedaan op bijstand, bijzondere bijstand en de schuldhulpverlening, welke kosten ten laste komen van de gemeenten. De toelichting merkt hierover op dat het onduidelijk is of het beroep op de bijzondere bijstand en de gemeentelijke schuldhulpverlening door ex-gedetineerden zal stijgen en dat de stijging de bijstand, bijzondere bijstand en de schuldhulpverlening zal wordt gemonitord door het WODC. Toezegging over compensatie aan de gemeenten op voorhand is volgens de toelichting niet aan de orde.</w:t>
              </w:r>
              <w:r>
                <w:rPr>
                  <w:rStyle w:val="Voetnootmarkering"/>
                </w:rPr>
                <w:footnoteReference w:id="33"/>
              </w:r>
              <w:r>
                <w:t xml:space="preserve"> Dat de genoemde kosten in substantiële mate zullen stijgen, acht de Afdeling niettemin aannemelijk.</w:t>
              </w:r>
            </w:p>
            <w:p w:rsidR="00EC0603" w:rsidP="00E564E1" w:rsidRDefault="007957EE"/>
            <w:p w:rsidR="00EC0603" w:rsidP="00E564E1" w:rsidRDefault="00FB2069">
              <w:r>
                <w:t>Ten tweede wijst de Afdeling op kosten van beroepsprocedures indien de minister weigert akkoord te gaan met een minnelijke schikking in het kader van een schuldsaneringstraject. Deze kosten zijn volgens de toelichting niet meegenomen in de doorberekeningen, omdat het risico dat beroep wordt aangetekend als tweede-orde effect is aangemerkt en de mate waarin dit effect zal optreden niet te voorspellen is.</w:t>
              </w:r>
              <w:r>
                <w:rPr>
                  <w:rStyle w:val="Voetnootmarkering"/>
                </w:rPr>
                <w:footnoteReference w:id="34"/>
              </w:r>
            </w:p>
            <w:p w:rsidR="00EC0603" w:rsidP="00E564E1" w:rsidRDefault="007957EE"/>
            <w:p w:rsidR="00EC0603" w:rsidP="00E564E1" w:rsidRDefault="00FB2069">
              <w:r>
                <w:t>In het licht van het voorgaande concludeert de Afdeling dat de voorstellen kunnen leiden tot een stijging van k</w:t>
              </w:r>
              <w:r w:rsidRPr="00251909">
                <w:t>osten van bijstand</w:t>
              </w:r>
              <w:r>
                <w:t xml:space="preserve"> en van beroep</w:t>
              </w:r>
              <w:r w:rsidRPr="00251909">
                <w:t>sprocedures</w:t>
              </w:r>
              <w:r>
                <w:t xml:space="preserve">. In het kader van de berekening van de financiële gevolgen van de voorstellen zijn deze kosten buiten beschouwing gelaten. Hierdoor staat onvoldoende vast of de beoogde opbrengsten werkelijk behaald kunnen worden. De financiële onderbouwing van de voorstellen is daarmee onvoldragen. </w:t>
              </w:r>
            </w:p>
            <w:p w:rsidR="00EC0603" w:rsidP="00E564E1" w:rsidRDefault="007957EE"/>
            <w:p w:rsidR="00EC0603" w:rsidP="00E564E1" w:rsidRDefault="00FB2069">
              <w:pPr>
                <w:rPr>
                  <w:i/>
                </w:rPr>
              </w:pPr>
              <w:r>
                <w:t>e.</w:t>
              </w:r>
              <w:r>
                <w:tab/>
              </w:r>
              <w:r w:rsidRPr="00C811DE">
                <w:rPr>
                  <w:i/>
                </w:rPr>
                <w:t>Conclusie</w:t>
              </w:r>
            </w:p>
            <w:p w:rsidR="00381744" w:rsidP="00381744" w:rsidRDefault="00FB2069">
              <w:r>
                <w:t>Concluderend is de Afdeling niet overtuigd van het feit dat de baten (met inbegrip van de beoogde besparingen) die met de voorstellen gerealiseerd zouden moeten worden opwegen tegen de maatschappelijke en financiële lasten van de voorstellen. De toename van de schuldenlast van veroordeelden door de eigen bijdrage kan ertoe leiden dat het recidiverisico wordt vergroot, de sociale problematiek van (gezinnen van) veroordeelden verder toeneemt en hun resocialisatie wordt belemmerd. In het merendeel van de gevallen zal de inning van de eigen bijdrage problematisch zijn. Bij de financiële berekening is voorts onvoldoende rekening gehouden met de stijging van de k</w:t>
              </w:r>
              <w:r w:rsidRPr="003776F4">
                <w:t xml:space="preserve">osten </w:t>
              </w:r>
              <w:r>
                <w:t xml:space="preserve">door een groter beroep op </w:t>
              </w:r>
              <w:r w:rsidRPr="003776F4">
                <w:t>bijstand</w:t>
              </w:r>
              <w:r>
                <w:t xml:space="preserve"> </w:t>
              </w:r>
              <w:r w:rsidRPr="003776F4">
                <w:t xml:space="preserve">en </w:t>
              </w:r>
              <w:r>
                <w:t>door extra beroepsprocedures. In dat licht bezien moet ernstig worden betwijfeld of de beoogde (financiële) opbrengsten zullen worden behaald.</w:t>
              </w:r>
            </w:p>
            <w:p w:rsidR="00381744" w:rsidP="00381744" w:rsidRDefault="007957EE"/>
            <w:p w:rsidR="00D513D1" w:rsidRDefault="00FB2069">
              <w:r>
                <w:t xml:space="preserve">Op grond van bovenstaande overwegingen tezamen adviseert de Afdeling van de voorgestelde eigen bijdragen af te zien. </w:t>
              </w:r>
            </w:p>
            <w:p w:rsidR="00EC0603" w:rsidP="00E564E1" w:rsidRDefault="007957EE"/>
            <w:p w:rsidR="00EC0603" w:rsidP="00E564E1" w:rsidRDefault="00FB2069">
              <w:r>
                <w:t>Onverminderd het voorgaande merkt de Afdeling het volgende op.</w:t>
              </w:r>
            </w:p>
            <w:p w:rsidR="00EC0603" w:rsidP="00E564E1" w:rsidRDefault="007957EE"/>
            <w:p w:rsidR="00EC0603" w:rsidP="00E564E1" w:rsidRDefault="00FB2069">
              <w:pPr>
                <w:rPr>
                  <w:u w:val="single"/>
                </w:rPr>
              </w:pPr>
              <w:r>
                <w:t>2.</w:t>
              </w:r>
              <w:r>
                <w:tab/>
              </w:r>
              <w:r>
                <w:rPr>
                  <w:u w:val="single"/>
                </w:rPr>
                <w:t>Niveau van regelgeving</w:t>
              </w:r>
            </w:p>
            <w:p w:rsidR="00EC0603" w:rsidP="00E564E1" w:rsidRDefault="007957EE">
              <w:pPr>
                <w:rPr>
                  <w:u w:val="single"/>
                </w:rPr>
              </w:pPr>
            </w:p>
            <w:p w:rsidR="00EC0603" w:rsidP="00E564E1" w:rsidRDefault="00FB2069">
              <w:r>
                <w:t xml:space="preserve">Een aantal wezenlijke elementen van de voorgestelde regelingen wordt niet opgenomen in de voorstellen zelf, maar wordt gedelegeerd naar het niveau van een algemene maatregel van bestuur. </w:t>
              </w:r>
              <w:r w:rsidRPr="00453E6D">
                <w:t xml:space="preserve">In een </w:t>
              </w:r>
              <w:r>
                <w:t>aantal gevallen waarin de</w:t>
              </w:r>
              <w:r w:rsidRPr="00453E6D">
                <w:t xml:space="preserve"> voorstel</w:t>
              </w:r>
              <w:r>
                <w:t>len</w:t>
              </w:r>
              <w:r w:rsidRPr="00453E6D">
                <w:t xml:space="preserve"> geen tot ze</w:t>
              </w:r>
              <w:r>
                <w:t>er weinig materiële regels stellen, maar deze delegeren</w:t>
              </w:r>
              <w:r w:rsidRPr="00453E6D">
                <w:t xml:space="preserve"> naar een lager niveau, staat in de toelichting</w:t>
              </w:r>
              <w:r>
                <w:t>en</w:t>
              </w:r>
              <w:r w:rsidRPr="00453E6D">
                <w:t xml:space="preserve"> zeer nauwkeurig beschreven waar deze regels uit zullen bestaan. </w:t>
              </w:r>
              <w:r>
                <w:t>Het betreft hier onder meer de hoogte van de eigen bijdrage die moet worden betaald en het maximum dat aan de totaal te betalen bijdrage kan worden gesteld.</w:t>
              </w:r>
              <w:r>
                <w:rPr>
                  <w:rStyle w:val="Voetnootmarkering"/>
                </w:rPr>
                <w:footnoteReference w:id="35"/>
              </w:r>
              <w:r>
                <w:t xml:space="preserve"> Hierbij wordt niet dragend gemotiveerd waarom het noodzakelijk is deze regels op een lager niveau vast te stellen. De Afdeling wijst erop dat de lengte van de maximale termijn voor de eigen bijdrage zoals die in het regeerakkoord was opgenomen op zes maanden zou worden gesteld. In de toelichting wordt nu gesproken van twee jaar. De lengte van deze termijn bepaalt mede de maximale hoogte van de eigen bijdrage en is daarmee direct van belang bij de beoordeling van de mogelijke neveneffecten van het voorstel. Het betreft daarom een wezenlijk element dat op het niveau van de wet vastgelegd zou moeten worden.</w:t>
              </w:r>
            </w:p>
            <w:p w:rsidR="00EC0603" w:rsidP="00E564E1" w:rsidRDefault="007957EE"/>
            <w:p w:rsidR="00EC0603" w:rsidP="00E564E1" w:rsidRDefault="00FB2069">
              <w:r>
                <w:t>De Afdeling merkt op dat van delegatie van de bevoegdheid tot het vaststellen van algemeen verbindende voorschriften − in verband met het uitgangspunt dat deze op zo hoog mogelijk regelniveau worden vastgesteld − terughoudend gebruik moet worden gemaakt.</w:t>
              </w:r>
              <w:r>
                <w:rPr>
                  <w:rStyle w:val="Voetnootmarkering"/>
                </w:rPr>
                <w:footnoteReference w:id="36"/>
              </w:r>
              <w:r>
                <w:t xml:space="preserve"> Voorts dient elke delegatie van regelgevende bevoegdheid in de delegerende regeling zo concreet en nauwkeurig mogelijk te worden begrensd.</w:t>
              </w:r>
              <w:r>
                <w:rPr>
                  <w:rStyle w:val="Voetnootmarkering"/>
                </w:rPr>
                <w:footnoteReference w:id="37"/>
              </w:r>
              <w:r>
                <w:t xml:space="preserve"> De Afdeling is van oordeel dat de voorstellen niet voldoen aan deze uitgangspunten.</w:t>
              </w:r>
            </w:p>
            <w:p w:rsidR="00EC0603" w:rsidP="00E564E1" w:rsidRDefault="00FB2069">
              <w:r>
                <w:t xml:space="preserve"> </w:t>
              </w:r>
            </w:p>
            <w:p w:rsidR="00EC0603" w:rsidP="00E564E1" w:rsidRDefault="00FB2069">
              <w:r>
                <w:t xml:space="preserve">De Afdeling adviseert in die gevallen waarin in de toelichtingen reeds duidelijk gemaakt wordt op welke wijze de delegatiebepaling zal worden uitgewerkt deze regels zoveel mogelijk in de voorstellen zelf op te nemen. </w:t>
              </w:r>
            </w:p>
            <w:p w:rsidR="00EC0603" w:rsidP="00E564E1" w:rsidRDefault="007957EE"/>
            <w:p w:rsidR="00EC0603" w:rsidP="00E564E1" w:rsidRDefault="00FB2069">
              <w:pPr>
                <w:rPr>
                  <w:u w:val="single"/>
                </w:rPr>
              </w:pPr>
              <w:r>
                <w:t>3.</w:t>
              </w:r>
              <w:r>
                <w:tab/>
              </w:r>
              <w:r>
                <w:rPr>
                  <w:u w:val="single"/>
                </w:rPr>
                <w:t>Onmiddellijke werking</w:t>
              </w:r>
            </w:p>
            <w:p w:rsidRPr="0088141C" w:rsidR="00EC0603" w:rsidP="00E564E1" w:rsidRDefault="007957EE"/>
            <w:p w:rsidR="00EC0603" w:rsidP="00E564E1" w:rsidRDefault="00FB2069">
              <w:r>
                <w:t xml:space="preserve">De voorstellen kennen beide onmiddellijke werking. Dit betekent dat zij na inwerkingtreding niet alleen van toepassing zijn op nieuwe procedures en nieuwe gedetineerden, maar ook gaan gelden voor bestaande gevallen. De notie achter de voorstellen is, zoals hiervoor opgemerkt, dat iemand die de (straf)wet overtreedt en daarmee de samenleving op kosten jaagt in verband met zijn proces en zijn detentie, een deel van deze kosten zou moeten dragen. </w:t>
              </w:r>
            </w:p>
            <w:p w:rsidR="00EC0603" w:rsidP="00E564E1" w:rsidRDefault="007957EE"/>
            <w:p w:rsidR="00EC0603" w:rsidP="00E564E1" w:rsidRDefault="00FB2069">
              <w:r>
                <w:t>In de toelichting wordt de mogelijkheid erkend dat de strafrechter bij de oplegging van de straf meeweegt dat de veroordeelde een bijdrage verschuldigd zal zijn.</w:t>
              </w:r>
              <w:r>
                <w:rPr>
                  <w:rStyle w:val="Voetnootmarkering"/>
                </w:rPr>
                <w:footnoteReference w:id="38"/>
              </w:r>
              <w:r>
                <w:t xml:space="preserve"> In gevallen waarin de rechter reeds een detentie heeft opgelegd, heeft hij daarbij geen rekening kunnen houden met de effecten van deze voorstellen. In situaties waarin de rechter op het moment van inwerkingtreding nog geen detentie heeft opgelegd, zal dit wel het geval zijn. De toelichting gaat in dit licht bezien niet in op de vraag waarom gekozen is voor onmiddellijke werking en niet voor toepassing op alleen nieuwe gevallen.</w:t>
              </w:r>
            </w:p>
            <w:p w:rsidR="00EC0603" w:rsidP="00E564E1" w:rsidRDefault="007957EE"/>
            <w:p w:rsidR="00EC0603" w:rsidP="00E564E1" w:rsidRDefault="00FB2069">
              <w:pPr>
                <w:rPr>
                  <w:u w:val="single"/>
                </w:rPr>
              </w:pPr>
              <w:r>
                <w:t>De Afdeling is van oordeel dat onvoldoende is gemotiveerd waarom niet is gekozen voor overgangsrecht. Zij adviseert deze keuze alsnog te motiveren en zo nodig het voorstel aan te passen.</w:t>
              </w:r>
            </w:p>
            <w:p w:rsidR="00EC0603" w:rsidP="00E564E1" w:rsidRDefault="007957EE"/>
            <w:p w:rsidR="00EC0603" w:rsidP="00183A39" w:rsidRDefault="00FB2069">
              <w:pPr>
                <w:keepNext/>
              </w:pPr>
              <w:r>
                <w:t>B.</w:t>
              </w:r>
              <w:r>
                <w:tab/>
                <w:t>VOORSTEL EIGEN BIJDRAGE VERBLIJF</w:t>
              </w:r>
            </w:p>
            <w:p w:rsidR="00EC0603" w:rsidP="00183A39" w:rsidRDefault="007957EE">
              <w:pPr>
                <w:keepNext/>
              </w:pPr>
            </w:p>
            <w:p w:rsidR="00535C7A" w:rsidP="00183A39" w:rsidRDefault="00FB2069">
              <w:pPr>
                <w:keepNext/>
                <w:rPr>
                  <w:u w:val="single"/>
                </w:rPr>
              </w:pPr>
              <w:r>
                <w:t>4.</w:t>
              </w:r>
              <w:r>
                <w:tab/>
              </w:r>
              <w:r>
                <w:rPr>
                  <w:u w:val="single"/>
                </w:rPr>
                <w:t>Sociale zekerheidsrechten</w:t>
              </w:r>
            </w:p>
            <w:p w:rsidR="00535C7A" w:rsidP="00183A39" w:rsidRDefault="007957EE">
              <w:pPr>
                <w:keepNext/>
                <w:rPr>
                  <w:u w:val="single"/>
                </w:rPr>
              </w:pPr>
            </w:p>
            <w:p w:rsidR="00535C7A" w:rsidP="00183A39" w:rsidRDefault="00FB2069">
              <w:pPr>
                <w:keepNext/>
              </w:pPr>
              <w:r>
                <w:t>Ingevolge artikel 13a van de Wet werk en bijstand ontvangen gedetineerden geen bijstand. De motivering hiervoor is dat: “Degenen aan wie rechtens hun vrijheid is ontnomen, komen niet in aanmerking voor algemene en bijzondere bijstand. In de noodzakelijke kosten van het bestaan van deze personen wordt voorzien door het ministerie van Justitie.”</w:t>
              </w:r>
              <w:r>
                <w:rPr>
                  <w:rStyle w:val="Voetnootmarkering"/>
                </w:rPr>
                <w:footnoteReference w:id="39"/>
              </w:r>
              <w:r>
                <w:t xml:space="preserve"> Deze zelfde motivering werd gebruikt bij de invoering van de uitsluiting van gedetineerden van de bijstand in artikel 9 van de Algemene bijstandwet en bij de uitsluiting van gedetineerden van aanspraken op andere sociale zekerheidsrechten in de Wet sociale zekerheidsrechten gedetineerden.</w:t>
              </w:r>
              <w:r>
                <w:rPr>
                  <w:rStyle w:val="Voetnootmarkering"/>
                </w:rPr>
                <w:footnoteReference w:id="40"/>
              </w:r>
            </w:p>
            <w:p w:rsidR="00535C7A" w:rsidP="00535C7A" w:rsidRDefault="007957EE"/>
            <w:p w:rsidR="00535C7A" w:rsidP="00535C7A" w:rsidRDefault="00FB2069">
              <w:r>
                <w:t>Met de invoering van een eigen bijdrage voor het verblijf in een justitiële inrichting gaat deze redenering niet meer op. De Afdeling wijst erop dat blijkens de toelichting bij de Wet sociale zekerheidsrechten destijds een discussie is gevoerd over enerzijds het uitsluiten van gedetineerden van sociale zekerheidsrechten en anderzijds het vragen van een eigen bijdrage van die gedetineerden die een uitkering ontvingen.</w:t>
              </w:r>
              <w:r>
                <w:rPr>
                  <w:rStyle w:val="Voetnootmarkering"/>
                </w:rPr>
                <w:footnoteReference w:id="41"/>
              </w:r>
              <w:r>
                <w:t xml:space="preserve"> Destijds is gekozen voor de eerste optie. In dit voorstel wordt de keuze van het uitsluiten van gedetineerden van sociale zekerheidsrechten niet ongedaan gemaakt. Dit betekent dat nu een cumulatie van de beide maatregelen plaatsvindt. In de toelichting wordt niet gemotiveerd waarom de motivering die destijds is gebruikt om gedetineerden uit te sluiten van sociale zekerheidsrechten nog van toepassing kan zijn indien een gedetineerde ook een eigen bijdrage dient te betalen. </w:t>
              </w:r>
            </w:p>
            <w:p w:rsidR="00535C7A" w:rsidP="00535C7A" w:rsidRDefault="007957EE"/>
            <w:p w:rsidR="00535C7A" w:rsidP="00535C7A" w:rsidRDefault="00FB2069">
              <w:r>
                <w:t>De Afdeling adviseert dit dragend te motiveren en zo nodig het voorstel aan te passen.</w:t>
              </w:r>
            </w:p>
            <w:p w:rsidR="00535C7A" w:rsidP="00535C7A" w:rsidRDefault="007957EE"/>
            <w:p w:rsidR="00EC0603" w:rsidP="00535C7A" w:rsidRDefault="00FB2069">
              <w:pPr>
                <w:rPr>
                  <w:u w:val="single"/>
                </w:rPr>
              </w:pPr>
              <w:r>
                <w:t>5.</w:t>
              </w:r>
              <w:r>
                <w:tab/>
              </w:r>
              <w:r>
                <w:rPr>
                  <w:u w:val="single"/>
                </w:rPr>
                <w:t>Moment ontstaan schuld</w:t>
              </w:r>
            </w:p>
            <w:p w:rsidR="00EC0603" w:rsidP="00E564E1" w:rsidRDefault="007957EE">
              <w:pPr>
                <w:rPr>
                  <w:u w:val="single"/>
                </w:rPr>
              </w:pPr>
            </w:p>
            <w:p w:rsidR="00EC0603" w:rsidP="00E564E1" w:rsidRDefault="00FB2069">
              <w:r>
                <w:t>Met betrekking tot de eigen bijdrage voor het verblijf in een justitiële inrichting stelt de toelichting dat nadat de uitspraak van de rechter onherroepelijk is geworden, vaststaat in hoeverre de betrokkene een eigen bijdrage moet betalen voor eventuele voorlopige hechtenis. Indien een vrijheidsbenemende sanctie wordt opgelegd is de betrokkene een eigen bijdrage verschuldigd, die kan worden geïnd.</w:t>
              </w:r>
              <w:r>
                <w:rPr>
                  <w:rStyle w:val="Voetnootmarkering"/>
                </w:rPr>
                <w:footnoteReference w:id="42"/>
              </w:r>
              <w:r>
                <w:t xml:space="preserve"> Op grond van titel 4.4 van de Awb dient de betrokkene in beginsel binnen 6 weken na ontvangst van de factuur de bijdrage te voldoen. Dit betekent dat de factuur aan de betrokkene gestuurd kan worden op het moment dat zijn vrijheidsbenemende sanctie aanvangt. De betrokkene zal dan vanuit de justitiële inrichting – los van de mogelijkheid van bezwaar en beroep - de bijdrage moeten voldoen. Indien de betrokkene niet tijdig aangeeft dat hij de factuur niet kan betalen, loopt hij het risico dat een aanmaning volgt waarbij het verschuldigd bedrag wordt verhoogd.</w:t>
              </w:r>
            </w:p>
            <w:p w:rsidR="00EC0603" w:rsidP="00E564E1" w:rsidRDefault="007957EE"/>
            <w:p w:rsidR="00EC0603" w:rsidP="00E564E1" w:rsidRDefault="00FB2069">
              <w:r>
                <w:t xml:space="preserve">Zoals hiervoor is opgemerkt, heeft ongeveer 70 tot 73% van de gedetineerden bij aanvang van de detentie schulden. Het is daarom onwaarschijnlijk dat de facturen, indien deze aan het begin van de detentiefase worden verstuurd, betaald zullen worden binnen de termijn van zes weken. Het is daarnaast de vraag of gedetineerden in de praktijk voldoende reële mogelijkheden bezitten om tijdig tegen een factuur op te komen of om uitstel van betaling te vragen. </w:t>
              </w:r>
            </w:p>
            <w:p w:rsidR="00EC0603" w:rsidP="00E564E1" w:rsidRDefault="007957EE"/>
            <w:p w:rsidR="00EC0603" w:rsidP="00E564E1" w:rsidRDefault="00FB2069">
              <w:r>
                <w:t>In de paragraaf over de financiële consequenties van het voorstel staat dat in veel gevallen eerst de detentie moet zijn afgerond voordat de eerste rekening aan de betrokkene wordt verzonden.</w:t>
              </w:r>
              <w:r>
                <w:rPr>
                  <w:rStyle w:val="Voetnootmarkering"/>
                </w:rPr>
                <w:footnoteReference w:id="43"/>
              </w:r>
              <w:r>
                <w:t xml:space="preserve"> De Afdeling is van oordeel dat dit meer voor de hand ligt dan dat de factuur al direct na het onherroepelijk worden van de veroordeling tot detentie zou worden verstuurd. In het voorstel zelf is geen regeling opgenomen over het moment van het verzenden van de factuur en de daarmee samenhangende termijn van zes weken om deze te voldoen.</w:t>
              </w:r>
            </w:p>
            <w:p w:rsidR="00EC0603" w:rsidP="00E564E1" w:rsidRDefault="007957EE"/>
            <w:p w:rsidRPr="00453E6D" w:rsidR="00EC0603" w:rsidP="00E564E1" w:rsidRDefault="00FB2069">
              <w:r>
                <w:t>De Afdeling adviseert in het voorstel te regelen dat de factuur verzonden zal worden aan degene die wordt veroordeeld tot een vrijheidsbenemende sanctie nadat deze zijn detentie heeft afgerond.</w:t>
              </w:r>
            </w:p>
            <w:p w:rsidR="00EC0603" w:rsidP="00E564E1" w:rsidRDefault="007957EE">
              <w:pPr>
                <w:rPr>
                  <w:u w:val="single"/>
                </w:rPr>
              </w:pPr>
            </w:p>
            <w:p w:rsidR="00EC0603" w:rsidP="00E564E1" w:rsidRDefault="00FB2069">
              <w:pPr>
                <w:rPr>
                  <w:u w:val="single"/>
                </w:rPr>
              </w:pPr>
              <w:r>
                <w:t>6.</w:t>
              </w:r>
              <w:r>
                <w:tab/>
              </w:r>
              <w:r>
                <w:rPr>
                  <w:u w:val="single"/>
                </w:rPr>
                <w:t>Bijdrage ouders</w:t>
              </w:r>
            </w:p>
            <w:p w:rsidR="00EC0603" w:rsidP="00E564E1" w:rsidRDefault="007957EE">
              <w:pPr>
                <w:rPr>
                  <w:u w:val="single"/>
                </w:rPr>
              </w:pPr>
            </w:p>
            <w:p w:rsidR="00EC0603" w:rsidP="00E564E1" w:rsidRDefault="00FB2069">
              <w:r>
                <w:t>Op grond van het voorstel tot invoering van een eigen bijdrage voor verblijf in een justitiële inrichting moeten ouders van een jeugdige die verblijft in een justitiële jeugdinrichting de eigen bijdrage betalen. Het bedrag voor deze eigen bijdrage zal blijkens de toelichting overeen komen met dat van een volwassen gedetineerde en bedraagt € 16 per dag. De motivering hiervoor in de toelichting is dat hiermee de discrepantie wordt opgeheven die op dit moment bestaat met de Wet op de jeugdzorg. Op grond van die wet wordt een ouderbijdrage geheven in het geval dat de jeugdige in een instelling of inrichting wordt geplaatst.</w:t>
              </w:r>
              <w:r>
                <w:rPr>
                  <w:rStyle w:val="Voetnootmarkering"/>
                </w:rPr>
                <w:footnoteReference w:id="44"/>
              </w:r>
              <w:r>
                <w:t xml:space="preserve"> </w:t>
              </w:r>
            </w:p>
            <w:p w:rsidR="00EC0603" w:rsidP="00E564E1" w:rsidRDefault="007957EE"/>
            <w:p w:rsidR="00EC0603" w:rsidP="00E564E1" w:rsidRDefault="00FB2069">
              <w:r>
                <w:t>De Afdeling wijst erop dat het vastgestelde indexbedrag voor jeugdigen zoals dat geldt ten aanzien van jongeren die op grond van de Wet op de jeugdzorg in een instelling of inrichting worden geplaatst in 2014 is vastgesteld op € 131,13 per maand. Dat is aanzienlijk minder dan de eigen bijdrage van ongeveer € 480 per maand die op grond van dit wetsvoorstel door ouders van een jeugdige zal moeten worden betaald.</w:t>
              </w:r>
              <w:r>
                <w:rPr>
                  <w:rStyle w:val="Voetnootmarkering"/>
                </w:rPr>
                <w:footnoteReference w:id="45"/>
              </w:r>
              <w:r>
                <w:t xml:space="preserve"> In de toelichting wordt niet gemotiveerd waarom gekozen wordt voor een veel hogere eigen bijdrage. Deze keuze strookt ook niet met het motief van het gelijktrekken van de beide, hiervoor genoemde situaties.</w:t>
              </w:r>
              <w:r>
                <w:rPr>
                  <w:rStyle w:val="Voetnootmarkering"/>
                </w:rPr>
                <w:footnoteReference w:id="46"/>
              </w:r>
            </w:p>
            <w:p w:rsidR="00EC0603" w:rsidP="00E564E1" w:rsidRDefault="007957EE"/>
            <w:p w:rsidR="00EC0603" w:rsidP="00E564E1" w:rsidRDefault="00FB2069">
              <w:r>
                <w:t>De Afdeling adviseert in de toelichting op het bovenstaande in te gaan.</w:t>
              </w:r>
            </w:p>
            <w:p w:rsidR="00EC0603" w:rsidP="00E564E1" w:rsidRDefault="007957EE"/>
            <w:p w:rsidRPr="007D6550" w:rsidR="00EC0603" w:rsidDel="00535C7A" w:rsidP="00E564E1" w:rsidRDefault="007957EE"/>
            <w:p w:rsidR="00D513D1" w:rsidRDefault="00FB2069">
              <w:r>
                <w:t>C.</w:t>
              </w:r>
              <w:r>
                <w:tab/>
                <w:t>VOORSTEL EIGEN BIJDRAGE KOSTEN STRAFVORDERING</w:t>
              </w:r>
            </w:p>
            <w:p w:rsidR="00EC0603" w:rsidP="00E564E1" w:rsidRDefault="007957EE"/>
            <w:p w:rsidR="00EC0603" w:rsidP="00E564E1" w:rsidRDefault="00FB2069">
              <w:pPr>
                <w:rPr>
                  <w:u w:val="single"/>
                </w:rPr>
              </w:pPr>
              <w:r w:rsidRPr="00E564E1">
                <w:t>7.</w:t>
              </w:r>
              <w:r w:rsidRPr="00E564E1">
                <w:tab/>
              </w:r>
              <w:r>
                <w:rPr>
                  <w:u w:val="single"/>
                </w:rPr>
                <w:t>Verhouding tot artikel 6 EVRM</w:t>
              </w:r>
            </w:p>
            <w:p w:rsidR="00EC0603" w:rsidP="00E564E1" w:rsidRDefault="007957EE">
              <w:pPr>
                <w:rPr>
                  <w:u w:val="single"/>
                </w:rPr>
              </w:pPr>
            </w:p>
            <w:p w:rsidR="00EC0603" w:rsidP="00E564E1" w:rsidRDefault="00FB2069">
              <w:r>
                <w:t xml:space="preserve">In de toelichting wordt gemotiveerd waarom bij het opleggen van een eigen bijdrage voor het strafproces geen sprake is van een straf in de zin van artikel 6 EVRM. Uit de jurisprudentie van het EHRM blijkt dat hierbij de volgende criteria van belang zijn: de karakterisering naar nationaal recht, de aard van de maatregel en de </w:t>
              </w:r>
              <w:r w:rsidRPr="00FE2C0B">
                <w:t>zwaarte van de maatregel</w:t>
              </w:r>
              <w:r>
                <w:t>.</w:t>
              </w:r>
              <w:r>
                <w:rPr>
                  <w:rStyle w:val="Voetnootmarkering"/>
                </w:rPr>
                <w:footnoteReference w:id="47"/>
              </w:r>
              <w:r w:rsidRPr="00FE2C0B">
                <w:t xml:space="preserve"> </w:t>
              </w:r>
              <w:r>
                <w:t xml:space="preserve">Deze criteria worden in de toelichting genoemd en kort besproken in relatie tot het voorstel. Met betrekking tot de zwaarte van de maatregel wordt uitsluitend gesteld dat het slechts gaat om een doorberekening van een gedeelte van de kosten. </w:t>
              </w:r>
            </w:p>
            <w:p w:rsidR="00EC0603" w:rsidP="00E564E1" w:rsidRDefault="007957EE"/>
            <w:p w:rsidR="00EC0603" w:rsidP="00E564E1" w:rsidRDefault="00FB2069">
              <w:pPr>
                <w:rPr>
                  <w:u w:val="single"/>
                </w:rPr>
              </w:pPr>
              <w:r>
                <w:t xml:space="preserve">Uit de impactanalyse ‘bijdrageregelingen veroordeelden’ blijkt dat het gaat om een eigen bijdrage van maximaal </w:t>
              </w:r>
              <w:r w:rsidRPr="00FE2C0B">
                <w:t>€</w:t>
              </w:r>
              <w:r>
                <w:t> </w:t>
              </w:r>
              <w:r w:rsidRPr="00FE2C0B">
                <w:t>2400 voor een veroordeling door een meervoudige kamer van de rechtbank</w:t>
              </w:r>
              <w:r>
                <w:t>. Het gaat hier – mede gelet op de financiële positie van veel veroordeelden - om een relatief hoog bedrag terwijl de procedure die leidt tot de betalingsverplichting niet door de betrokkene is ingesteld. In dat verband merkt de Afdeling op dat de toelichting niet ingaat op de verhouding tussen de genoemde maximale eigen bijdrage en het criterium van de zwaarte van de op te leggen maatregel zoals toegepast in de rechtspraak van het EHRM inzake artikel 6 EVRM. Een adequate toelichting is hier te meer van belang omdat volgens deze rechtspraak onder omstandigheden louter op grond van de zwaarte van de maatregel wordt aangenomen dat sprake is van een ‘criminal charge’ in de zin van artikel 6, eerste lid, EVRM.</w:t>
              </w:r>
              <w:r>
                <w:rPr>
                  <w:rStyle w:val="Voetnootmarkering"/>
                </w:rPr>
                <w:footnoteReference w:id="48"/>
              </w:r>
            </w:p>
            <w:p w:rsidR="00EC0603" w:rsidP="00E564E1" w:rsidRDefault="007957EE">
              <w:pPr>
                <w:rPr>
                  <w:u w:val="single"/>
                </w:rPr>
              </w:pPr>
            </w:p>
            <w:p w:rsidRPr="00FE2C0B" w:rsidR="00EC0603" w:rsidP="00E564E1" w:rsidRDefault="00FB2069">
              <w:r>
                <w:t>De Afdeling adviseert in de toelichting op het bovenstaande in te gaan.</w:t>
              </w:r>
            </w:p>
            <w:p w:rsidR="00EC0603" w:rsidP="00E564E1" w:rsidRDefault="007957EE"/>
            <w:p w:rsidR="00EC0603" w:rsidP="00E564E1" w:rsidRDefault="00FB2069">
              <w:pPr>
                <w:rPr>
                  <w:u w:val="single"/>
                </w:rPr>
              </w:pPr>
              <w:r>
                <w:t>8.</w:t>
              </w:r>
              <w:r>
                <w:tab/>
              </w:r>
              <w:r>
                <w:rPr>
                  <w:u w:val="single"/>
                </w:rPr>
                <w:t>Procesbeslissing verzet tegen OM beschikking</w:t>
              </w:r>
            </w:p>
            <w:p w:rsidR="00EC0603" w:rsidP="00E564E1" w:rsidRDefault="007957EE">
              <w:pPr>
                <w:rPr>
                  <w:u w:val="single"/>
                </w:rPr>
              </w:pPr>
            </w:p>
            <w:p w:rsidR="00EC0603" w:rsidP="00E564E1" w:rsidRDefault="00FB2069">
              <w:r>
                <w:t>Het uitgangspunt van het voorstel kosten strafvordering is dat voorkomen moet worden dat de verdachte zich belemmerd voelt bij het maken van keuzes met betrekking tot het strafproces. Om die reden wordt gekozen voor een forfaitair bedrag.</w:t>
              </w:r>
              <w:r>
                <w:rPr>
                  <w:rStyle w:val="Voetnootmarkering"/>
                </w:rPr>
                <w:footnoteReference w:id="49"/>
              </w:r>
              <w:r>
                <w:t xml:space="preserve"> De Afdeling onderschrijft het belang dat een verdachte niet mede vanuit een oogpunt van mogelijke kosten in de vorm van een eigen bijdrage zijn proceskeuzes zou moeten maken. Zij kan zich daarom vinden in dit uitgangspunt van het voorstel. </w:t>
              </w:r>
            </w:p>
            <w:p w:rsidR="00EC0603" w:rsidP="00E564E1" w:rsidRDefault="007957EE"/>
            <w:p w:rsidR="0031089B" w:rsidP="00EC0603" w:rsidRDefault="00FB2069">
              <w:r>
                <w:t>Van dit uitgangspunt wordt echter afgeweken in het voorstel als het gaat om een verdachte die een strafbeschikking opgelegd krijgt en daartegen in verzet gaat. In geval de verdachte de strafbeschikking accepteert, is er geen sprake van een eigen bijdrage in de kosten van de strafvordering. Gaat hij echter in verzet en wordt hij veroordeeld, dan wordt van hem een eigen bijdrage gevorderd.</w:t>
              </w:r>
              <w:r>
                <w:rPr>
                  <w:rStyle w:val="Voetnootmarkering"/>
                </w:rPr>
                <w:footnoteReference w:id="50"/>
              </w:r>
              <w:r>
                <w:t xml:space="preserve"> Dit zal er naar verwachting toe leiden dat een verdachte die de afweging moet maken of hij tegen een strafbeschikking in verzet gaat, hierbij de eventuele eigen bijdrage in geval van veroordeling zal betrekken. In dat geval is er – in strijd met het bovengenoemde uitgangspunt - toch sprake van een mogelijke invloed van het voorstel op de proceskeuzes. In de toelichting wordt de keuze om bij verzet tegen een strafbeschikking toch een eigen bijdrage op te leggen onder meer gemotiveerd door de hogere kosten in geval van een procedure voor de strafrechter.</w:t>
              </w:r>
              <w:r>
                <w:rPr>
                  <w:rStyle w:val="Voetnootmarkering"/>
                </w:rPr>
                <w:footnoteReference w:id="51"/>
              </w:r>
              <w:r>
                <w:t xml:space="preserve"> De Afdeling wijst erop dat in hogere kosten die voortvloeien uit bepaalde proceskeuzes door bijvoorbeeld het instellen van hoger beroep of cassatie juist geen aanleiding kan worden gezien voor het opleggen van een hogere eigen bijdrage, vanwege het hiervoor genoemde uitgangspunt. De Afdeling adviseert in de toelichting nader te motiveren waarom het genoemde uitgangspunt niet wordt toegepast op de keuze van een verdachte om in verzet te gaan tegen een strafbeschikking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A517C" w:rsidRDefault="00FB2069">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0A517C"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CC" w:rsidRDefault="003128CC" w:rsidP="005B3E03">
      <w:r>
        <w:separator/>
      </w:r>
    </w:p>
    <w:p w:rsidR="003128CC" w:rsidRDefault="003128CC"/>
  </w:endnote>
  <w:endnote w:type="continuationSeparator" w:id="0">
    <w:p w:rsidR="003128CC" w:rsidRDefault="003128CC" w:rsidP="005B3E03">
      <w:r>
        <w:continuationSeparator/>
      </w:r>
    </w:p>
    <w:p w:rsidR="003128CC" w:rsidRDefault="0031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8158095" wp14:editId="2BF2935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CC" w:rsidRDefault="003128CC" w:rsidP="005B3E03">
      <w:r>
        <w:separator/>
      </w:r>
    </w:p>
    <w:p w:rsidR="003128CC" w:rsidRDefault="003128CC"/>
  </w:footnote>
  <w:footnote w:type="continuationSeparator" w:id="0">
    <w:p w:rsidR="003128CC" w:rsidRDefault="003128CC" w:rsidP="005B3E03">
      <w:r>
        <w:continuationSeparator/>
      </w:r>
    </w:p>
    <w:p w:rsidR="003128CC" w:rsidRDefault="003128CC"/>
  </w:footnote>
  <w:footnote w:id="1">
    <w:p w:rsidR="00EC0603" w:rsidRDefault="00FB2069" w:rsidP="00EC0603">
      <w:pPr>
        <w:pStyle w:val="Voetnoottekst"/>
      </w:pPr>
      <w:r>
        <w:rPr>
          <w:rStyle w:val="Voetnootmarkering"/>
        </w:rPr>
        <w:footnoteRef/>
      </w:r>
      <w:r>
        <w:tab/>
        <w:t xml:space="preserve">Het gaat onder meer om de kosten gemaakt door de politie, het openbaar ministerie, het </w:t>
      </w:r>
    </w:p>
    <w:p w:rsidR="00EC0603" w:rsidRDefault="00FB2069" w:rsidP="00EC0603">
      <w:pPr>
        <w:pStyle w:val="Voetnoottekst"/>
      </w:pPr>
      <w:r>
        <w:tab/>
        <w:t xml:space="preserve">Nederlands forensisch instituut, het Nederlands Instituut voor Forensische psychiatrie en </w:t>
      </w:r>
    </w:p>
    <w:p w:rsidR="00EC0603" w:rsidRDefault="00FB2069" w:rsidP="00EC0603">
      <w:pPr>
        <w:pStyle w:val="Voetnoottekst"/>
      </w:pPr>
      <w:r>
        <w:tab/>
        <w:t xml:space="preserve">psychologie, de kosten gemaakt door de reclassering ten behoeve van de advisering van de </w:t>
      </w:r>
    </w:p>
    <w:p w:rsidR="00EC0603" w:rsidRDefault="00FB2069" w:rsidP="00EC0603">
      <w:pPr>
        <w:pStyle w:val="Voetnoottekst"/>
      </w:pPr>
      <w:r>
        <w:tab/>
        <w:t>rechter en de kosten van de berechting.</w:t>
      </w:r>
    </w:p>
  </w:footnote>
  <w:footnote w:id="2">
    <w:p w:rsidR="00EC0603" w:rsidRDefault="00FB2069" w:rsidP="00EC0603">
      <w:pPr>
        <w:pStyle w:val="Voetnoottekst"/>
      </w:pPr>
      <w:r>
        <w:rPr>
          <w:rStyle w:val="Voetnootmarkering"/>
        </w:rPr>
        <w:footnoteRef/>
      </w:r>
      <w:r>
        <w:tab/>
        <w:t>Toelichting voorstel kosten strafvordering, paragraaf 1. Inleiding.</w:t>
      </w:r>
      <w:r>
        <w:tab/>
        <w:t xml:space="preserve"> </w:t>
      </w:r>
    </w:p>
  </w:footnote>
  <w:footnote w:id="3">
    <w:p w:rsidR="00EC0603" w:rsidRDefault="00FB2069" w:rsidP="00EC0603">
      <w:pPr>
        <w:pStyle w:val="Voetnoottekst"/>
      </w:pPr>
      <w:r>
        <w:rPr>
          <w:rStyle w:val="Voetnootmarkering"/>
        </w:rPr>
        <w:footnoteRef/>
      </w:r>
      <w:r>
        <w:tab/>
        <w:t xml:space="preserve">De periode van 2 jaar en de voorgestelde bedragen blijken niet uit het wetsvoorstel, wel uit de toelichting. </w:t>
      </w:r>
    </w:p>
  </w:footnote>
  <w:footnote w:id="4">
    <w:p w:rsidR="00EC0603" w:rsidRDefault="00FB2069" w:rsidP="00EC0603">
      <w:pPr>
        <w:pStyle w:val="Voetnoottekst"/>
      </w:pPr>
      <w:r>
        <w:rPr>
          <w:rStyle w:val="Voetnootmarkering"/>
        </w:rPr>
        <w:footnoteRef/>
      </w:r>
      <w:r>
        <w:tab/>
        <w:t xml:space="preserve">Indien door de kantonrechter een boete wordt opgelegd, is het forfait niet hoger dan 50% van het boetebedrag. </w:t>
      </w:r>
    </w:p>
  </w:footnote>
  <w:footnote w:id="5">
    <w:p w:rsidR="00EC0603" w:rsidRDefault="00FB2069" w:rsidP="00EC0603">
      <w:pPr>
        <w:pStyle w:val="Voetnoottekst"/>
      </w:pPr>
      <w:r>
        <w:rPr>
          <w:rStyle w:val="Voetnootmarkering"/>
        </w:rPr>
        <w:footnoteRef/>
      </w:r>
      <w:r>
        <w:tab/>
        <w:t xml:space="preserve">Dit blijkt uit de aan de Afdeling advisering door het departement ter beschikking gestelde Impactanalyse ‘bijdrageregelingen veroordeelden’ uitgevoerd door het Bureau Significant (april 2014). </w:t>
      </w:r>
    </w:p>
  </w:footnote>
  <w:footnote w:id="6">
    <w:p w:rsidR="00EC0603" w:rsidRDefault="00FB2069" w:rsidP="00EC0603">
      <w:pPr>
        <w:pStyle w:val="Voetnoottekst"/>
      </w:pPr>
      <w:r>
        <w:rPr>
          <w:rStyle w:val="Voetnootmarkering"/>
        </w:rPr>
        <w:footnoteRef/>
      </w:r>
      <w:r>
        <w:tab/>
        <w:t>De inningsprocedure verloopt volgens titel 4.4. Algemene wet bestuursrecht.</w:t>
      </w:r>
    </w:p>
  </w:footnote>
  <w:footnote w:id="7">
    <w:p w:rsidR="00EC0603" w:rsidRDefault="00FB2069" w:rsidP="00EC0603">
      <w:pPr>
        <w:pStyle w:val="Voetnoottekst"/>
      </w:pPr>
      <w:r>
        <w:rPr>
          <w:rStyle w:val="Voetnootmarkering"/>
        </w:rPr>
        <w:footnoteRef/>
      </w:r>
      <w:r>
        <w:tab/>
        <w:t>U</w:t>
      </w:r>
      <w:r w:rsidRPr="00E86F0E">
        <w:t>it de monitor nazorg van ex-gedetineerden</w:t>
      </w:r>
      <w:r>
        <w:t xml:space="preserve"> (Derde monitor nazorg ex-gedetineerden van het WODC (2012), de meest recente monitor) blijkt dat </w:t>
      </w:r>
      <w:r w:rsidRPr="00E86F0E">
        <w:t>bijna drie kwart (73,1%) van de ex-gedetineerden voor aanvang detentie schulden</w:t>
      </w:r>
      <w:r>
        <w:t xml:space="preserve"> </w:t>
      </w:r>
      <w:r w:rsidRPr="00E86F0E">
        <w:t>heeft, waarvan 31% tussen de €</w:t>
      </w:r>
      <w:r>
        <w:t> </w:t>
      </w:r>
      <w:r w:rsidRPr="00E86F0E">
        <w:t>1000-5000 schuld en 25% tussen de €</w:t>
      </w:r>
      <w:r>
        <w:t> </w:t>
      </w:r>
      <w:r w:rsidRPr="00E86F0E">
        <w:t xml:space="preserve">10 000-50 000; </w:t>
      </w:r>
    </w:p>
  </w:footnote>
  <w:footnote w:id="8">
    <w:p w:rsidR="00EC0603" w:rsidRDefault="00FB2069" w:rsidP="00EC0603">
      <w:pPr>
        <w:pStyle w:val="Voetnoottekst"/>
      </w:pPr>
      <w:r>
        <w:rPr>
          <w:rStyle w:val="Voetnootmarkering"/>
        </w:rPr>
        <w:footnoteRef/>
      </w:r>
      <w:r>
        <w:tab/>
      </w:r>
      <w:r w:rsidRPr="00E86F0E">
        <w:t>Uit de monitor nazorg van ex-gedetineerden</w:t>
      </w:r>
      <w:r>
        <w:t xml:space="preserve"> blijkt dat v</w:t>
      </w:r>
      <w:r w:rsidRPr="00E86F0E">
        <w:t>oor de aanvang van de detentie 27% van de gedetineerden een inkomen uit arbeid heeft en 33,4% een bijstandsuitkering; bij ontslag uit detentie heeft 61,</w:t>
      </w:r>
      <w:r>
        <w:t>7% van de gedetineerden inkomen. 50% van de gedetineerden die onder toezicht staan van de reclassering, heeft geen werk. V</w:t>
      </w:r>
      <w:r w:rsidRPr="00E86F0E">
        <w:t>oor detentie wonen de meeste ex-gedetineerden in een huurwoning of bij familie. Bij ontslag uit detentie wonen meer mensen bij familie en in de maatschappelijke opvang dan voor detentie</w:t>
      </w:r>
      <w:r>
        <w:t>.</w:t>
      </w:r>
    </w:p>
    <w:p w:rsidR="00EC0603" w:rsidRDefault="00FB2069" w:rsidP="00EC0603">
      <w:pPr>
        <w:pStyle w:val="Voetnoottekst"/>
      </w:pPr>
      <w:r>
        <w:tab/>
        <w:t xml:space="preserve">Uit een </w:t>
      </w:r>
      <w:r w:rsidRPr="00C811DE">
        <w:t xml:space="preserve">quick scan van de Belastingdienst </w:t>
      </w:r>
      <w:r>
        <w:t xml:space="preserve">over </w:t>
      </w:r>
      <w:r w:rsidRPr="00C811DE">
        <w:t>het inkomen in het jaar 2006 – over de periode buiten detentie – van circa 41 000 gedetineerden</w:t>
      </w:r>
      <w:r>
        <w:t xml:space="preserve"> bleek dat c</w:t>
      </w:r>
      <w:r w:rsidRPr="00C811DE">
        <w:t xml:space="preserve">irca 19 000 </w:t>
      </w:r>
      <w:r>
        <w:t xml:space="preserve">van hen </w:t>
      </w:r>
      <w:r w:rsidRPr="00C811DE">
        <w:t>een jaarinkomen he</w:t>
      </w:r>
      <w:r>
        <w:t>bben</w:t>
      </w:r>
      <w:r w:rsidRPr="00C811DE">
        <w:t xml:space="preserve"> van minder dan </w:t>
      </w:r>
      <w:r>
        <w:t>€ 10.000</w:t>
      </w:r>
      <w:r w:rsidRPr="00C811DE">
        <w:t xml:space="preserve"> (het bijstandsniveau). Ongeveer 12 000 gedetineerden hebben een inkomen tussen de </w:t>
      </w:r>
      <w:r>
        <w:t>€ 10.000 en 29.501</w:t>
      </w:r>
      <w:r w:rsidRPr="00C811DE">
        <w:t xml:space="preserve"> (het bruto modale inkomen in 2006). Het is aannemelijk om te veronderstellen dat binnen deze categorie het zwaartepunt eerder ligt bij een inkomen tussen de </w:t>
      </w:r>
      <w:r>
        <w:t>€ 10.000 en de 20.000</w:t>
      </w:r>
      <w:r w:rsidRPr="00C811DE">
        <w:t xml:space="preserve">, dan tussen de </w:t>
      </w:r>
      <w:r>
        <w:t>€ 20.000 en de 29.501</w:t>
      </w:r>
      <w:r w:rsidRPr="00C811DE">
        <w:t>. Ongeveer 700 gedetineerden hebben een bovenmodaal inkomen.</w:t>
      </w:r>
      <w:r>
        <w:t xml:space="preserve"> Kamerstukken II 2007/08, 31 200 VI, nr. 109, blz. 4. </w:t>
      </w:r>
    </w:p>
  </w:footnote>
  <w:footnote w:id="9">
    <w:p w:rsidR="00EC0603" w:rsidRDefault="00FB2069" w:rsidP="00EC0603">
      <w:pPr>
        <w:pStyle w:val="Voetnoottekst"/>
      </w:pPr>
      <w:r>
        <w:rPr>
          <w:rStyle w:val="Voetnootmarkering"/>
        </w:rPr>
        <w:footnoteRef/>
      </w:r>
      <w:r>
        <w:tab/>
        <w:t xml:space="preserve">Advies Reclassering Nederland d.d. 10 maart 2014, blz. 2. </w:t>
      </w:r>
      <w:r>
        <w:tab/>
        <w:t xml:space="preserve"> </w:t>
      </w:r>
    </w:p>
  </w:footnote>
  <w:footnote w:id="10">
    <w:p w:rsidR="00EC0603" w:rsidRDefault="00FB2069" w:rsidP="00EC0603">
      <w:pPr>
        <w:pStyle w:val="Voetnoottekst"/>
      </w:pPr>
      <w:r>
        <w:rPr>
          <w:rStyle w:val="Voetnootmarkering"/>
        </w:rPr>
        <w:footnoteRef/>
      </w:r>
      <w:r>
        <w:tab/>
        <w:t xml:space="preserve">Gedetineerden kunnen maximaal €15 en tbs-gestelden maximaal € 33 per week verdienen. Advies Raad voor de Strafrechtstoepassing en Jeugdbescherming d.d. 7 maart 2014, blz. 7. </w:t>
      </w:r>
    </w:p>
  </w:footnote>
  <w:footnote w:id="11">
    <w:p w:rsidR="00EC0603" w:rsidRDefault="00FB2069" w:rsidP="00EC0603">
      <w:pPr>
        <w:pStyle w:val="Voetnoottekst"/>
      </w:pPr>
      <w:r>
        <w:rPr>
          <w:rStyle w:val="Voetnootmarkering"/>
        </w:rPr>
        <w:footnoteRef/>
      </w:r>
      <w:r>
        <w:tab/>
        <w:t xml:space="preserve">Advies NVvR, blz. 3. </w:t>
      </w:r>
    </w:p>
  </w:footnote>
  <w:footnote w:id="12">
    <w:p w:rsidR="00EC0603" w:rsidRDefault="00FB2069" w:rsidP="00EC0603">
      <w:pPr>
        <w:pStyle w:val="Voetnoottekst"/>
      </w:pPr>
      <w:r>
        <w:rPr>
          <w:rStyle w:val="Voetnootmarkering"/>
        </w:rPr>
        <w:footnoteRef/>
      </w:r>
      <w:r>
        <w:tab/>
        <w:t>Kamerstukken II 2007/08, 31 200 VI, nr. 109, blz. 4. Brief van de Staatssecretaris van Justitie aan de Voorzitter van de Tweede Kamer.</w:t>
      </w:r>
    </w:p>
  </w:footnote>
  <w:footnote w:id="13">
    <w:p w:rsidR="00EC0603" w:rsidRDefault="00FB2069" w:rsidP="00EC0603">
      <w:pPr>
        <w:pStyle w:val="Voetnoottekst"/>
      </w:pPr>
      <w:r>
        <w:rPr>
          <w:rStyle w:val="Voetnootmarkering"/>
        </w:rPr>
        <w:footnoteRef/>
      </w:r>
      <w:r>
        <w:tab/>
        <w:t xml:space="preserve">Kamerstukken II 2007/08, 31 200 VI, nr. 109, blz. 3. </w:t>
      </w:r>
    </w:p>
  </w:footnote>
  <w:footnote w:id="14">
    <w:p w:rsidR="00EC0603" w:rsidRDefault="00FB2069" w:rsidP="00EC0603">
      <w:pPr>
        <w:pStyle w:val="Voetnoottekst"/>
      </w:pPr>
      <w:r>
        <w:rPr>
          <w:rStyle w:val="Voetnootmarkering"/>
        </w:rPr>
        <w:footnoteRef/>
      </w:r>
      <w:r>
        <w:tab/>
        <w:t xml:space="preserve">Kamerstukken II 2007/08, 31 200 VI, nr. 109, blz. 3. </w:t>
      </w:r>
    </w:p>
  </w:footnote>
  <w:footnote w:id="15">
    <w:p w:rsidR="00EC0603" w:rsidRDefault="00FB2069" w:rsidP="00EC0603">
      <w:pPr>
        <w:pStyle w:val="Voetnoottekst"/>
      </w:pPr>
      <w:r>
        <w:rPr>
          <w:rStyle w:val="Voetnootmarkering"/>
        </w:rPr>
        <w:footnoteRef/>
      </w:r>
      <w:r>
        <w:t xml:space="preserve"> </w:t>
      </w:r>
      <w:r>
        <w:tab/>
        <w:t xml:space="preserve">B. </w:t>
      </w:r>
      <w:r w:rsidRPr="00FE2C0B">
        <w:t>Vogel</w:t>
      </w:r>
      <w:r>
        <w:t>v</w:t>
      </w:r>
      <w:r w:rsidRPr="00FE2C0B">
        <w:t>ang</w:t>
      </w:r>
      <w:r>
        <w:t xml:space="preserve"> e.a., ‘</w:t>
      </w:r>
      <w:r w:rsidRPr="00FE2C0B">
        <w:t>Prevalentie van criminogene factoren bij mannelijke gedetineerden in Nederland</w:t>
      </w:r>
      <w:r>
        <w:t>’, WODC 2003.</w:t>
      </w:r>
    </w:p>
  </w:footnote>
  <w:footnote w:id="16">
    <w:p w:rsidR="00EC0603" w:rsidRDefault="00FB2069" w:rsidP="00EC0603">
      <w:pPr>
        <w:pStyle w:val="Voetnoottekst"/>
      </w:pPr>
      <w:r>
        <w:rPr>
          <w:rStyle w:val="Voetnootmarkering"/>
        </w:rPr>
        <w:footnoteRef/>
      </w:r>
      <w:r>
        <w:tab/>
        <w:t xml:space="preserve">Advies, NVvR, blz. 3. </w:t>
      </w:r>
    </w:p>
  </w:footnote>
  <w:footnote w:id="17">
    <w:p w:rsidR="00535C7A" w:rsidRDefault="00FB2069" w:rsidP="00535C7A">
      <w:pPr>
        <w:pStyle w:val="Voetnoottekst"/>
      </w:pPr>
      <w:r>
        <w:rPr>
          <w:rStyle w:val="Voetnootmarkering"/>
        </w:rPr>
        <w:footnoteRef/>
      </w:r>
      <w:r>
        <w:tab/>
        <w:t>Kostenveroordeling in strafzaken. Een rechtsvergelijkend onderzoek naar de veroordeling van de</w:t>
      </w:r>
    </w:p>
    <w:p w:rsidR="00535C7A" w:rsidRDefault="00FB2069" w:rsidP="00535C7A">
      <w:pPr>
        <w:pStyle w:val="Voetnoottekst"/>
      </w:pPr>
      <w:r>
        <w:tab/>
        <w:t>verdachte in de proceskosten in Duitsland en Engeland. Prof. mr. P.J.P. Tak, Nijmegen, juli 2012.</w:t>
      </w:r>
    </w:p>
  </w:footnote>
  <w:footnote w:id="18">
    <w:p w:rsidR="00535C7A" w:rsidRDefault="00FB2069" w:rsidP="00535C7A">
      <w:pPr>
        <w:pStyle w:val="Voetnoottekst"/>
      </w:pPr>
      <w:r>
        <w:rPr>
          <w:rStyle w:val="Voetnootmarkering"/>
        </w:rPr>
        <w:footnoteRef/>
      </w:r>
      <w:r>
        <w:tab/>
        <w:t xml:space="preserve">Toelichting voorstel bijdrage verblijf, paragraaf </w:t>
      </w:r>
      <w:r w:rsidRPr="002C0B09">
        <w:t>5.1 Resocialisatie en draagkracht</w:t>
      </w:r>
      <w:r>
        <w:t>.</w:t>
      </w:r>
      <w:r w:rsidRPr="002C0B09">
        <w:t xml:space="preserve"> </w:t>
      </w:r>
      <w:r>
        <w:tab/>
        <w:t xml:space="preserve"> </w:t>
      </w:r>
    </w:p>
  </w:footnote>
  <w:footnote w:id="19">
    <w:p w:rsidR="00535C7A" w:rsidRDefault="00FB2069" w:rsidP="00535C7A">
      <w:pPr>
        <w:pStyle w:val="Voetnoottekst"/>
      </w:pPr>
      <w:r>
        <w:rPr>
          <w:rStyle w:val="Voetnootmarkering"/>
        </w:rPr>
        <w:footnoteRef/>
      </w:r>
      <w:r>
        <w:tab/>
        <w:t xml:space="preserve">Rapport blz. 41. </w:t>
      </w:r>
    </w:p>
  </w:footnote>
  <w:footnote w:id="20">
    <w:p w:rsidR="00EC0603" w:rsidRDefault="00FB2069" w:rsidP="00EC0603">
      <w:pPr>
        <w:pStyle w:val="Voetnoottekst"/>
      </w:pPr>
      <w:r>
        <w:rPr>
          <w:rStyle w:val="Voetnootmarkering"/>
        </w:rPr>
        <w:footnoteRef/>
      </w:r>
      <w:r>
        <w:tab/>
        <w:t>Toelichting voorstel kosten strafvordering, paragraaf 4.3 Vaststelling en inning en paragraaf 6.1 Resocialisatie en draagkracht.</w:t>
      </w:r>
    </w:p>
  </w:footnote>
  <w:footnote w:id="21">
    <w:p w:rsidR="00535C7A" w:rsidRDefault="00FB2069" w:rsidP="00535C7A">
      <w:pPr>
        <w:pStyle w:val="Voetnoottekst"/>
      </w:pPr>
      <w:r>
        <w:rPr>
          <w:rStyle w:val="Voetnootmarkering"/>
        </w:rPr>
        <w:footnoteRef/>
      </w:r>
      <w:r>
        <w:tab/>
        <w:t>Artikel 4:111 Awb. De duur van de verlenging is gekoppeld aan de tijd gedurende welke de schuldenaar uitstel van betaling heeft.</w:t>
      </w:r>
    </w:p>
  </w:footnote>
  <w:footnote w:id="22">
    <w:p w:rsidR="00EC0603" w:rsidRDefault="00FB2069" w:rsidP="00EC0603">
      <w:pPr>
        <w:pStyle w:val="Voetnoottekst"/>
      </w:pPr>
      <w:r>
        <w:rPr>
          <w:rStyle w:val="Voetnootmarkering"/>
        </w:rPr>
        <w:footnoteRef/>
      </w:r>
      <w:r>
        <w:tab/>
        <w:t>Zie Kamerstukken II 2012/13, 29 270, nr. 74. De VNG vermeldt in haar advies dat de voorgestelde eigen bijdrage kan leiden tot armoedeval en verminderde motivati</w:t>
      </w:r>
      <w:r w:rsidRPr="002C0B09">
        <w:t>e bij het zoek</w:t>
      </w:r>
      <w:r>
        <w:t>e</w:t>
      </w:r>
      <w:r w:rsidRPr="002C0B09">
        <w:t>n naar we</w:t>
      </w:r>
      <w:r>
        <w:t>rk.</w:t>
      </w:r>
      <w:r w:rsidRPr="002C0B09">
        <w:t xml:space="preserve"> </w:t>
      </w:r>
      <w:r>
        <w:t>Advies VNG d.d. 6 maart 2014, blz. 1.</w:t>
      </w:r>
    </w:p>
  </w:footnote>
  <w:footnote w:id="23">
    <w:p w:rsidR="00EC0603" w:rsidRDefault="00FB2069" w:rsidP="00EC0603">
      <w:pPr>
        <w:pStyle w:val="Voetnoottekst"/>
      </w:pPr>
      <w:r>
        <w:rPr>
          <w:rStyle w:val="Voetnootmarkering"/>
        </w:rPr>
        <w:footnoteRef/>
      </w:r>
      <w:r>
        <w:tab/>
        <w:t xml:space="preserve">Zie Derde meting van de monitor nazorg ex-gedetineerden, bijlage bij </w:t>
      </w:r>
      <w:r w:rsidRPr="00FE2C0B">
        <w:t>Kamerstukken II 2012/13, 29 270, nr. 74</w:t>
      </w:r>
      <w:r>
        <w:t xml:space="preserve"> en het a</w:t>
      </w:r>
      <w:r w:rsidRPr="002E4DAC">
        <w:t xml:space="preserve">dvies </w:t>
      </w:r>
      <w:r>
        <w:t xml:space="preserve">van </w:t>
      </w:r>
      <w:r w:rsidRPr="002E4DAC">
        <w:t xml:space="preserve">Reclassering Nederland d.d. 10 maart 2014, blz. 2. </w:t>
      </w:r>
    </w:p>
  </w:footnote>
  <w:footnote w:id="24">
    <w:p w:rsidR="00EC0603" w:rsidRDefault="00FB2069" w:rsidP="00EC0603">
      <w:pPr>
        <w:pStyle w:val="Voetnoottekst"/>
      </w:pPr>
      <w:r>
        <w:rPr>
          <w:rStyle w:val="Voetnootmarkering"/>
        </w:rPr>
        <w:footnoteRef/>
      </w:r>
      <w:r>
        <w:tab/>
        <w:t>A</w:t>
      </w:r>
      <w:r w:rsidRPr="002E4DAC">
        <w:t xml:space="preserve">dvies Reclassering Nederland d.d. 10 maart 2014, blz. 2. </w:t>
      </w:r>
    </w:p>
  </w:footnote>
  <w:footnote w:id="25">
    <w:p w:rsidR="00EC0603" w:rsidRDefault="00FB2069" w:rsidP="00EC0603">
      <w:pPr>
        <w:pStyle w:val="Voetnoottekst"/>
      </w:pPr>
      <w:r>
        <w:rPr>
          <w:rStyle w:val="Voetnootmarkering"/>
        </w:rPr>
        <w:footnoteRef/>
      </w:r>
      <w:r>
        <w:tab/>
        <w:t xml:space="preserve">Advies Nederlandse Vereniging voor Rechtspraak d.d. 20 maart 2014, blz. 3. </w:t>
      </w:r>
    </w:p>
  </w:footnote>
  <w:footnote w:id="26">
    <w:p w:rsidR="00535C7A" w:rsidRDefault="00FB2069">
      <w:pPr>
        <w:pStyle w:val="Voetnoottekst"/>
      </w:pPr>
      <w:r>
        <w:rPr>
          <w:rStyle w:val="Voetnootmarkering"/>
        </w:rPr>
        <w:footnoteRef/>
      </w:r>
      <w:r>
        <w:t xml:space="preserve"> </w:t>
      </w:r>
      <w:r>
        <w:tab/>
        <w:t>De Afdeling wijst erop dat sprake is van een andere situatie dan bij gezinnen die een eigen bijdrage moeten betalen op grond van de Wet op de Jeugdzorg omdat die eigen bijdrage aanzienlijk lager ligt dan wordt nu voorgesteld voor veroordeelde kinderen (zie hierover ook punt 6 van het advies).</w:t>
      </w:r>
    </w:p>
  </w:footnote>
  <w:footnote w:id="27">
    <w:p w:rsidR="00EC0603" w:rsidRDefault="00FB2069" w:rsidP="00EC0603">
      <w:pPr>
        <w:pStyle w:val="Voetnoottekst"/>
      </w:pPr>
      <w:r>
        <w:rPr>
          <w:rStyle w:val="Voetnootmarkering"/>
        </w:rPr>
        <w:footnoteRef/>
      </w:r>
      <w:r>
        <w:tab/>
        <w:t>A</w:t>
      </w:r>
      <w:r w:rsidRPr="002E4DAC">
        <w:t>dvies Reclassering Nederland d.d. 10 maart 2014, blz. 2.</w:t>
      </w:r>
    </w:p>
  </w:footnote>
  <w:footnote w:id="28">
    <w:p w:rsidR="00832C62" w:rsidRDefault="00FB2069" w:rsidP="00832C62">
      <w:pPr>
        <w:pStyle w:val="Voetnoottekst"/>
      </w:pPr>
      <w:r>
        <w:rPr>
          <w:rStyle w:val="Voetnootmarkering"/>
        </w:rPr>
        <w:footnoteRef/>
      </w:r>
      <w:r>
        <w:tab/>
        <w:t xml:space="preserve">Toelichting voorstel bijdrage verblijf, paragraaf 3. Inning. </w:t>
      </w:r>
    </w:p>
  </w:footnote>
  <w:footnote w:id="29">
    <w:p w:rsidR="00832C62" w:rsidRDefault="00FB2069" w:rsidP="00832C62">
      <w:pPr>
        <w:pStyle w:val="Voetnoottekst"/>
      </w:pPr>
      <w:r>
        <w:rPr>
          <w:rStyle w:val="Voetnootmarkering"/>
        </w:rPr>
        <w:footnoteRef/>
      </w:r>
      <w:r>
        <w:tab/>
        <w:t>Toelichting voorstel kosten strafvordering, paragraaf 4.3 Vaststelling en inning.</w:t>
      </w:r>
    </w:p>
  </w:footnote>
  <w:footnote w:id="30">
    <w:p w:rsidR="00832C62" w:rsidRDefault="00FB2069" w:rsidP="00832C62">
      <w:pPr>
        <w:pStyle w:val="Voetnoottekst"/>
      </w:pPr>
      <w:r>
        <w:rPr>
          <w:rStyle w:val="Voetnootmarkering"/>
        </w:rPr>
        <w:footnoteRef/>
      </w:r>
      <w:r>
        <w:tab/>
        <w:t xml:space="preserve">Impactanalyse door Bureau Significant, blz. 11. </w:t>
      </w:r>
    </w:p>
  </w:footnote>
  <w:footnote w:id="31">
    <w:p w:rsidR="00832C62" w:rsidRDefault="00FB2069" w:rsidP="00832C62">
      <w:pPr>
        <w:pStyle w:val="Voetnoottekst"/>
      </w:pPr>
      <w:r>
        <w:rPr>
          <w:rStyle w:val="Voetnootmarkering"/>
        </w:rPr>
        <w:footnoteRef/>
      </w:r>
      <w:r>
        <w:tab/>
        <w:t xml:space="preserve">Impactanalyse door Bureau Significant, blz. 14. </w:t>
      </w:r>
      <w:r>
        <w:tab/>
        <w:t xml:space="preserve"> </w:t>
      </w:r>
    </w:p>
  </w:footnote>
  <w:footnote w:id="32">
    <w:p w:rsidR="00832C62" w:rsidRDefault="00FB2069" w:rsidP="00832C62">
      <w:pPr>
        <w:pStyle w:val="Voetnoottekst"/>
      </w:pPr>
      <w:r>
        <w:rPr>
          <w:rStyle w:val="Voetnootmarkering"/>
        </w:rPr>
        <w:footnoteRef/>
      </w:r>
      <w:r>
        <w:tab/>
        <w:t xml:space="preserve">Toelichting voorstel bijdrage verblijf, paragraaf 4. Financiële consequenties. </w:t>
      </w:r>
    </w:p>
  </w:footnote>
  <w:footnote w:id="33">
    <w:p w:rsidR="00EC0603" w:rsidRDefault="00FB2069" w:rsidP="00EC0603">
      <w:pPr>
        <w:pStyle w:val="Voetnoottekst"/>
      </w:pPr>
      <w:r>
        <w:rPr>
          <w:rStyle w:val="Voetnootmarkering"/>
        </w:rPr>
        <w:footnoteRef/>
      </w:r>
      <w:r>
        <w:tab/>
        <w:t xml:space="preserve">Toelichting voorstel kosten strafvordering, paragraaf 6.6 Overige onderwerpen. </w:t>
      </w:r>
    </w:p>
  </w:footnote>
  <w:footnote w:id="34">
    <w:p w:rsidR="00EC0603" w:rsidRDefault="00FB2069" w:rsidP="00EC0603">
      <w:pPr>
        <w:pStyle w:val="Voetnoottekst"/>
      </w:pPr>
      <w:r>
        <w:rPr>
          <w:rStyle w:val="Voetnootmarkering"/>
        </w:rPr>
        <w:footnoteRef/>
      </w:r>
      <w:r>
        <w:tab/>
        <w:t xml:space="preserve">Toelichting voorstel kosten strafvordering, paragraaf 6.5 Uitvoering en financiën. </w:t>
      </w:r>
    </w:p>
  </w:footnote>
  <w:footnote w:id="35">
    <w:p w:rsidR="00EC0603" w:rsidRDefault="00FB2069" w:rsidP="00EC0603">
      <w:pPr>
        <w:pStyle w:val="Voetnoottekst"/>
      </w:pPr>
      <w:r>
        <w:rPr>
          <w:rStyle w:val="Voetnootmarkering"/>
        </w:rPr>
        <w:footnoteRef/>
      </w:r>
      <w:r>
        <w:t xml:space="preserve"> </w:t>
      </w:r>
      <w:r>
        <w:tab/>
        <w:t xml:space="preserve">Zie artikel 7b van het voorstel eigen bijdrage voor verblijf in een justitiële inrichting. </w:t>
      </w:r>
    </w:p>
  </w:footnote>
  <w:footnote w:id="36">
    <w:p w:rsidR="00EC0603" w:rsidRDefault="00FB2069" w:rsidP="00EC0603">
      <w:pPr>
        <w:pStyle w:val="Voetnoottekst"/>
      </w:pPr>
      <w:r>
        <w:rPr>
          <w:rStyle w:val="Voetnootmarkering"/>
        </w:rPr>
        <w:footnoteRef/>
      </w:r>
      <w:r>
        <w:t xml:space="preserve"> </w:t>
      </w:r>
      <w:r>
        <w:tab/>
      </w:r>
      <w:r w:rsidRPr="00453E6D">
        <w:t xml:space="preserve">Zie ook aanwijzing 26 van de Aanwijzingen voor de regelgeving (Ar). </w:t>
      </w:r>
    </w:p>
  </w:footnote>
  <w:footnote w:id="37">
    <w:p w:rsidR="00EC0603" w:rsidRDefault="00FB2069" w:rsidP="00EC0603">
      <w:pPr>
        <w:pStyle w:val="Voetnoottekst"/>
      </w:pPr>
      <w:r>
        <w:rPr>
          <w:rStyle w:val="Voetnootmarkering"/>
        </w:rPr>
        <w:footnoteRef/>
      </w:r>
      <w:r>
        <w:t xml:space="preserve"> </w:t>
      </w:r>
      <w:r>
        <w:tab/>
        <w:t>Zie ook Ar 25.</w:t>
      </w:r>
    </w:p>
  </w:footnote>
  <w:footnote w:id="38">
    <w:p w:rsidR="00EC0603" w:rsidRDefault="00FB2069" w:rsidP="00EC0603">
      <w:pPr>
        <w:pStyle w:val="Voetnoottekst"/>
      </w:pPr>
      <w:r>
        <w:rPr>
          <w:rStyle w:val="Voetnootmarkering"/>
        </w:rPr>
        <w:footnoteRef/>
      </w:r>
      <w:r>
        <w:t xml:space="preserve"> </w:t>
      </w:r>
      <w:r>
        <w:tab/>
        <w:t xml:space="preserve">Toelichting voorstel kosten strafvordering, paragraaf 6.5, Uitvoering en financiën. </w:t>
      </w:r>
    </w:p>
  </w:footnote>
  <w:footnote w:id="39">
    <w:p w:rsidR="00535C7A" w:rsidRDefault="00FB2069" w:rsidP="00535C7A">
      <w:pPr>
        <w:pStyle w:val="Voetnoottekst"/>
      </w:pPr>
      <w:r>
        <w:rPr>
          <w:rStyle w:val="Voetnootmarkering"/>
        </w:rPr>
        <w:footnoteRef/>
      </w:r>
      <w:r>
        <w:t xml:space="preserve"> </w:t>
      </w:r>
      <w:r>
        <w:tab/>
        <w:t>Kamerstukken II, 2002/03, 28 870, nr. 3, blz. 43.</w:t>
      </w:r>
    </w:p>
  </w:footnote>
  <w:footnote w:id="40">
    <w:p w:rsidR="00535C7A" w:rsidRDefault="00FB2069" w:rsidP="00535C7A">
      <w:pPr>
        <w:pStyle w:val="Voetnoottekst"/>
      </w:pPr>
      <w:r>
        <w:rPr>
          <w:rStyle w:val="Voetnootmarkering"/>
        </w:rPr>
        <w:footnoteRef/>
      </w:r>
      <w:r>
        <w:t xml:space="preserve"> </w:t>
      </w:r>
      <w:r>
        <w:tab/>
        <w:t>Kamerstukken II, 1997/98, 26 063, nr. 3, blz. 1.</w:t>
      </w:r>
    </w:p>
  </w:footnote>
  <w:footnote w:id="41">
    <w:p w:rsidR="00535C7A" w:rsidRDefault="00FB2069" w:rsidP="00535C7A">
      <w:pPr>
        <w:pStyle w:val="Voetnoottekst"/>
      </w:pPr>
      <w:r>
        <w:rPr>
          <w:rStyle w:val="Voetnootmarkering"/>
        </w:rPr>
        <w:footnoteRef/>
      </w:r>
      <w:r>
        <w:t xml:space="preserve"> </w:t>
      </w:r>
      <w:r>
        <w:tab/>
        <w:t>Kamerstukken II, 1997/98, 26 063, nr. 3, blz. 3.</w:t>
      </w:r>
    </w:p>
  </w:footnote>
  <w:footnote w:id="42">
    <w:p w:rsidR="00EC0603" w:rsidRDefault="00FB2069" w:rsidP="00EC0603">
      <w:pPr>
        <w:pStyle w:val="Voetnoottekst"/>
      </w:pPr>
      <w:r>
        <w:rPr>
          <w:rStyle w:val="Voetnootmarkering"/>
        </w:rPr>
        <w:footnoteRef/>
      </w:r>
      <w:r>
        <w:t xml:space="preserve"> </w:t>
      </w:r>
      <w:r>
        <w:tab/>
        <w:t>Toelichting voorstel bijdrage verblijf, paragraaf 3, Inning.</w:t>
      </w:r>
    </w:p>
  </w:footnote>
  <w:footnote w:id="43">
    <w:p w:rsidR="00EC0603" w:rsidRDefault="00FB2069" w:rsidP="00EC0603">
      <w:pPr>
        <w:pStyle w:val="Voetnoottekst"/>
      </w:pPr>
      <w:r>
        <w:rPr>
          <w:rStyle w:val="Voetnootmarkering"/>
        </w:rPr>
        <w:footnoteRef/>
      </w:r>
      <w:r>
        <w:t xml:space="preserve"> </w:t>
      </w:r>
      <w:r>
        <w:tab/>
        <w:t>Toelichting voorstel bijdrage verblijf, paragraaf 4, Financiële consequenties.</w:t>
      </w:r>
    </w:p>
  </w:footnote>
  <w:footnote w:id="44">
    <w:p w:rsidR="00EC0603" w:rsidRDefault="00FB2069" w:rsidP="00EC0603">
      <w:pPr>
        <w:pStyle w:val="Voetnoottekst"/>
      </w:pPr>
      <w:r>
        <w:rPr>
          <w:rStyle w:val="Voetnootmarkering"/>
        </w:rPr>
        <w:footnoteRef/>
      </w:r>
      <w:r>
        <w:t xml:space="preserve"> </w:t>
      </w:r>
      <w:r>
        <w:tab/>
        <w:t>Toelichting voorstel bijdrage verblijf, paragraaf 2, Een eigen bijdrage voor gedetineerden, ter beschikking gestelden en ouders van jeugdigen.</w:t>
      </w:r>
    </w:p>
  </w:footnote>
  <w:footnote w:id="45">
    <w:p w:rsidR="00EC0603" w:rsidRDefault="00FB2069" w:rsidP="00EC0603">
      <w:pPr>
        <w:pStyle w:val="Voetnoottekst"/>
      </w:pPr>
      <w:r>
        <w:rPr>
          <w:rStyle w:val="Voetnootmarkering"/>
        </w:rPr>
        <w:footnoteRef/>
      </w:r>
      <w:r>
        <w:t xml:space="preserve"> </w:t>
      </w:r>
      <w:r>
        <w:tab/>
        <w:t>Zie hierover ook het advies van de Raad voor de rechtspraak van 21 maart 2014, blz. 5-6 en het advies van de Raad voor Strafrechtstoepassing en Jeugdbescherming van 7 maart 2014, blz. 11-12.</w:t>
      </w:r>
    </w:p>
  </w:footnote>
  <w:footnote w:id="46">
    <w:p w:rsidR="00EC0603" w:rsidRDefault="00FB2069" w:rsidP="00EC0603">
      <w:pPr>
        <w:pStyle w:val="Voetnoottekst"/>
      </w:pPr>
      <w:r>
        <w:rPr>
          <w:rStyle w:val="Voetnootmarkering"/>
        </w:rPr>
        <w:footnoteRef/>
      </w:r>
      <w:r>
        <w:t xml:space="preserve"> </w:t>
      </w:r>
      <w:r>
        <w:tab/>
      </w:r>
      <w:r w:rsidRPr="00453E6D">
        <w:t>Toelichting voorstel bijdrage verblijf, paragraaf 2, Een eigen bijdrage voor gedetineerden, ter beschikking gestelden en ouders van jeugdigen.</w:t>
      </w:r>
    </w:p>
  </w:footnote>
  <w:footnote w:id="47">
    <w:p w:rsidR="00EC0603" w:rsidRDefault="00FB2069" w:rsidP="00EC0603">
      <w:pPr>
        <w:pStyle w:val="Voetnoottekst"/>
      </w:pPr>
      <w:r>
        <w:rPr>
          <w:rStyle w:val="Voetnootmarkering"/>
        </w:rPr>
        <w:footnoteRef/>
      </w:r>
      <w:r>
        <w:t xml:space="preserve"> </w:t>
      </w:r>
      <w:r>
        <w:tab/>
        <w:t xml:space="preserve">EHRM, </w:t>
      </w:r>
      <w:r w:rsidRPr="00FE2C0B">
        <w:t>Zolotukhin</w:t>
      </w:r>
      <w:r>
        <w:t xml:space="preserve"> v. Rusland, nr. 14939/03, 10 februari 2009. Zie eerder EHRM, Engel v. Nederland nrs. 5100/71, 5101/71 en 5102/71 en EHRM, Öztürk v. Duitsland, nr. 85444/79, 21 februari 1984.</w:t>
      </w:r>
    </w:p>
  </w:footnote>
  <w:footnote w:id="48">
    <w:p w:rsidR="00EC0603" w:rsidRDefault="00FB2069" w:rsidP="00EC0603">
      <w:pPr>
        <w:pStyle w:val="Voetnoottekst"/>
      </w:pPr>
      <w:r>
        <w:rPr>
          <w:rStyle w:val="Voetnootmarkering"/>
        </w:rPr>
        <w:footnoteRef/>
      </w:r>
      <w:r>
        <w:t xml:space="preserve"> EHRM, Nilsson v. Zweden, nr. 73661/01, 13 december 2005. Zie ook EHRM, Maszni v. Roemenië, nr. 59892/00, 21 september 2006 en EHRM, Mihai Toma v. Roemenië, nr. 1051/06, 24 januari 2012.</w:t>
      </w:r>
    </w:p>
  </w:footnote>
  <w:footnote w:id="49">
    <w:p w:rsidR="00EC0603" w:rsidRDefault="00FB2069" w:rsidP="00EC0603">
      <w:pPr>
        <w:pStyle w:val="Voetnoottekst"/>
      </w:pPr>
      <w:r>
        <w:rPr>
          <w:rStyle w:val="Voetnootmarkering"/>
        </w:rPr>
        <w:footnoteRef/>
      </w:r>
      <w:r>
        <w:t xml:space="preserve"> </w:t>
      </w:r>
      <w:r>
        <w:tab/>
        <w:t>Toelichting voorstel kosten strafvordering, paragraaf 4.1, Vaste forfaits.</w:t>
      </w:r>
    </w:p>
  </w:footnote>
  <w:footnote w:id="50">
    <w:p w:rsidR="00EC0603" w:rsidRDefault="00FB2069" w:rsidP="00EC0603">
      <w:pPr>
        <w:pStyle w:val="Voetnoottekst"/>
      </w:pPr>
      <w:r>
        <w:rPr>
          <w:rStyle w:val="Voetnootmarkering"/>
        </w:rPr>
        <w:footnoteRef/>
      </w:r>
      <w:r>
        <w:t xml:space="preserve"> </w:t>
      </w:r>
      <w:r>
        <w:tab/>
        <w:t>Toelichting voorstel kosten strafvordering, paragraaf 6.6, Overige onderwerpen.</w:t>
      </w:r>
    </w:p>
  </w:footnote>
  <w:footnote w:id="51">
    <w:p w:rsidR="00EC0603" w:rsidRDefault="00FB2069" w:rsidP="00EC0603">
      <w:pPr>
        <w:pStyle w:val="Voetnoottekst"/>
      </w:pPr>
      <w:r>
        <w:rPr>
          <w:rStyle w:val="Voetnootmarkering"/>
        </w:rPr>
        <w:footnoteRef/>
      </w:r>
      <w:r>
        <w:t xml:space="preserve"> </w:t>
      </w:r>
      <w:r>
        <w:tab/>
        <w:t>Toelichting voorstel kosten strafvordering, paragraaf 6.6, Overige onderwerpen.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17FAB">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28A1"/>
    <w:multiLevelType w:val="hybridMultilevel"/>
    <w:tmpl w:val="DA9C2BCC"/>
    <w:lvl w:ilvl="0" w:tplc="4D8094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383403"/>
    <w:multiLevelType w:val="hybridMultilevel"/>
    <w:tmpl w:val="40DE0C8E"/>
    <w:lvl w:ilvl="0" w:tplc="4D8094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517C"/>
    <w:rsid w:val="00156F0B"/>
    <w:rsid w:val="0017188E"/>
    <w:rsid w:val="001866F8"/>
    <w:rsid w:val="002656A3"/>
    <w:rsid w:val="0027703A"/>
    <w:rsid w:val="00297E5A"/>
    <w:rsid w:val="002A16F1"/>
    <w:rsid w:val="002C6867"/>
    <w:rsid w:val="002D0875"/>
    <w:rsid w:val="00303CA7"/>
    <w:rsid w:val="003128CC"/>
    <w:rsid w:val="00322CB5"/>
    <w:rsid w:val="003A1FC7"/>
    <w:rsid w:val="004421C1"/>
    <w:rsid w:val="00443A76"/>
    <w:rsid w:val="004C120D"/>
    <w:rsid w:val="00503044"/>
    <w:rsid w:val="00517FAB"/>
    <w:rsid w:val="00661486"/>
    <w:rsid w:val="006D3E6B"/>
    <w:rsid w:val="0071031E"/>
    <w:rsid w:val="007149A2"/>
    <w:rsid w:val="00724C4B"/>
    <w:rsid w:val="00743D19"/>
    <w:rsid w:val="007957EE"/>
    <w:rsid w:val="007B0900"/>
    <w:rsid w:val="00831756"/>
    <w:rsid w:val="0094419E"/>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B206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FE197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453E6D"/>
    <w:rPr>
      <w:sz w:val="16"/>
      <w:szCs w:val="16"/>
    </w:rPr>
  </w:style>
  <w:style w:type="paragraph" w:styleId="Tekstopmerking">
    <w:name w:val="annotation text"/>
    <w:basedOn w:val="Standaard"/>
    <w:link w:val="TekstopmerkingChar"/>
    <w:rsid w:val="00453E6D"/>
    <w:rPr>
      <w:sz w:val="20"/>
      <w:szCs w:val="20"/>
    </w:rPr>
  </w:style>
  <w:style w:type="character" w:customStyle="1" w:styleId="TekstopmerkingChar">
    <w:name w:val="Tekst opmerking Char"/>
    <w:basedOn w:val="Standaardalinea-lettertype"/>
    <w:link w:val="Tekstopmerking"/>
    <w:rsid w:val="00453E6D"/>
    <w:rPr>
      <w:rFonts w:ascii="Univers" w:hAnsi="Univers"/>
    </w:rPr>
  </w:style>
  <w:style w:type="paragraph" w:styleId="Onderwerpvanopmerking">
    <w:name w:val="annotation subject"/>
    <w:basedOn w:val="Tekstopmerking"/>
    <w:next w:val="Tekstopmerking"/>
    <w:link w:val="OnderwerpvanopmerkingChar"/>
    <w:rsid w:val="00453E6D"/>
    <w:rPr>
      <w:b/>
      <w:bCs/>
    </w:rPr>
  </w:style>
  <w:style w:type="character" w:customStyle="1" w:styleId="OnderwerpvanopmerkingChar">
    <w:name w:val="Onderwerp van opmerking Char"/>
    <w:basedOn w:val="TekstopmerkingChar"/>
    <w:link w:val="Onderwerpvanopmerking"/>
    <w:rsid w:val="00453E6D"/>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FE197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453E6D"/>
    <w:rPr>
      <w:sz w:val="16"/>
      <w:szCs w:val="16"/>
    </w:rPr>
  </w:style>
  <w:style w:type="paragraph" w:styleId="Tekstopmerking">
    <w:name w:val="annotation text"/>
    <w:basedOn w:val="Standaard"/>
    <w:link w:val="TekstopmerkingChar"/>
    <w:rsid w:val="00453E6D"/>
    <w:rPr>
      <w:sz w:val="20"/>
      <w:szCs w:val="20"/>
    </w:rPr>
  </w:style>
  <w:style w:type="character" w:customStyle="1" w:styleId="TekstopmerkingChar">
    <w:name w:val="Tekst opmerking Char"/>
    <w:basedOn w:val="Standaardalinea-lettertype"/>
    <w:link w:val="Tekstopmerking"/>
    <w:rsid w:val="00453E6D"/>
    <w:rPr>
      <w:rFonts w:ascii="Univers" w:hAnsi="Univers"/>
    </w:rPr>
  </w:style>
  <w:style w:type="paragraph" w:styleId="Onderwerpvanopmerking">
    <w:name w:val="annotation subject"/>
    <w:basedOn w:val="Tekstopmerking"/>
    <w:next w:val="Tekstopmerking"/>
    <w:link w:val="OnderwerpvanopmerkingChar"/>
    <w:rsid w:val="00453E6D"/>
    <w:rPr>
      <w:b/>
      <w:bCs/>
    </w:rPr>
  </w:style>
  <w:style w:type="character" w:customStyle="1" w:styleId="OnderwerpvanopmerkingChar">
    <w:name w:val="Onderwerp van opmerking Char"/>
    <w:basedOn w:val="TekstopmerkingChar"/>
    <w:link w:val="Onderwerpvanopmerking"/>
    <w:rsid w:val="00453E6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04ACD"/>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4261</ap:Words>
  <ap:Characters>23441</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2014-07-08T06:00:00.0000000Z</lastPrinted>
  <dcterms:created xsi:type="dcterms:W3CDTF">2014-11-06T15:31:00.0000000Z</dcterms:created>
  <dcterms:modified xsi:type="dcterms:W3CDTF">2014-11-06T15:31:00.0000000Z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0x0101003664A9884DC0024298E6280713AE7F6C</vt:lpwstr>
  </property>
</Properties>
</file>