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rPr>
          <w:rFonts w:ascii="Verdana" w:hAnsi="Verdana"/>
          <w:sz w:val="18"/>
          <w:szCs w:val="18"/>
        </w:rPr>
      </w:sdtEndPr>
      <w:sdtContent>
        <w:p w:rsidR="008D3CCC" w:rsidP="00D2526B" w:rsidRDefault="008D3CCC">
          <w:pPr>
            <w:tabs>
              <w:tab w:val="left" w:pos="3686"/>
            </w:tabs>
          </w:pPr>
        </w:p>
        <w:p w:rsidRPr="00856456" w:rsidR="008D3CCC" w:rsidP="00D2526B" w:rsidRDefault="008D3CCC">
          <w:pPr>
            <w:tabs>
              <w:tab w:val="left" w:pos="3686"/>
            </w:tabs>
            <w:rPr>
              <w:rFonts w:ascii="Verdana" w:hAnsi="Verdana"/>
              <w:b/>
              <w:sz w:val="18"/>
              <w:szCs w:val="18"/>
            </w:rPr>
          </w:pPr>
          <w:r w:rsidRPr="00856456">
            <w:rPr>
              <w:rFonts w:ascii="Verdana" w:hAnsi="Verdana"/>
              <w:b/>
              <w:sz w:val="18"/>
              <w:szCs w:val="18"/>
            </w:rPr>
            <w:t>Advies Raad van State</w:t>
          </w:r>
        </w:p>
        <w:p w:rsidRPr="00856456" w:rsidR="008D3CCC" w:rsidP="00D2526B" w:rsidRDefault="008D3CCC">
          <w:pPr>
            <w:tabs>
              <w:tab w:val="left" w:pos="3686"/>
            </w:tabs>
            <w:rPr>
              <w:rFonts w:ascii="Verdana" w:hAnsi="Verdana"/>
              <w:b/>
              <w:sz w:val="18"/>
              <w:szCs w:val="18"/>
            </w:rPr>
          </w:pPr>
        </w:p>
        <w:p w:rsidRPr="00856456" w:rsidR="008D3CCC" w:rsidP="00D2526B" w:rsidRDefault="00977969">
          <w:pPr>
            <w:tabs>
              <w:tab w:val="left" w:pos="3686"/>
            </w:tabs>
            <w:rPr>
              <w:rFonts w:ascii="Verdana" w:hAnsi="Verdana"/>
              <w:b/>
              <w:sz w:val="18"/>
              <w:szCs w:val="18"/>
            </w:rPr>
          </w:pPr>
          <w:r w:rsidRPr="00856456">
            <w:rPr>
              <w:rFonts w:ascii="Verdana" w:hAnsi="Verdana"/>
              <w:b/>
              <w:noProof/>
              <w:sz w:val="18"/>
              <w:szCs w:val="18"/>
            </w:rPr>
            <mc:AlternateContent>
              <mc:Choice Requires="wps">
                <w:drawing>
                  <wp:anchor distT="0" distB="0" distL="114300" distR="114300" simplePos="0" relativeHeight="251657728" behindDoc="0" locked="0" layoutInCell="1" allowOverlap="1" wp14:editId="38C7270E" wp14:anchorId="274FBB0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
                      </w:txbxContent>
                    </v:textbox>
                    <w10:wrap type="square" anchorx="page" anchory="page"/>
                  </v:shape>
                </w:pict>
              </mc:Fallback>
            </mc:AlternateContent>
          </w:r>
          <w:r w:rsidRPr="00856456" w:rsidR="00907421">
            <w:rPr>
              <w:rFonts w:ascii="Verdana" w:hAnsi="Verdana"/>
              <w:b/>
              <w:sz w:val="18"/>
              <w:szCs w:val="18"/>
            </w:rPr>
            <w:t>No.</w:t>
          </w:r>
          <w:r w:rsidRPr="00856456" w:rsidR="008D3CCC">
            <w:rPr>
              <w:rFonts w:ascii="Verdana" w:hAnsi="Verdana"/>
              <w:b/>
              <w:sz w:val="18"/>
              <w:szCs w:val="18"/>
            </w:rPr>
            <w:t xml:space="preserve"> W15.11.0427/IV</w:t>
          </w:r>
          <w:sdt>
            <w:sdtPr>
              <w:rPr>
                <w:rFonts w:ascii="Verdana" w:hAnsi="Verdana"/>
                <w:b/>
                <w:sz w:val="18"/>
                <w:szCs w:val="18"/>
              </w:rPr>
              <w:alias w:val="ZaakNummerPlus"/>
              <w:tag w:val="ZaakNummerPlus"/>
              <w:id w:val="-1666084793"/>
              <w:lock w:val="sdtContentLocked"/>
              <w:placeholder>
                <w:docPart w:val="D4CFDB6C696D4A60944E1E577854833F"/>
              </w:placeholder>
              <w:showingPlcHdr/>
              <w:text/>
            </w:sdtPr>
            <w:sdtEndPr/>
            <w:sdtContent>
              <w:r w:rsidRPr="00856456" w:rsidR="008D3CCC">
                <w:rPr>
                  <w:rFonts w:ascii="Verdana" w:hAnsi="Verdana"/>
                  <w:b/>
                  <w:caps/>
                  <w:sz w:val="18"/>
                  <w:szCs w:val="18"/>
                </w:rPr>
                <w:t xml:space="preserve"> </w:t>
              </w:r>
            </w:sdtContent>
          </w:sdt>
          <w:r w:rsidRPr="00856456" w:rsidR="00D2526B">
            <w:rPr>
              <w:rFonts w:ascii="Verdana" w:hAnsi="Verdana"/>
              <w:b/>
              <w:sz w:val="18"/>
              <w:szCs w:val="18"/>
            </w:rPr>
            <w:tab/>
          </w:r>
        </w:p>
        <w:p w:rsidRPr="00856456" w:rsidR="00D2526B" w:rsidP="00D2526B" w:rsidRDefault="00D2526B">
          <w:pPr>
            <w:tabs>
              <w:tab w:val="left" w:pos="3686"/>
            </w:tabs>
            <w:rPr>
              <w:rFonts w:ascii="Verdana" w:hAnsi="Verdana"/>
              <w:b/>
              <w:sz w:val="18"/>
              <w:szCs w:val="18"/>
            </w:rPr>
          </w:pPr>
          <w:r w:rsidRPr="00856456">
            <w:rPr>
              <w:rFonts w:ascii="Verdana" w:hAnsi="Verdana"/>
              <w:b/>
              <w:sz w:val="18"/>
              <w:szCs w:val="18"/>
            </w:rPr>
            <w:t xml:space="preserve">'s-Gravenhage, </w:t>
          </w:r>
          <w:sdt>
            <w:sdtPr>
              <w:rPr>
                <w:rFonts w:ascii="Verdana" w:hAnsi="Verdana"/>
                <w:b/>
                <w:sz w:val="18"/>
                <w:szCs w:val="18"/>
              </w:rPr>
              <w:alias w:val="DatumAdvies"/>
              <w:tag w:val="DatumAdvies"/>
              <w:id w:val="-287518040"/>
              <w:lock w:val="sdtContentLocked"/>
              <w:placeholder>
                <w:docPart w:val="48FC23674C4A4B198BB982E556E53853"/>
              </w:placeholder>
              <w:text/>
            </w:sdtPr>
            <w:sdtEndPr/>
            <w:sdtContent>
              <w:r w:rsidRPr="00856456" w:rsidR="00977969">
                <w:rPr>
                  <w:rFonts w:ascii="Verdana" w:hAnsi="Verdana"/>
                  <w:b/>
                  <w:sz w:val="18"/>
                  <w:szCs w:val="18"/>
                </w:rPr>
                <w:t>12 september 2014</w:t>
              </w:r>
            </w:sdtContent>
          </w:sdt>
        </w:p>
        <w:p w:rsidRPr="00856456" w:rsidR="001410FD" w:rsidP="00AC5AD9" w:rsidRDefault="001410FD">
          <w:pPr>
            <w:tabs>
              <w:tab w:val="left" w:pos="3686"/>
            </w:tabs>
            <w:rPr>
              <w:rFonts w:ascii="Verdana" w:hAnsi="Verdana"/>
              <w:b/>
              <w:sz w:val="18"/>
              <w:szCs w:val="18"/>
            </w:rPr>
          </w:pPr>
          <w:bookmarkStart w:name="_GoBack" w:id="0"/>
          <w:bookmarkEnd w:id="0"/>
        </w:p>
        <w:p w:rsidRPr="00856456" w:rsidR="00636D17" w:rsidP="00636D17" w:rsidRDefault="008D3CCC">
          <w:pPr>
            <w:tabs>
              <w:tab w:val="left" w:pos="3685"/>
            </w:tabs>
            <w:rPr>
              <w:rFonts w:ascii="Verdana" w:hAnsi="Verdana"/>
              <w:b/>
              <w:sz w:val="18"/>
              <w:szCs w:val="18"/>
            </w:rPr>
          </w:pPr>
          <w:r w:rsidRPr="00856456">
            <w:rPr>
              <w:rFonts w:ascii="Verdana" w:hAnsi="Verdana"/>
              <w:b/>
              <w:sz w:val="18"/>
              <w:szCs w:val="18"/>
            </w:rPr>
            <w:t>Aan de Koning</w:t>
          </w:r>
        </w:p>
        <w:p w:rsidRPr="00856456" w:rsidR="00636D17" w:rsidP="00636D17" w:rsidRDefault="00636D17">
          <w:pPr>
            <w:tabs>
              <w:tab w:val="left" w:pos="3685"/>
            </w:tabs>
            <w:rPr>
              <w:rFonts w:ascii="Verdana" w:hAnsi="Verdana"/>
              <w:sz w:val="18"/>
              <w:szCs w:val="18"/>
            </w:rPr>
          </w:pPr>
        </w:p>
        <w:sdt>
          <w:sdtPr>
            <w:rPr>
              <w:rFonts w:ascii="Verdana" w:hAnsi="Verdana"/>
              <w:sz w:val="18"/>
              <w:szCs w:val="18"/>
            </w:rPr>
            <w:alias w:val="Aanhef"/>
            <w:tag w:val="Aanhef"/>
            <w:id w:val="2074146362"/>
            <w:lock w:val="sdtContentLocked"/>
            <w:placeholder>
              <w:docPart w:val="48FC23674C4A4B198BB982E556E53853"/>
            </w:placeholder>
            <w:text w:multiLine="1"/>
          </w:sdtPr>
          <w:sdtEndPr/>
          <w:sdtContent>
            <w:p w:rsidRPr="00856456" w:rsidR="00A367B3" w:rsidRDefault="006F72C1">
              <w:pPr>
                <w:rPr>
                  <w:rFonts w:ascii="Verdana" w:hAnsi="Verdana"/>
                  <w:sz w:val="18"/>
                  <w:szCs w:val="18"/>
                </w:rPr>
              </w:pPr>
              <w:r w:rsidRPr="00856456">
                <w:rPr>
                  <w:rFonts w:ascii="Verdana" w:hAnsi="Verdana"/>
                  <w:sz w:val="18"/>
                  <w:szCs w:val="18"/>
                </w:rPr>
                <w:t>Bij Kabinetsmissive van 23 juli 2014, no.2014001458, heeft Uwe Majesteit, op voordracht van de Minister van Economische Zaken, mede namens de Minister van Infrastructuur en Milieu, bij de Afdeling advisering van de Raad van State ter overweging aanhangig gemaakt het voorstel van wet houdende regels omtrent windenergie op zee, met memorie van toelichting.</w:t>
              </w:r>
            </w:p>
          </w:sdtContent>
        </w:sdt>
        <w:p w:rsidRPr="00856456" w:rsidR="00CE4655" w:rsidP="003C7608" w:rsidRDefault="00CE4655">
          <w:pPr>
            <w:rPr>
              <w:rFonts w:ascii="Verdana" w:hAnsi="Verdana"/>
              <w:sz w:val="18"/>
              <w:szCs w:val="18"/>
            </w:rPr>
          </w:pPr>
        </w:p>
        <w:sdt>
          <w:sdtPr>
            <w:rPr>
              <w:rFonts w:ascii="Verdana" w:hAnsi="Verdana"/>
              <w:sz w:val="18"/>
              <w:szCs w:val="18"/>
            </w:rPr>
            <w:alias w:val="VrijeTekst1"/>
            <w:tag w:val="VrijeTekst1"/>
            <w:id w:val="-437221631"/>
            <w:lock w:val="sdtLocked"/>
          </w:sdtPr>
          <w:sdtEndPr/>
          <w:sdtContent>
            <w:p w:rsidRPr="00856456" w:rsidR="008B69EE" w:rsidP="008B69EE" w:rsidRDefault="006F72C1">
              <w:pPr>
                <w:rPr>
                  <w:rFonts w:ascii="Verdana" w:hAnsi="Verdana"/>
                  <w:sz w:val="18"/>
                  <w:szCs w:val="18"/>
                </w:rPr>
              </w:pPr>
              <w:r w:rsidRPr="00856456">
                <w:rPr>
                  <w:rFonts w:ascii="Verdana" w:hAnsi="Verdana"/>
                  <w:sz w:val="18"/>
                  <w:szCs w:val="18"/>
                </w:rPr>
                <w:t>Het wetsvoorstel strekt ertoe de opwekking van windenergie op zee te bevorderen, mede ter uitvoering van het Energieakkoord voor Duurzame Groei.</w:t>
              </w:r>
              <w:r w:rsidRPr="00856456">
                <w:rPr>
                  <w:rStyle w:val="Voetnootmarkering"/>
                  <w:rFonts w:ascii="Verdana" w:hAnsi="Verdana"/>
                  <w:sz w:val="18"/>
                  <w:szCs w:val="18"/>
                </w:rPr>
                <w:footnoteReference w:id="1"/>
              </w:r>
              <w:r w:rsidRPr="00856456">
                <w:rPr>
                  <w:rFonts w:ascii="Verdana" w:hAnsi="Verdana"/>
                  <w:sz w:val="18"/>
                  <w:szCs w:val="18"/>
                </w:rPr>
                <w:t xml:space="preserve"> Daartoe beoogt het een integraal wettelijk stelsel te bieden voor de aanwijzing van geschikte locaties voor windparken op zee en de uitgifte van vergunningen voor de bouw en exploitatie van deze windparken.</w:t>
              </w:r>
            </w:p>
            <w:p w:rsidRPr="00856456" w:rsidR="008B69EE" w:rsidP="008B69EE" w:rsidRDefault="00856456">
              <w:pPr>
                <w:rPr>
                  <w:rFonts w:ascii="Verdana" w:hAnsi="Verdana"/>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De Afdeling advisering van de Raad van State onderschrijft de strekking van het wetsvoorstel, maar maakt een opmerking over de samenloop van nationale belangen in een gebied dat geschikt is voor windenergie. Ook maakt zij een opmerking over de consequentie van een verouderde passende beoordeling, en over het wijzigen en het intrekken van kavelbesluiten en vergunningen. Ten slotte maakt de Afdeling een opmerking over het integrale karakter van de besluitvorming voor zover het windparken in de territoriale zee betreft. De Afdeling is van oordeel dat in verband met deze opmerkingen enige aanpassing van het wetsvoorstel wenselijk is.</w:t>
              </w:r>
            </w:p>
            <w:p w:rsidRPr="00856456" w:rsidR="008B69EE" w:rsidP="008B69EE" w:rsidRDefault="00856456">
              <w:pPr>
                <w:rPr>
                  <w:rFonts w:ascii="Verdana" w:hAnsi="Verdana"/>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1.</w:t>
              </w:r>
              <w:r w:rsidRPr="00856456">
                <w:rPr>
                  <w:rFonts w:ascii="Verdana" w:hAnsi="Verdana"/>
                  <w:sz w:val="18"/>
                  <w:szCs w:val="18"/>
                </w:rPr>
                <w:tab/>
              </w:r>
              <w:r w:rsidRPr="00856456">
                <w:rPr>
                  <w:rFonts w:ascii="Verdana" w:hAnsi="Verdana"/>
                  <w:sz w:val="18"/>
                  <w:szCs w:val="18"/>
                  <w:u w:val="single"/>
                </w:rPr>
                <w:t>Samenloop nationale belangen</w:t>
              </w:r>
            </w:p>
            <w:p w:rsidRPr="00856456" w:rsidR="008B69EE" w:rsidP="008B69EE" w:rsidRDefault="00856456">
              <w:pPr>
                <w:rPr>
                  <w:rFonts w:ascii="Verdana" w:hAnsi="Verdana"/>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In het kavelbesluit kan slechts een kavel worden aangewezen binnen gebieden die in het nationale waterplan zijn aangewezen als voor windenergie geschikte gebieden.</w:t>
              </w:r>
              <w:r w:rsidRPr="00856456">
                <w:rPr>
                  <w:rStyle w:val="Voetnootmarkering"/>
                  <w:rFonts w:ascii="Verdana" w:hAnsi="Verdana"/>
                  <w:sz w:val="18"/>
                  <w:szCs w:val="18"/>
                </w:rPr>
                <w:footnoteReference w:id="2"/>
              </w:r>
              <w:r w:rsidRPr="00856456">
                <w:rPr>
                  <w:rFonts w:ascii="Verdana" w:hAnsi="Verdana"/>
                  <w:sz w:val="18"/>
                  <w:szCs w:val="18"/>
                </w:rPr>
                <w:t xml:space="preserve"> Deze gebieden kunnen ook geschikt zijn voor andere doeleinden. Uit het geldende Nationale Waterplan volgt dat het kabinet in de ruimtelijke afweging prioriteit geeft aan activiteiten van nationaal belang boven andere activiteiten.</w:t>
              </w:r>
              <w:r w:rsidRPr="00856456">
                <w:rPr>
                  <w:rStyle w:val="Voetnootmarkering"/>
                  <w:rFonts w:ascii="Verdana" w:hAnsi="Verdana"/>
                  <w:sz w:val="18"/>
                  <w:szCs w:val="18"/>
                </w:rPr>
                <w:footnoteReference w:id="3"/>
              </w:r>
              <w:r w:rsidRPr="00856456">
                <w:rPr>
                  <w:rFonts w:ascii="Verdana" w:hAnsi="Verdana"/>
                  <w:sz w:val="18"/>
                  <w:szCs w:val="18"/>
                </w:rPr>
                <w:t xml:space="preserve"> De toelichting stelt dat meerdere activiteiten van nationaal belang in hetzelfde gebied kunnen plaatsvinden. Als uitgangspunt geldt dat gestreefd wordt naar gecombineerd en ruimte-efficiënt gebruik, mits de eerste initiatiefnemer daarbij geen onevenredige schade of hinder ondervindt.</w:t>
              </w:r>
            </w:p>
            <w:p w:rsidRPr="00856456" w:rsidR="00F35A4F" w:rsidP="0050485F" w:rsidRDefault="00856456">
              <w:pPr>
                <w:rPr>
                  <w:rFonts w:ascii="Verdana" w:hAnsi="Verdana"/>
                  <w:sz w:val="18"/>
                  <w:szCs w:val="18"/>
                </w:rPr>
              </w:pPr>
            </w:p>
            <w:p w:rsidRPr="00856456" w:rsidR="0050485F" w:rsidP="0050485F" w:rsidRDefault="006F72C1">
              <w:pPr>
                <w:rPr>
                  <w:rFonts w:ascii="Verdana" w:hAnsi="Verdana"/>
                  <w:sz w:val="18"/>
                  <w:szCs w:val="18"/>
                </w:rPr>
              </w:pPr>
              <w:r w:rsidRPr="00856456">
                <w:rPr>
                  <w:rFonts w:ascii="Verdana" w:hAnsi="Verdana"/>
                  <w:sz w:val="18"/>
                  <w:szCs w:val="18"/>
                </w:rPr>
                <w:t xml:space="preserve">De Afdeling onderkent dat de beschikbare ruimte mogelijk schaars is en efficiënt benut moet worden. Het afwegingskader lijkt de eerste initiatiefnemer te bevoordelen. Daarbij wordt volgens de toelichting geen onderscheid gemaakt naar het type nationaal belang. De Afdeling wijst erop dat het vermelde in de toelichting </w:t>
              </w:r>
              <w:r w:rsidRPr="00856456">
                <w:rPr>
                  <w:rFonts w:ascii="Verdana" w:hAnsi="Verdana"/>
                  <w:sz w:val="18"/>
                  <w:szCs w:val="18"/>
                </w:rPr>
                <w:lastRenderedPageBreak/>
                <w:t>over de samenloop van nationale belangen in de praktijk tot problemen kan leiden en niet waarborgt dat sprake is van een redelijke weging van deze belangen.</w:t>
              </w:r>
            </w:p>
            <w:p w:rsidRPr="00856456" w:rsidR="0050485F" w:rsidP="0050485F" w:rsidRDefault="006F72C1">
              <w:pPr>
                <w:rPr>
                  <w:rFonts w:ascii="Verdana" w:hAnsi="Verdana"/>
                  <w:sz w:val="18"/>
                  <w:szCs w:val="18"/>
                </w:rPr>
              </w:pPr>
              <w:r w:rsidRPr="00856456">
                <w:rPr>
                  <w:rFonts w:ascii="Verdana" w:hAnsi="Verdana"/>
                  <w:sz w:val="18"/>
                  <w:szCs w:val="18"/>
                </w:rPr>
                <w:t>Zo vermeldt de toelichting dat bij het vaststellen van de buitengrens van het kavel geen rekening zal worden gehouden met de locatie van de mijnbouwinstallatie voor een gebied waar een opsporings- of winningsvergunning op grond van de Mijnbouwwet is verleend, indien de vergunninghouder in dat gebied nog geen mijnbouwinstallatie heeft geplaatst.</w:t>
              </w:r>
              <w:r w:rsidRPr="00856456">
                <w:rPr>
                  <w:rStyle w:val="Voetnootmarkering"/>
                  <w:rFonts w:ascii="Verdana" w:hAnsi="Verdana"/>
                  <w:sz w:val="18"/>
                  <w:szCs w:val="18"/>
                </w:rPr>
                <w:footnoteReference w:id="4"/>
              </w:r>
              <w:r w:rsidRPr="00856456">
                <w:rPr>
                  <w:rFonts w:ascii="Verdana" w:hAnsi="Verdana"/>
                  <w:sz w:val="18"/>
                  <w:szCs w:val="18"/>
                </w:rPr>
                <w:t xml:space="preserve"> Kennelijk wordt deze vergunninghouder niet als initiatiefnemer beschouwd, hoeft althans met het feit dat er reeds een vergunning voor mijnbouwactiviteiten is verleend geen rekening te worden gehouden. Het enkele gegeven dat daarbij nog geen installatie geplaatst is, maakt nog niet dat dit op voorhand redelijk kan worden genoemd. Naast het feit dat er een rechtsgeldige vergunning is, kennen vergunningaanvragen voor de mijnbouw in de regel een lange voorbereidingsfase vanwege de noodzakelijke onderzoeken alsmede daarmee gepaard gaande investeringen. Daar komt bij dat de toelichting aankondigt dat in het Mijnbouwbesluit expliciet zal worden geregeld dat in gebieden waarvoor een voorbereidings- of kavelbesluit geldt, geen mijnbouwinstallaties mogen worden geplaatst.</w:t>
              </w:r>
              <w:r w:rsidRPr="00856456">
                <w:rPr>
                  <w:rStyle w:val="Voetnootmarkering"/>
                  <w:rFonts w:ascii="Verdana" w:hAnsi="Verdana"/>
                  <w:sz w:val="18"/>
                  <w:szCs w:val="18"/>
                </w:rPr>
                <w:footnoteReference w:id="5"/>
              </w:r>
              <w:r w:rsidRPr="00856456">
                <w:rPr>
                  <w:rFonts w:ascii="Verdana" w:hAnsi="Verdana"/>
                  <w:sz w:val="18"/>
                  <w:szCs w:val="18"/>
                </w:rPr>
                <w:t xml:space="preserve"> Een spiegelbeeldige redenering ontbreekt. </w:t>
              </w:r>
            </w:p>
            <w:p w:rsidRPr="00856456" w:rsidR="0050485F" w:rsidP="0050485F" w:rsidRDefault="00856456">
              <w:pPr>
                <w:rPr>
                  <w:rFonts w:ascii="Verdana" w:hAnsi="Verdana"/>
                  <w:sz w:val="18"/>
                  <w:szCs w:val="18"/>
                </w:rPr>
              </w:pPr>
            </w:p>
            <w:p w:rsidRPr="00856456" w:rsidR="0050485F" w:rsidP="0050485F" w:rsidRDefault="006F72C1">
              <w:pPr>
                <w:rPr>
                  <w:rFonts w:ascii="Verdana" w:hAnsi="Verdana"/>
                  <w:sz w:val="18"/>
                  <w:szCs w:val="18"/>
                </w:rPr>
              </w:pPr>
              <w:r w:rsidRPr="00856456">
                <w:rPr>
                  <w:rFonts w:ascii="Verdana" w:hAnsi="Verdana"/>
                  <w:sz w:val="18"/>
                  <w:szCs w:val="18"/>
                </w:rPr>
                <w:t>Het voorgestelde artikel 4, derde lid, onderdeel a vermeldt niet meer dan dat bij de afweging tot het nemen van een kavelbesluit moet worden betrokken “de vervulling van maatschappelijke functies van de zee, waaronder het rechtmatig gebruik door derden en het belang van een doelmatig ruimtegebruik van de zee”.  De Afdeling is van oordeel dat een samenloop van nationale belangen een belangenafweging in het concrete geval vergt. Gelet op de rechtszekerheid, is het wenselijk deze belangenafweging wettelijk te verankeren.</w:t>
              </w:r>
            </w:p>
            <w:p w:rsidRPr="00856456" w:rsidR="0050485F" w:rsidP="0050485F" w:rsidRDefault="00856456">
              <w:pPr>
                <w:rPr>
                  <w:rFonts w:ascii="Verdana" w:hAnsi="Verdana"/>
                  <w:sz w:val="18"/>
                  <w:szCs w:val="18"/>
                </w:rPr>
              </w:pPr>
            </w:p>
            <w:p w:rsidRPr="00856456" w:rsidR="0050485F" w:rsidP="0050485F" w:rsidRDefault="006F72C1">
              <w:pPr>
                <w:rPr>
                  <w:rFonts w:ascii="Verdana" w:hAnsi="Verdana"/>
                  <w:sz w:val="18"/>
                  <w:szCs w:val="18"/>
                </w:rPr>
              </w:pPr>
              <w:r w:rsidRPr="00856456">
                <w:rPr>
                  <w:rFonts w:ascii="Verdana" w:hAnsi="Verdana"/>
                  <w:sz w:val="18"/>
                  <w:szCs w:val="18"/>
                </w:rPr>
                <w:t>De Afdeling adviseert het wetsvoorstel in het licht van het voorgaande aan te passen.</w:t>
              </w:r>
            </w:p>
            <w:p w:rsidRPr="00856456" w:rsidR="0050485F" w:rsidP="008B69EE" w:rsidRDefault="00856456">
              <w:pPr>
                <w:rPr>
                  <w:rFonts w:ascii="Verdana" w:hAnsi="Verdana"/>
                  <w:sz w:val="18"/>
                  <w:szCs w:val="18"/>
                </w:rPr>
              </w:pPr>
            </w:p>
            <w:p w:rsidRPr="00856456" w:rsidR="008B69EE" w:rsidP="008B69EE" w:rsidRDefault="006F72C1">
              <w:pPr>
                <w:rPr>
                  <w:rFonts w:ascii="Verdana" w:hAnsi="Verdana"/>
                  <w:sz w:val="18"/>
                  <w:szCs w:val="18"/>
                  <w:u w:val="single"/>
                </w:rPr>
              </w:pPr>
              <w:r w:rsidRPr="00856456">
                <w:rPr>
                  <w:rFonts w:ascii="Verdana" w:hAnsi="Verdana"/>
                  <w:sz w:val="18"/>
                  <w:szCs w:val="18"/>
                </w:rPr>
                <w:t>2.</w:t>
              </w:r>
              <w:r w:rsidRPr="00856456">
                <w:rPr>
                  <w:rFonts w:ascii="Verdana" w:hAnsi="Verdana"/>
                  <w:sz w:val="18"/>
                  <w:szCs w:val="18"/>
                </w:rPr>
                <w:tab/>
              </w:r>
              <w:r w:rsidRPr="00856456">
                <w:rPr>
                  <w:rFonts w:ascii="Verdana" w:hAnsi="Verdana"/>
                  <w:sz w:val="18"/>
                  <w:szCs w:val="18"/>
                  <w:u w:val="single"/>
                </w:rPr>
                <w:t>Verouderde passende beoordeling</w:t>
              </w:r>
            </w:p>
            <w:p w:rsidRPr="00856456" w:rsidR="008B69EE" w:rsidP="008B69EE" w:rsidRDefault="00856456">
              <w:pPr>
                <w:rPr>
                  <w:rFonts w:ascii="Verdana" w:hAnsi="Verdana"/>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Het wetsvoorstel integreert omgevingsrechtelijke toestemmingen die voor de bouw van windparken nodig zijn in het kavelbesluit.</w:t>
              </w:r>
              <w:r w:rsidRPr="00856456">
                <w:rPr>
                  <w:rFonts w:ascii="Verdana" w:hAnsi="Verdana"/>
                  <w:sz w:val="18"/>
                  <w:szCs w:val="18"/>
                  <w:vertAlign w:val="superscript"/>
                </w:rPr>
                <w:footnoteReference w:id="6"/>
              </w:r>
              <w:r w:rsidRPr="00856456">
                <w:rPr>
                  <w:rFonts w:ascii="Verdana" w:hAnsi="Verdana"/>
                  <w:sz w:val="18"/>
                  <w:szCs w:val="18"/>
                </w:rPr>
                <w:t xml:space="preserve"> Daarbij gaat het om vergunningen krachtens de </w:t>
              </w:r>
              <w:proofErr w:type="spellStart"/>
              <w:r w:rsidRPr="00856456">
                <w:rPr>
                  <w:rFonts w:ascii="Verdana" w:hAnsi="Verdana"/>
                  <w:sz w:val="18"/>
                  <w:szCs w:val="18"/>
                </w:rPr>
                <w:t>Waterwet</w:t>
              </w:r>
              <w:proofErr w:type="spellEnd"/>
              <w:r w:rsidRPr="00856456">
                <w:rPr>
                  <w:rFonts w:ascii="Verdana" w:hAnsi="Verdana"/>
                  <w:sz w:val="18"/>
                  <w:szCs w:val="18"/>
                </w:rPr>
                <w:t>, de Natuurbeschermingswet 1998 (</w:t>
              </w:r>
              <w:proofErr w:type="spellStart"/>
              <w:r w:rsidRPr="00856456">
                <w:rPr>
                  <w:rFonts w:ascii="Verdana" w:hAnsi="Verdana"/>
                  <w:sz w:val="18"/>
                  <w:szCs w:val="18"/>
                </w:rPr>
                <w:t>Nbw</w:t>
              </w:r>
              <w:proofErr w:type="spellEnd"/>
              <w:r w:rsidRPr="00856456">
                <w:rPr>
                  <w:rFonts w:ascii="Verdana" w:hAnsi="Verdana"/>
                  <w:sz w:val="18"/>
                  <w:szCs w:val="18"/>
                </w:rPr>
                <w:t xml:space="preserve"> 1998) en de Flora- en </w:t>
              </w:r>
              <w:proofErr w:type="spellStart"/>
              <w:r w:rsidRPr="00856456">
                <w:rPr>
                  <w:rFonts w:ascii="Verdana" w:hAnsi="Verdana"/>
                  <w:sz w:val="18"/>
                  <w:szCs w:val="18"/>
                </w:rPr>
                <w:t>faunawet</w:t>
              </w:r>
              <w:proofErr w:type="spellEnd"/>
              <w:r w:rsidRPr="00856456">
                <w:rPr>
                  <w:rFonts w:ascii="Verdana" w:hAnsi="Verdana"/>
                  <w:sz w:val="18"/>
                  <w:szCs w:val="18"/>
                </w:rPr>
                <w:t xml:space="preserve"> (</w:t>
              </w:r>
              <w:proofErr w:type="spellStart"/>
              <w:r w:rsidRPr="00856456">
                <w:rPr>
                  <w:rFonts w:ascii="Verdana" w:hAnsi="Verdana"/>
                  <w:sz w:val="18"/>
                  <w:szCs w:val="18"/>
                </w:rPr>
                <w:t>Ffw</w:t>
              </w:r>
              <w:proofErr w:type="spellEnd"/>
              <w:r w:rsidRPr="00856456">
                <w:rPr>
                  <w:rFonts w:ascii="Verdana" w:hAnsi="Verdana"/>
                  <w:sz w:val="18"/>
                  <w:szCs w:val="18"/>
                </w:rPr>
                <w:t xml:space="preserve">). Volgens het voorstel vindt de toetsing aan de </w:t>
              </w:r>
              <w:proofErr w:type="spellStart"/>
              <w:r w:rsidRPr="00856456">
                <w:rPr>
                  <w:rFonts w:ascii="Verdana" w:hAnsi="Verdana"/>
                  <w:sz w:val="18"/>
                  <w:szCs w:val="18"/>
                </w:rPr>
                <w:t>Nbw</w:t>
              </w:r>
              <w:proofErr w:type="spellEnd"/>
              <w:r w:rsidRPr="00856456">
                <w:rPr>
                  <w:rFonts w:ascii="Verdana" w:hAnsi="Verdana"/>
                  <w:sz w:val="18"/>
                  <w:szCs w:val="18"/>
                </w:rPr>
                <w:t xml:space="preserve"> 1998 en de </w:t>
              </w:r>
              <w:proofErr w:type="spellStart"/>
              <w:r w:rsidRPr="00856456">
                <w:rPr>
                  <w:rFonts w:ascii="Verdana" w:hAnsi="Verdana"/>
                  <w:sz w:val="18"/>
                  <w:szCs w:val="18"/>
                </w:rPr>
                <w:t>Ffw</w:t>
              </w:r>
              <w:proofErr w:type="spellEnd"/>
              <w:r w:rsidRPr="00856456">
                <w:rPr>
                  <w:rFonts w:ascii="Verdana" w:hAnsi="Verdana"/>
                  <w:sz w:val="18"/>
                  <w:szCs w:val="18"/>
                </w:rPr>
                <w:t xml:space="preserve"> plaats bij de vaststelling van het kavelbesluit</w:t>
              </w:r>
              <w:r w:rsidRPr="00856456">
                <w:rPr>
                  <w:rStyle w:val="Voetnootmarkering"/>
                  <w:rFonts w:ascii="Verdana" w:hAnsi="Verdana"/>
                  <w:sz w:val="18"/>
                  <w:szCs w:val="18"/>
                </w:rPr>
                <w:footnoteReference w:id="7"/>
              </w:r>
              <w:r w:rsidRPr="00856456">
                <w:rPr>
                  <w:rFonts w:ascii="Verdana" w:hAnsi="Verdana"/>
                  <w:sz w:val="18"/>
                  <w:szCs w:val="18"/>
                </w:rPr>
                <w:t xml:space="preserve"> en wordt de vergunningplicht van de </w:t>
              </w:r>
              <w:proofErr w:type="spellStart"/>
              <w:r w:rsidRPr="00856456">
                <w:rPr>
                  <w:rFonts w:ascii="Verdana" w:hAnsi="Verdana"/>
                  <w:sz w:val="18"/>
                  <w:szCs w:val="18"/>
                </w:rPr>
                <w:t>Waterwet</w:t>
              </w:r>
              <w:proofErr w:type="spellEnd"/>
              <w:r w:rsidRPr="00856456">
                <w:rPr>
                  <w:rFonts w:ascii="Verdana" w:hAnsi="Verdana"/>
                  <w:sz w:val="18"/>
                  <w:szCs w:val="18"/>
                </w:rPr>
                <w:t xml:space="preserve"> uitgesloten.</w:t>
              </w:r>
              <w:r w:rsidRPr="00856456">
                <w:rPr>
                  <w:rStyle w:val="Voetnootmarkering"/>
                  <w:rFonts w:ascii="Verdana" w:hAnsi="Verdana"/>
                  <w:sz w:val="18"/>
                  <w:szCs w:val="18"/>
                </w:rPr>
                <w:footnoteReference w:id="8"/>
              </w:r>
            </w:p>
            <w:p w:rsidRPr="00856456" w:rsidR="008B69EE" w:rsidP="008B69EE" w:rsidRDefault="00856456">
              <w:pPr>
                <w:rPr>
                  <w:rFonts w:ascii="Verdana" w:hAnsi="Verdana"/>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 xml:space="preserve">Onderdeel van deze integratie is dat de beoordeling van de gevolgen van de bouw en exploitatie van een windpark voor Natura 2000-gebieden plaatsheeft in het </w:t>
              </w:r>
              <w:r w:rsidRPr="00856456">
                <w:rPr>
                  <w:rFonts w:ascii="Verdana" w:hAnsi="Verdana"/>
                  <w:sz w:val="18"/>
                  <w:szCs w:val="18"/>
                </w:rPr>
                <w:lastRenderedPageBreak/>
                <w:t>kader van de voorbereiding van het kavelbesluit.</w:t>
              </w:r>
              <w:r w:rsidRPr="00856456">
                <w:rPr>
                  <w:rStyle w:val="Voetnootmarkering"/>
                  <w:rFonts w:ascii="Verdana" w:hAnsi="Verdana"/>
                  <w:sz w:val="18"/>
                  <w:szCs w:val="18"/>
                </w:rPr>
                <w:footnoteReference w:id="9"/>
              </w:r>
              <w:r w:rsidRPr="00856456">
                <w:rPr>
                  <w:rFonts w:ascii="Verdana" w:hAnsi="Verdana"/>
                  <w:sz w:val="18"/>
                  <w:szCs w:val="18"/>
                </w:rPr>
                <w:t xml:space="preserve"> Deze beoordeling wordt de “passende beoordeling” genoemd.</w:t>
              </w:r>
            </w:p>
            <w:p w:rsidRPr="00856456" w:rsidR="008B69EE" w:rsidP="008B69EE" w:rsidRDefault="00856456">
              <w:pPr>
                <w:rPr>
                  <w:rFonts w:ascii="Verdana" w:hAnsi="Verdana"/>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In de toelichting wordt opgemerkt dat de passende beoordeling bij het kavelbesluit nog actueel moet zijn op het moment dat de vergunning wordt aangevraagd.</w:t>
              </w:r>
              <w:r w:rsidRPr="00856456">
                <w:rPr>
                  <w:rFonts w:ascii="Verdana" w:hAnsi="Verdana"/>
                  <w:sz w:val="18"/>
                  <w:szCs w:val="18"/>
                  <w:vertAlign w:val="superscript"/>
                </w:rPr>
                <w:footnoteReference w:id="10"/>
              </w:r>
              <w:r w:rsidRPr="00856456">
                <w:rPr>
                  <w:rFonts w:ascii="Verdana" w:hAnsi="Verdana"/>
                  <w:sz w:val="18"/>
                  <w:szCs w:val="18"/>
                </w:rPr>
                <w:t xml:space="preserve"> Ook wijst de toelichting op artikel 19f, derde lid, van de </w:t>
              </w:r>
              <w:proofErr w:type="spellStart"/>
              <w:r w:rsidRPr="00856456">
                <w:rPr>
                  <w:rFonts w:ascii="Verdana" w:hAnsi="Verdana"/>
                  <w:sz w:val="18"/>
                  <w:szCs w:val="18"/>
                </w:rPr>
                <w:t>Nbw</w:t>
              </w:r>
              <w:proofErr w:type="spellEnd"/>
              <w:r w:rsidRPr="00856456">
                <w:rPr>
                  <w:rFonts w:ascii="Verdana" w:hAnsi="Verdana"/>
                  <w:sz w:val="18"/>
                  <w:szCs w:val="18"/>
                </w:rPr>
                <w:t xml:space="preserve"> 1998, waarin – kort gezegd – is geregeld dat geen nieuwe passende beoordeling behoeft te worden gemaakt voor zover de eerdere passende beoordeling nog actueel is.</w:t>
              </w:r>
              <w:r w:rsidRPr="00856456">
                <w:rPr>
                  <w:rFonts w:ascii="Verdana" w:hAnsi="Verdana"/>
                  <w:sz w:val="18"/>
                  <w:szCs w:val="18"/>
                  <w:vertAlign w:val="superscript"/>
                </w:rPr>
                <w:footnoteReference w:id="11"/>
              </w:r>
              <w:r w:rsidRPr="00856456">
                <w:rPr>
                  <w:rFonts w:ascii="Verdana" w:hAnsi="Verdana"/>
                  <w:sz w:val="18"/>
                  <w:szCs w:val="18"/>
                </w:rPr>
                <w:t xml:space="preserve"> </w:t>
              </w:r>
            </w:p>
            <w:p w:rsidRPr="00856456" w:rsidR="008B69EE" w:rsidP="008B69EE" w:rsidRDefault="00856456">
              <w:pPr>
                <w:rPr>
                  <w:rFonts w:ascii="Verdana" w:hAnsi="Verdana"/>
                  <w:b/>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 xml:space="preserve">De Afdeling merkt hierover het volgende op. Niet kan worden uitgesloten dat een passende beoordeling op het moment van de vergunningverlening niet meer actueel is. De toelichting gaat niet in op de vraag welke rechtsgevolgen dan aan de verouderde passende beoordeling moeten worden verbonden. Gelet op de verwijzing naar artikel 19f, derde lid, berust het voorstel mogelijk op de vooronderstelling dat in zo’n geval alsnog een </w:t>
              </w:r>
              <w:proofErr w:type="spellStart"/>
              <w:r w:rsidRPr="00856456">
                <w:rPr>
                  <w:rFonts w:ascii="Verdana" w:hAnsi="Verdana"/>
                  <w:sz w:val="18"/>
                  <w:szCs w:val="18"/>
                </w:rPr>
                <w:t>Nbw</w:t>
              </w:r>
              <w:proofErr w:type="spellEnd"/>
              <w:r w:rsidRPr="00856456">
                <w:rPr>
                  <w:rFonts w:ascii="Verdana" w:hAnsi="Verdana"/>
                  <w:sz w:val="18"/>
                  <w:szCs w:val="18"/>
                </w:rPr>
                <w:t xml:space="preserve"> 1998-vergunning verleend zou kunnen worden, waarvoor een nieuwe passende beoordeling wordt gemaakt. Het voorstel sluit evenwel de </w:t>
              </w:r>
              <w:proofErr w:type="spellStart"/>
              <w:r w:rsidRPr="00856456">
                <w:rPr>
                  <w:rFonts w:ascii="Verdana" w:hAnsi="Verdana"/>
                  <w:sz w:val="18"/>
                  <w:szCs w:val="18"/>
                </w:rPr>
                <w:t>Nbw</w:t>
              </w:r>
              <w:proofErr w:type="spellEnd"/>
              <w:r w:rsidRPr="00856456">
                <w:rPr>
                  <w:rFonts w:ascii="Verdana" w:hAnsi="Verdana"/>
                  <w:sz w:val="18"/>
                  <w:szCs w:val="18"/>
                </w:rPr>
                <w:t xml:space="preserve"> 1998-vergunningplicht uitdrukkelijk uit. Het komt de Afdeling daarom voor dat in die situatie slechts een vergunning kan worden verleend, nadat het kavelbesluit opnieuw is vastgesteld met gebruikmaking van een geactualiseerde passende beoordeling. Niet duidelijk is of dit effect wordt beoogd.</w:t>
              </w:r>
            </w:p>
            <w:p w:rsidRPr="00856456" w:rsidR="008B69EE" w:rsidP="008B69EE" w:rsidRDefault="00856456">
              <w:pPr>
                <w:rPr>
                  <w:rFonts w:ascii="Verdana" w:hAnsi="Verdana"/>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De Afdeling adviseert de toelichting in het licht van het voorgaande te verduidelijken en zo nodig het wetsvoorstel aan te passen.</w:t>
              </w:r>
            </w:p>
            <w:p w:rsidRPr="00856456" w:rsidR="008B69EE" w:rsidP="008B69EE" w:rsidRDefault="00856456">
              <w:pPr>
                <w:rPr>
                  <w:rFonts w:ascii="Verdana" w:hAnsi="Verdana"/>
                  <w:sz w:val="18"/>
                  <w:szCs w:val="18"/>
                </w:rPr>
              </w:pPr>
            </w:p>
            <w:p w:rsidRPr="00856456" w:rsidR="00305CF5" w:rsidRDefault="006F72C1">
              <w:pPr>
                <w:rPr>
                  <w:rFonts w:ascii="Verdana" w:hAnsi="Verdana"/>
                  <w:sz w:val="18"/>
                  <w:szCs w:val="18"/>
                </w:rPr>
              </w:pPr>
              <w:r w:rsidRPr="00856456">
                <w:rPr>
                  <w:rFonts w:ascii="Verdana" w:hAnsi="Verdana"/>
                  <w:sz w:val="18"/>
                  <w:szCs w:val="18"/>
                </w:rPr>
                <w:br w:type="page"/>
              </w:r>
            </w:p>
            <w:p w:rsidRPr="00856456" w:rsidR="008B69EE" w:rsidP="008B69EE" w:rsidRDefault="006F72C1">
              <w:pPr>
                <w:rPr>
                  <w:rFonts w:ascii="Verdana" w:hAnsi="Verdana"/>
                  <w:sz w:val="18"/>
                  <w:szCs w:val="18"/>
                  <w:u w:val="single"/>
                </w:rPr>
              </w:pPr>
              <w:r w:rsidRPr="00856456">
                <w:rPr>
                  <w:rFonts w:ascii="Verdana" w:hAnsi="Verdana"/>
                  <w:sz w:val="18"/>
                  <w:szCs w:val="18"/>
                </w:rPr>
                <w:lastRenderedPageBreak/>
                <w:t>3.</w:t>
              </w:r>
              <w:r w:rsidRPr="00856456">
                <w:rPr>
                  <w:rFonts w:ascii="Verdana" w:hAnsi="Verdana"/>
                  <w:sz w:val="18"/>
                  <w:szCs w:val="18"/>
                </w:rPr>
                <w:tab/>
              </w:r>
              <w:r w:rsidRPr="00856456">
                <w:rPr>
                  <w:rFonts w:ascii="Verdana" w:hAnsi="Verdana"/>
                  <w:sz w:val="18"/>
                  <w:szCs w:val="18"/>
                  <w:u w:val="single"/>
                </w:rPr>
                <w:t xml:space="preserve">Wijziging en intrekking </w:t>
              </w:r>
            </w:p>
            <w:p w:rsidRPr="00856456" w:rsidR="008B69EE" w:rsidP="008B69EE" w:rsidRDefault="00856456">
              <w:pPr>
                <w:rPr>
                  <w:rFonts w:ascii="Verdana" w:hAnsi="Verdana"/>
                  <w:sz w:val="18"/>
                  <w:szCs w:val="18"/>
                  <w:u w:val="single"/>
                </w:rPr>
              </w:pPr>
            </w:p>
            <w:p w:rsidRPr="00856456" w:rsidR="008B69EE" w:rsidP="008B69EE" w:rsidRDefault="006F72C1">
              <w:pPr>
                <w:rPr>
                  <w:rFonts w:ascii="Verdana" w:hAnsi="Verdana"/>
                  <w:sz w:val="18"/>
                  <w:szCs w:val="18"/>
                </w:rPr>
              </w:pPr>
              <w:r w:rsidRPr="00856456">
                <w:rPr>
                  <w:rFonts w:ascii="Verdana" w:hAnsi="Verdana"/>
                  <w:sz w:val="18"/>
                  <w:szCs w:val="18"/>
                </w:rPr>
                <w:t>In het wetsvoorstel wordt voorzien in specifieke grondslagen voor het wijzigen en intrekken van het kavelbesluit en de vergunning.</w:t>
              </w:r>
              <w:r w:rsidRPr="00856456">
                <w:rPr>
                  <w:rStyle w:val="Voetnootmarkering"/>
                  <w:rFonts w:ascii="Verdana" w:hAnsi="Verdana"/>
                  <w:sz w:val="18"/>
                  <w:szCs w:val="18"/>
                </w:rPr>
                <w:footnoteReference w:id="12"/>
              </w:r>
              <w:r w:rsidRPr="00856456">
                <w:rPr>
                  <w:rFonts w:ascii="Verdana" w:hAnsi="Verdana"/>
                  <w:sz w:val="18"/>
                  <w:szCs w:val="18"/>
                </w:rPr>
                <w:t xml:space="preserve"> De Afdeling maakt hierover de volgende opmerkingen.</w:t>
              </w:r>
            </w:p>
            <w:p w:rsidRPr="00856456" w:rsidR="008B69EE" w:rsidP="008B69EE" w:rsidRDefault="00856456">
              <w:pPr>
                <w:rPr>
                  <w:rFonts w:ascii="Verdana" w:hAnsi="Verdana"/>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a.</w:t>
              </w:r>
              <w:r w:rsidRPr="00856456">
                <w:rPr>
                  <w:rFonts w:ascii="Verdana" w:hAnsi="Verdana"/>
                  <w:sz w:val="18"/>
                  <w:szCs w:val="18"/>
                </w:rPr>
                <w:tab/>
              </w:r>
              <w:r w:rsidRPr="00856456">
                <w:rPr>
                  <w:rFonts w:ascii="Verdana" w:hAnsi="Verdana"/>
                  <w:i/>
                  <w:sz w:val="18"/>
                  <w:szCs w:val="18"/>
                </w:rPr>
                <w:t>Rechtsbescherming</w:t>
              </w:r>
            </w:p>
            <w:p w:rsidRPr="00856456" w:rsidR="008B69EE" w:rsidP="008B69EE" w:rsidRDefault="006F72C1">
              <w:pPr>
                <w:rPr>
                  <w:rFonts w:ascii="Verdana" w:hAnsi="Verdana"/>
                  <w:sz w:val="18"/>
                  <w:szCs w:val="18"/>
                </w:rPr>
              </w:pPr>
              <w:r w:rsidRPr="00856456">
                <w:rPr>
                  <w:rFonts w:ascii="Verdana" w:hAnsi="Verdana"/>
                  <w:sz w:val="18"/>
                  <w:szCs w:val="18"/>
                </w:rPr>
                <w:t>Tegen de in het wetsvoorstel voorziene kavelbesluiten staat beroep open bij de Afdeling bestuursrechtspraak van de Raad van State (hierna: ABRS).</w:t>
              </w:r>
              <w:r w:rsidRPr="00856456">
                <w:rPr>
                  <w:rStyle w:val="Voetnootmarkering"/>
                  <w:rFonts w:ascii="Verdana" w:hAnsi="Verdana"/>
                  <w:sz w:val="18"/>
                  <w:szCs w:val="18"/>
                </w:rPr>
                <w:footnoteReference w:id="13"/>
              </w:r>
              <w:r w:rsidRPr="00856456">
                <w:rPr>
                  <w:rFonts w:ascii="Verdana" w:hAnsi="Verdana"/>
                  <w:sz w:val="18"/>
                  <w:szCs w:val="18"/>
                </w:rPr>
                <w:t xml:space="preserve"> Het College van Beroep voor het bedrijfsleven (hierna: </w:t>
              </w:r>
              <w:proofErr w:type="spellStart"/>
              <w:r w:rsidRPr="00856456">
                <w:rPr>
                  <w:rFonts w:ascii="Verdana" w:hAnsi="Verdana"/>
                  <w:sz w:val="18"/>
                  <w:szCs w:val="18"/>
                </w:rPr>
                <w:t>CBb</w:t>
              </w:r>
              <w:proofErr w:type="spellEnd"/>
              <w:r w:rsidRPr="00856456">
                <w:rPr>
                  <w:rFonts w:ascii="Verdana" w:hAnsi="Verdana"/>
                  <w:sz w:val="18"/>
                  <w:szCs w:val="18"/>
                </w:rPr>
                <w:t>) wordt bevoegd te beslissen in geschillen over vergunningen.</w:t>
              </w:r>
              <w:r w:rsidRPr="00856456">
                <w:rPr>
                  <w:rStyle w:val="Voetnootmarkering"/>
                  <w:rFonts w:ascii="Verdana" w:hAnsi="Verdana"/>
                  <w:sz w:val="18"/>
                  <w:szCs w:val="18"/>
                </w:rPr>
                <w:footnoteReference w:id="14"/>
              </w:r>
              <w:r w:rsidRPr="00856456">
                <w:rPr>
                  <w:rFonts w:ascii="Verdana" w:hAnsi="Verdana"/>
                  <w:sz w:val="18"/>
                  <w:szCs w:val="18"/>
                </w:rPr>
                <w:t xml:space="preserve"> Het voorstel voorziet in een specifieke grondslag voor de wijziging en intrekking van zowel het kavelbesluit als de vergunning; in rechtsbescherming tegen deze besluiten is evenwel niet voorzien. Het ligt in de rede tegen deze besluiten eveneens beroep open te stellen bij de ABRS  respectievelijk het </w:t>
              </w:r>
              <w:proofErr w:type="spellStart"/>
              <w:r w:rsidRPr="00856456">
                <w:rPr>
                  <w:rFonts w:ascii="Verdana" w:hAnsi="Verdana"/>
                  <w:sz w:val="18"/>
                  <w:szCs w:val="18"/>
                </w:rPr>
                <w:t>CBb</w:t>
              </w:r>
              <w:proofErr w:type="spellEnd"/>
              <w:r w:rsidRPr="00856456">
                <w:rPr>
                  <w:rFonts w:ascii="Verdana" w:hAnsi="Verdana"/>
                  <w:sz w:val="18"/>
                  <w:szCs w:val="18"/>
                </w:rPr>
                <w:t>. Daarvoor is een expliciete vermelding in hoofdstuk 2 van bijlage 2 bij de Algemene wet bestuursrecht noodzakelijk. In verband hiermee dient in artikel 31, onderdeel 2, een verwijzing naar artikel 11, eerste lid respectievelijk in artikel 31, onderdeel 3, een verwijzing naar artikel 22 te worden opgenomen.</w:t>
              </w:r>
            </w:p>
            <w:p w:rsidRPr="00856456" w:rsidR="008B69EE" w:rsidP="008B69EE" w:rsidRDefault="00856456">
              <w:pPr>
                <w:rPr>
                  <w:rFonts w:ascii="Verdana" w:hAnsi="Verdana"/>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De Afdeling adviseert het voorstel aan te passen.</w:t>
              </w:r>
            </w:p>
            <w:p w:rsidRPr="00856456" w:rsidR="008B69EE" w:rsidP="008B69EE" w:rsidRDefault="00856456">
              <w:pPr>
                <w:rPr>
                  <w:rFonts w:ascii="Verdana" w:hAnsi="Verdana"/>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b.</w:t>
              </w:r>
              <w:r w:rsidRPr="00856456">
                <w:rPr>
                  <w:rFonts w:ascii="Verdana" w:hAnsi="Verdana"/>
                  <w:sz w:val="18"/>
                  <w:szCs w:val="18"/>
                </w:rPr>
                <w:tab/>
              </w:r>
              <w:r w:rsidRPr="00856456">
                <w:rPr>
                  <w:rFonts w:ascii="Verdana" w:hAnsi="Verdana"/>
                  <w:i/>
                  <w:sz w:val="18"/>
                  <w:szCs w:val="18"/>
                </w:rPr>
                <w:t>Gevolgen wijziging en intrekking</w:t>
              </w:r>
            </w:p>
            <w:p w:rsidRPr="00856456" w:rsidR="008B69EE" w:rsidP="008B69EE" w:rsidRDefault="006F72C1">
              <w:pPr>
                <w:rPr>
                  <w:rFonts w:ascii="Verdana" w:hAnsi="Verdana"/>
                  <w:sz w:val="18"/>
                  <w:szCs w:val="18"/>
                </w:rPr>
              </w:pPr>
              <w:r w:rsidRPr="00856456">
                <w:rPr>
                  <w:rFonts w:ascii="Verdana" w:hAnsi="Verdana"/>
                  <w:sz w:val="18"/>
                  <w:szCs w:val="18"/>
                </w:rPr>
                <w:t>Zoals gezegd voorziet het wetsvoorstel in de bevoegdheid tot wijziging en intrekking van zowel kavelbesluiten als vergunningen. In de toelichting wordt echter onvoldoende ingegaan op de gevolgen daarvan.</w:t>
              </w:r>
              <w:r w:rsidRPr="00856456">
                <w:rPr>
                  <w:rStyle w:val="Voetnootmarkering"/>
                  <w:rFonts w:ascii="Verdana" w:hAnsi="Verdana"/>
                  <w:sz w:val="18"/>
                  <w:szCs w:val="18"/>
                </w:rPr>
                <w:footnoteReference w:id="15"/>
              </w:r>
              <w:r w:rsidRPr="00856456">
                <w:rPr>
                  <w:rFonts w:ascii="Verdana" w:hAnsi="Verdana"/>
                  <w:sz w:val="18"/>
                  <w:szCs w:val="18"/>
                </w:rPr>
                <w:t xml:space="preserve"> Bepaald is dat geen vergunning kan worden verleend voor een gebied gelegen buiten een kavel en dat deze slechts kan worden verleend indien in de vergunningaanvraag voldoende aannemelijk is gemaakt dat het windpark voldoet aan het kavelbesluit.</w:t>
              </w:r>
              <w:r w:rsidRPr="00856456">
                <w:rPr>
                  <w:rStyle w:val="Voetnootmarkering"/>
                  <w:rFonts w:ascii="Verdana" w:hAnsi="Verdana"/>
                  <w:sz w:val="18"/>
                  <w:szCs w:val="18"/>
                </w:rPr>
                <w:footnoteReference w:id="16"/>
              </w:r>
              <w:r w:rsidRPr="00856456">
                <w:rPr>
                  <w:rFonts w:ascii="Verdana" w:hAnsi="Verdana"/>
                  <w:sz w:val="18"/>
                  <w:szCs w:val="18"/>
                </w:rPr>
                <w:t xml:space="preserve"> Er wordt echter niet toegelicht welke gevolgen het wijzigen of intrekken van het kavelbesluit heeft voor bijvoorbeeld de rechtmatigheid van de reeds verleende vergunning.</w:t>
              </w:r>
            </w:p>
            <w:p w:rsidRPr="00856456" w:rsidR="008B69EE" w:rsidP="008B69EE" w:rsidRDefault="00856456">
              <w:pPr>
                <w:rPr>
                  <w:rFonts w:ascii="Verdana" w:hAnsi="Verdana"/>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De Afdeling adviseert de toelichting aan te vullen en zo nodig het voorstel aan te passen.</w:t>
              </w:r>
            </w:p>
            <w:p w:rsidRPr="00856456" w:rsidR="008B69EE" w:rsidP="008B69EE" w:rsidRDefault="00856456">
              <w:pPr>
                <w:rPr>
                  <w:rFonts w:ascii="Verdana" w:hAnsi="Verdana"/>
                  <w:sz w:val="18"/>
                  <w:szCs w:val="18"/>
                </w:rPr>
              </w:pPr>
            </w:p>
            <w:p w:rsidRPr="00856456" w:rsidR="008B69EE" w:rsidP="008B69EE" w:rsidRDefault="006F72C1">
              <w:pPr>
                <w:rPr>
                  <w:rFonts w:ascii="Verdana" w:hAnsi="Verdana"/>
                  <w:sz w:val="18"/>
                  <w:szCs w:val="18"/>
                  <w:u w:val="single"/>
                </w:rPr>
              </w:pPr>
              <w:r w:rsidRPr="00856456">
                <w:rPr>
                  <w:rFonts w:ascii="Verdana" w:hAnsi="Verdana"/>
                  <w:sz w:val="18"/>
                  <w:szCs w:val="18"/>
                </w:rPr>
                <w:t>4.</w:t>
              </w:r>
              <w:r w:rsidRPr="00856456">
                <w:rPr>
                  <w:rFonts w:ascii="Verdana" w:hAnsi="Verdana"/>
                  <w:sz w:val="18"/>
                  <w:szCs w:val="18"/>
                </w:rPr>
                <w:tab/>
              </w:r>
              <w:r w:rsidRPr="00856456">
                <w:rPr>
                  <w:rFonts w:ascii="Verdana" w:hAnsi="Verdana"/>
                  <w:sz w:val="18"/>
                  <w:szCs w:val="18"/>
                  <w:u w:val="single"/>
                </w:rPr>
                <w:t>Besluitvorming in de territoriale zee</w:t>
              </w:r>
            </w:p>
            <w:p w:rsidRPr="00856456" w:rsidR="008B69EE" w:rsidP="008B69EE" w:rsidRDefault="00856456">
              <w:pPr>
                <w:rPr>
                  <w:rFonts w:ascii="Verdana" w:hAnsi="Verdana"/>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In het geldende Nationale Waterplan en in het in voorbereiding zijnde ontwerp-</w:t>
              </w:r>
              <w:proofErr w:type="spellStart"/>
              <w:r w:rsidRPr="00856456">
                <w:rPr>
                  <w:rFonts w:ascii="Verdana" w:hAnsi="Verdana"/>
                  <w:sz w:val="18"/>
                  <w:szCs w:val="18"/>
                </w:rPr>
                <w:t>rijksstructuurvisie</w:t>
              </w:r>
              <w:proofErr w:type="spellEnd"/>
              <w:r w:rsidRPr="00856456">
                <w:rPr>
                  <w:rFonts w:ascii="Verdana" w:hAnsi="Verdana"/>
                  <w:sz w:val="18"/>
                  <w:szCs w:val="18"/>
                </w:rPr>
                <w:t xml:space="preserve"> Windenergie op zee zijn (vooralsnog) geen zoekgebieden voor windparken in de territoriale zee voorzien.</w:t>
              </w:r>
              <w:r w:rsidRPr="00856456">
                <w:rPr>
                  <w:rStyle w:val="Voetnootmarkering"/>
                  <w:rFonts w:ascii="Verdana" w:hAnsi="Verdana"/>
                  <w:sz w:val="18"/>
                  <w:szCs w:val="18"/>
                </w:rPr>
                <w:footnoteReference w:id="17"/>
              </w:r>
              <w:r w:rsidRPr="00856456">
                <w:rPr>
                  <w:rFonts w:ascii="Verdana" w:hAnsi="Verdana"/>
                  <w:sz w:val="18"/>
                  <w:szCs w:val="18"/>
                </w:rPr>
                <w:t xml:space="preserve"> Wel wordt thans een </w:t>
              </w:r>
              <w:r w:rsidRPr="00856456">
                <w:rPr>
                  <w:rFonts w:ascii="Verdana" w:hAnsi="Verdana"/>
                  <w:sz w:val="18"/>
                  <w:szCs w:val="18"/>
                </w:rPr>
                <w:lastRenderedPageBreak/>
                <w:t>haalbaarheidsstudie uitgevoerd naar de mogelijkheden van windenergieopwekking in de territoriale zee.</w:t>
              </w:r>
              <w:r w:rsidRPr="00856456">
                <w:rPr>
                  <w:rStyle w:val="Voetnootmarkering"/>
                  <w:rFonts w:ascii="Verdana" w:hAnsi="Verdana"/>
                  <w:sz w:val="18"/>
                  <w:szCs w:val="18"/>
                </w:rPr>
                <w:footnoteReference w:id="18"/>
              </w:r>
              <w:r w:rsidRPr="00856456">
                <w:rPr>
                  <w:rFonts w:ascii="Verdana" w:hAnsi="Verdana"/>
                  <w:sz w:val="18"/>
                  <w:szCs w:val="18"/>
                </w:rPr>
                <w:t xml:space="preserve"> Gelet daarop is het niet uitgesloten dat binnen het voorgestelde wettelijke stelsel ook besluitvorming over windparken in de territoriale zee zal plaatsvinden. In dat verband merkt de Afdeling het volgende op.</w:t>
              </w:r>
            </w:p>
            <w:p w:rsidRPr="00856456" w:rsidR="008B69EE" w:rsidP="008B69EE" w:rsidRDefault="00856456">
              <w:pPr>
                <w:rPr>
                  <w:rFonts w:ascii="Verdana" w:hAnsi="Verdana"/>
                  <w:sz w:val="18"/>
                  <w:szCs w:val="18"/>
                </w:rPr>
              </w:pPr>
            </w:p>
            <w:p w:rsidRPr="00856456" w:rsidR="00DE447F" w:rsidP="008B69EE" w:rsidRDefault="006F72C1">
              <w:pPr>
                <w:rPr>
                  <w:rFonts w:ascii="Verdana" w:hAnsi="Verdana"/>
                  <w:sz w:val="18"/>
                  <w:szCs w:val="18"/>
                </w:rPr>
              </w:pPr>
              <w:r w:rsidRPr="00856456">
                <w:rPr>
                  <w:rFonts w:ascii="Verdana" w:hAnsi="Verdana"/>
                  <w:sz w:val="18"/>
                  <w:szCs w:val="18"/>
                </w:rPr>
                <w:t>Zoals gezegd, beoogt het wetsvoorstel een integraal wettelijk kader te bieden voor het op grote schaal realiseren van windenergie op zee.</w:t>
              </w:r>
              <w:r w:rsidRPr="00856456">
                <w:rPr>
                  <w:rStyle w:val="Voetnootmarkering"/>
                  <w:rFonts w:ascii="Verdana" w:hAnsi="Verdana"/>
                  <w:sz w:val="18"/>
                  <w:szCs w:val="18"/>
                </w:rPr>
                <w:footnoteReference w:id="19"/>
              </w:r>
              <w:r w:rsidRPr="00856456">
                <w:rPr>
                  <w:rFonts w:ascii="Verdana" w:hAnsi="Verdana"/>
                  <w:sz w:val="18"/>
                  <w:szCs w:val="18"/>
                </w:rPr>
                <w:t xml:space="preserve"> Het wetsvoorstel integreert een aantal omgevingsrechtelijke toestemmingen die voor de bouw van windparken nodig zijn in het kavelbesluit. De toelichting merkt terecht op dat de Wet algemene bepalingen omgevingsrecht (hierna: </w:t>
              </w:r>
              <w:proofErr w:type="spellStart"/>
              <w:r w:rsidRPr="00856456">
                <w:rPr>
                  <w:rFonts w:ascii="Verdana" w:hAnsi="Verdana"/>
                  <w:sz w:val="18"/>
                  <w:szCs w:val="18"/>
                </w:rPr>
                <w:t>Wabo</w:t>
              </w:r>
              <w:proofErr w:type="spellEnd"/>
              <w:r w:rsidRPr="00856456">
                <w:rPr>
                  <w:rFonts w:ascii="Verdana" w:hAnsi="Verdana"/>
                  <w:sz w:val="18"/>
                  <w:szCs w:val="18"/>
                </w:rPr>
                <w:t xml:space="preserve">) van toepassing is op de territoriale zee. Voor de bouw van windparken in de territoriale zee is mede een omgevingsvergunning krachtens de </w:t>
              </w:r>
              <w:proofErr w:type="spellStart"/>
              <w:r w:rsidRPr="00856456">
                <w:rPr>
                  <w:rFonts w:ascii="Verdana" w:hAnsi="Verdana"/>
                  <w:sz w:val="18"/>
                  <w:szCs w:val="18"/>
                </w:rPr>
                <w:t>Wabo</w:t>
              </w:r>
              <w:proofErr w:type="spellEnd"/>
              <w:r w:rsidRPr="00856456">
                <w:rPr>
                  <w:rFonts w:ascii="Verdana" w:hAnsi="Verdana"/>
                  <w:sz w:val="18"/>
                  <w:szCs w:val="18"/>
                </w:rPr>
                <w:t xml:space="preserve"> nodig.</w:t>
              </w:r>
              <w:r w:rsidRPr="00856456">
                <w:rPr>
                  <w:rStyle w:val="Voetnootmarkering"/>
                  <w:rFonts w:ascii="Verdana" w:hAnsi="Verdana"/>
                  <w:sz w:val="18"/>
                  <w:szCs w:val="18"/>
                </w:rPr>
                <w:footnoteReference w:id="20"/>
              </w:r>
              <w:r w:rsidRPr="00856456">
                <w:rPr>
                  <w:rFonts w:ascii="Verdana" w:hAnsi="Verdana"/>
                  <w:sz w:val="18"/>
                  <w:szCs w:val="18"/>
                </w:rPr>
                <w:t xml:space="preserve"> </w:t>
              </w:r>
            </w:p>
            <w:p w:rsidRPr="00856456" w:rsidR="00DE447F" w:rsidP="008B69EE" w:rsidRDefault="00856456">
              <w:pPr>
                <w:rPr>
                  <w:rFonts w:ascii="Verdana" w:hAnsi="Verdana"/>
                  <w:sz w:val="18"/>
                  <w:szCs w:val="18"/>
                </w:rPr>
              </w:pPr>
            </w:p>
            <w:p w:rsidRPr="00856456" w:rsidR="008B69EE" w:rsidP="008B69EE" w:rsidRDefault="006F72C1">
              <w:pPr>
                <w:rPr>
                  <w:rFonts w:ascii="Verdana" w:hAnsi="Verdana"/>
                  <w:sz w:val="18"/>
                  <w:szCs w:val="18"/>
                </w:rPr>
              </w:pPr>
              <w:r w:rsidRPr="00856456">
                <w:rPr>
                  <w:rFonts w:ascii="Verdana" w:hAnsi="Verdana"/>
                  <w:sz w:val="18"/>
                  <w:szCs w:val="18"/>
                </w:rPr>
                <w:t>De Afdeling merkt op dat het wetsvoorstel de omgevingsvergunning niet in het kavelbesluit integreert, zodat het in zoverre geen volledige integratie van de benodigde omgevingsrechtelijke toestemmingen biedt. Gelet op het oogmerk van bundeling van de besluitvorming over windparken op zee, verdient het aanbeveling om te bezien of en hoe de omgevingsvergunningplicht kan worden betrokken bij de geïntegreerde besluitvorming over het kavelbesluit. Daarbij lijkt van belang te bezien welke toegevoegde waarde de omgevingsvergunning nog heeft, gelet op het kavelbesluit dat reeds ziet op ruimtelijke en natuuraspecten en op de bouw.</w:t>
              </w:r>
            </w:p>
            <w:p w:rsidRPr="00856456" w:rsidR="008B69EE" w:rsidP="008B69EE" w:rsidRDefault="00856456">
              <w:pPr>
                <w:rPr>
                  <w:rFonts w:ascii="Verdana" w:hAnsi="Verdana"/>
                  <w:sz w:val="18"/>
                  <w:szCs w:val="18"/>
                </w:rPr>
              </w:pPr>
            </w:p>
            <w:p w:rsidRPr="00856456" w:rsidR="00891BB0" w:rsidP="008B69EE" w:rsidRDefault="006F72C1">
              <w:pPr>
                <w:rPr>
                  <w:rFonts w:ascii="Verdana" w:hAnsi="Verdana"/>
                  <w:sz w:val="18"/>
                  <w:szCs w:val="18"/>
                </w:rPr>
              </w:pPr>
              <w:r w:rsidRPr="00856456">
                <w:rPr>
                  <w:rFonts w:ascii="Verdana" w:hAnsi="Verdana"/>
                  <w:sz w:val="18"/>
                  <w:szCs w:val="18"/>
                </w:rPr>
                <w:t>De Afdeling adviseert hierop in de toelichting in te gaan en het voorstel zo nodig aan te passen.</w:t>
              </w:r>
            </w:p>
          </w:sdtContent>
        </w:sdt>
        <w:p w:rsidRPr="00856456" w:rsidR="008C5EDD" w:rsidP="00CE4655" w:rsidRDefault="008C5EDD">
          <w:pPr>
            <w:rPr>
              <w:rFonts w:ascii="Verdana" w:hAnsi="Verdana"/>
              <w:sz w:val="18"/>
              <w:szCs w:val="18"/>
            </w:rPr>
          </w:pPr>
        </w:p>
        <w:sdt>
          <w:sdtPr>
            <w:rPr>
              <w:rFonts w:ascii="Verdana" w:hAnsi="Verdana"/>
              <w:sz w:val="18"/>
              <w:szCs w:val="18"/>
            </w:rPr>
            <w:alias w:val="VrijeTekst2"/>
            <w:tag w:val="VrijeTekst2"/>
            <w:id w:val="-1010833392"/>
            <w:lock w:val="sdtLocked"/>
            <w:placeholder>
              <w:docPart w:val="DefaultPlaceholder_1082065158"/>
            </w:placeholder>
          </w:sdtPr>
          <w:sdtEndPr/>
          <w:sdtContent>
            <w:p w:rsidRPr="00856456" w:rsidR="007212F1" w:rsidP="00891BB0" w:rsidRDefault="006F72C1">
              <w:pPr>
                <w:rPr>
                  <w:rFonts w:ascii="Verdana" w:hAnsi="Verdana"/>
                  <w:sz w:val="18"/>
                  <w:szCs w:val="18"/>
                </w:rPr>
              </w:pPr>
              <w:r w:rsidRPr="00856456">
                <w:rPr>
                  <w:rFonts w:ascii="Verdana" w:hAnsi="Verdana"/>
                  <w:sz w:val="18"/>
                  <w:szCs w:val="18"/>
                </w:rPr>
                <w:t>5.</w:t>
              </w:r>
              <w:r w:rsidRPr="00856456">
                <w:rPr>
                  <w:rFonts w:ascii="Verdana" w:hAnsi="Verdana"/>
                  <w:sz w:val="18"/>
                  <w:szCs w:val="18"/>
                </w:rPr>
                <w:tab/>
                <w:t>De Afdeling verwijst naar de bij dit advies behorende redactionele bijlage.</w:t>
              </w:r>
            </w:p>
          </w:sdtContent>
        </w:sdt>
        <w:p w:rsidRPr="00856456" w:rsidR="001410FD" w:rsidP="00796479" w:rsidRDefault="001410FD">
          <w:pPr>
            <w:rPr>
              <w:rFonts w:ascii="Verdana" w:hAnsi="Verdana"/>
              <w:sz w:val="18"/>
              <w:szCs w:val="18"/>
            </w:rPr>
          </w:pPr>
        </w:p>
        <w:sdt>
          <w:sdtPr>
            <w:rPr>
              <w:rFonts w:ascii="Verdana" w:hAnsi="Verdana"/>
              <w:sz w:val="18"/>
              <w:szCs w:val="18"/>
            </w:rPr>
            <w:alias w:val="Dictum"/>
            <w:tag w:val="Dictum"/>
            <w:id w:val="316161467"/>
            <w:lock w:val="sdtContentLocked"/>
            <w:placeholder>
              <w:docPart w:val="DefaultPlaceholder_1082065158"/>
            </w:placeholder>
            <w:text w:multiLine="1"/>
          </w:sdtPr>
          <w:sdtEndPr/>
          <w:sdtContent>
            <w:p w:rsidRPr="00856456" w:rsidR="00A367B3" w:rsidRDefault="006F72C1">
              <w:pPr>
                <w:rPr>
                  <w:rFonts w:ascii="Verdana" w:hAnsi="Verdana"/>
                  <w:sz w:val="18"/>
                  <w:szCs w:val="18"/>
                </w:rPr>
              </w:pPr>
              <w:r w:rsidRPr="00856456">
                <w:rPr>
                  <w:rFonts w:ascii="Verdana" w:hAnsi="Verdana"/>
                  <w:sz w:val="18"/>
                  <w:szCs w:val="18"/>
                </w:rPr>
                <w:t>De Afdeling advisering van de Raad van State geeft U in overweging het voorstel van wet te zenden aan de Tweede Kamer der Staten-Generaal, nadat met het vorenstaande rekening zal zijn gehouden.</w:t>
              </w:r>
              <w:r w:rsidRPr="00856456">
                <w:rPr>
                  <w:rFonts w:ascii="Verdana" w:hAnsi="Verdana"/>
                  <w:sz w:val="18"/>
                  <w:szCs w:val="18"/>
                </w:rPr>
                <w:br/>
              </w:r>
              <w:r w:rsidRPr="00856456">
                <w:rPr>
                  <w:rFonts w:ascii="Verdana" w:hAnsi="Verdana"/>
                  <w:sz w:val="18"/>
                  <w:szCs w:val="18"/>
                </w:rPr>
                <w:br/>
              </w:r>
              <w:r w:rsidRPr="00856456">
                <w:rPr>
                  <w:rFonts w:ascii="Verdana" w:hAnsi="Verdana"/>
                  <w:sz w:val="18"/>
                  <w:szCs w:val="18"/>
                </w:rPr>
                <w:br/>
                <w:t>De vice-president van de Raad van State,</w:t>
              </w:r>
            </w:p>
          </w:sdtContent>
        </w:sdt>
        <w:p w:rsidRPr="00856456" w:rsidR="0037367E" w:rsidRDefault="0037367E">
          <w:pPr>
            <w:rPr>
              <w:rFonts w:ascii="Verdana" w:hAnsi="Verdana"/>
              <w:sz w:val="18"/>
              <w:szCs w:val="18"/>
            </w:rPr>
            <w:sectPr w:rsidRPr="00856456"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56456" w:rsidR="00907421" w:rsidP="00907421" w:rsidRDefault="00907421">
          <w:pPr>
            <w:rPr>
              <w:rFonts w:ascii="Verdana" w:hAnsi="Verdana"/>
              <w:sz w:val="18"/>
              <w:szCs w:val="18"/>
            </w:rPr>
          </w:pPr>
          <w:r w:rsidRPr="00856456">
            <w:rPr>
              <w:rFonts w:ascii="Verdana" w:hAnsi="Verdana"/>
              <w:sz w:val="18"/>
              <w:szCs w:val="18"/>
            </w:rPr>
            <w:lastRenderedPageBreak/>
            <w:t xml:space="preserve">Redactionele bijlage bij het advies van de Afdeling advisering van de Raad van State </w:t>
          </w:r>
          <w:sdt>
            <w:sdtPr>
              <w:rPr>
                <w:rFonts w:ascii="Verdana" w:hAnsi="Verdana"/>
                <w:sz w:val="18"/>
                <w:szCs w:val="18"/>
              </w:rPr>
              <w:alias w:val="Koninkrijk"/>
              <w:tag w:val="Koninkrijk"/>
              <w:id w:val="-483087506"/>
              <w:lock w:val="sdtContentLocked"/>
              <w:text/>
            </w:sdtPr>
            <w:sdtEndPr/>
            <w:sdtContent/>
          </w:sdt>
          <w:r w:rsidRPr="00856456">
            <w:rPr>
              <w:rFonts w:ascii="Verdana" w:hAnsi="Verdana"/>
              <w:sz w:val="18"/>
              <w:szCs w:val="18"/>
            </w:rPr>
            <w:t>betreffende no.</w:t>
          </w:r>
          <w:sdt>
            <w:sdtPr>
              <w:rPr>
                <w:rFonts w:ascii="Verdana" w:hAnsi="Verdana"/>
                <w:sz w:val="18"/>
                <w:szCs w:val="18"/>
              </w:rPr>
              <w:alias w:val="ZaakNummer"/>
              <w:tag w:val="ZaakNummer"/>
              <w:id w:val="809745491"/>
              <w:lock w:val="sdtContentLocked"/>
              <w:text/>
            </w:sdtPr>
            <w:sdtEndPr/>
            <w:sdtContent>
              <w:r w:rsidRPr="00856456">
                <w:rPr>
                  <w:rFonts w:ascii="Verdana" w:hAnsi="Verdana"/>
                  <w:sz w:val="18"/>
                  <w:szCs w:val="18"/>
                </w:rPr>
                <w:t>W15.14.0274</w:t>
              </w:r>
            </w:sdtContent>
          </w:sdt>
          <w:r w:rsidRPr="00856456">
            <w:rPr>
              <w:rFonts w:ascii="Verdana" w:hAnsi="Verdana"/>
              <w:sz w:val="18"/>
              <w:szCs w:val="18"/>
            </w:rPr>
            <w:t>/</w:t>
          </w:r>
          <w:sdt>
            <w:sdtPr>
              <w:rPr>
                <w:rFonts w:ascii="Verdana" w:hAnsi="Verdana"/>
                <w:sz w:val="18"/>
                <w:szCs w:val="18"/>
              </w:rPr>
              <w:alias w:val="Sectie"/>
              <w:tag w:val="Sectie"/>
              <w:id w:val="743463611"/>
              <w:lock w:val="sdtContentLocked"/>
              <w:text/>
            </w:sdtPr>
            <w:sdtEndPr/>
            <w:sdtContent>
              <w:r w:rsidRPr="00856456">
                <w:rPr>
                  <w:rFonts w:ascii="Verdana" w:hAnsi="Verdana"/>
                  <w:sz w:val="18"/>
                  <w:szCs w:val="18"/>
                </w:rPr>
                <w:t>IV</w:t>
              </w:r>
            </w:sdtContent>
          </w:sdt>
        </w:p>
        <w:p w:rsidRPr="00856456" w:rsidR="001410FD" w:rsidRDefault="001410FD">
          <w:pPr>
            <w:rPr>
              <w:rFonts w:ascii="Verdana" w:hAnsi="Verdana"/>
              <w:sz w:val="18"/>
              <w:szCs w:val="18"/>
            </w:rPr>
          </w:pPr>
        </w:p>
        <w:sdt>
          <w:sdtPr>
            <w:rPr>
              <w:rFonts w:ascii="Verdana" w:hAnsi="Verdana"/>
              <w:sz w:val="18"/>
              <w:szCs w:val="18"/>
            </w:rPr>
            <w:alias w:val="VrijeTekst3"/>
            <w:tag w:val="VrijeTekst3"/>
            <w:id w:val="2141764690"/>
            <w:lock w:val="sdtLocked"/>
          </w:sdtPr>
          <w:sdtEndPr/>
          <w:sdtContent>
            <w:p w:rsidRPr="00856456" w:rsidR="003F075F" w:rsidP="003F075F" w:rsidRDefault="006F72C1">
              <w:pPr>
                <w:numPr>
                  <w:ilvl w:val="0"/>
                  <w:numId w:val="1"/>
                </w:numPr>
                <w:rPr>
                  <w:rFonts w:ascii="Verdana" w:hAnsi="Verdana"/>
                  <w:sz w:val="18"/>
                  <w:szCs w:val="18"/>
                </w:rPr>
              </w:pPr>
              <w:r w:rsidRPr="00856456">
                <w:rPr>
                  <w:rFonts w:ascii="Verdana" w:hAnsi="Verdana"/>
                  <w:sz w:val="18"/>
                  <w:szCs w:val="18"/>
                </w:rPr>
                <w:t>Het opschrift van hoofdstuk 1 wijzigen in: Begripsbepalingen en werkingssfeer.</w:t>
              </w:r>
              <w:r w:rsidRPr="00856456">
                <w:rPr>
                  <w:rStyle w:val="Voetnootmarkering"/>
                  <w:rFonts w:ascii="Verdana" w:hAnsi="Verdana"/>
                  <w:sz w:val="18"/>
                  <w:szCs w:val="18"/>
                </w:rPr>
                <w:footnoteReference w:id="21"/>
              </w:r>
            </w:p>
            <w:p w:rsidRPr="00856456" w:rsidR="006B4C96" w:rsidP="00A030E2" w:rsidRDefault="006F72C1">
              <w:pPr>
                <w:numPr>
                  <w:ilvl w:val="0"/>
                  <w:numId w:val="1"/>
                </w:numPr>
                <w:rPr>
                  <w:rFonts w:ascii="Verdana" w:hAnsi="Verdana"/>
                  <w:sz w:val="18"/>
                  <w:szCs w:val="18"/>
                </w:rPr>
              </w:pPr>
              <w:r w:rsidRPr="00856456">
                <w:rPr>
                  <w:rFonts w:ascii="Verdana" w:hAnsi="Verdana"/>
                  <w:sz w:val="18"/>
                  <w:szCs w:val="18"/>
                </w:rPr>
                <w:t>Mede gelet op aanwijzing 97 van de Aanwijzingen voor de regelgeving de bepalingen van hoofdstuk 3 zodanig herschikken en vernummeren dat met een onderverdeling in drie paragrafen volstaan kan worden. Dit als volgt uitwerken:</w:t>
              </w:r>
            </w:p>
            <w:p w:rsidRPr="00856456" w:rsidR="00A030E2" w:rsidP="006B4C96" w:rsidRDefault="006F72C1">
              <w:pPr>
                <w:numPr>
                  <w:ilvl w:val="0"/>
                  <w:numId w:val="1"/>
                </w:numPr>
                <w:rPr>
                  <w:rFonts w:ascii="Verdana" w:hAnsi="Verdana"/>
                  <w:sz w:val="18"/>
                  <w:szCs w:val="18"/>
                </w:rPr>
              </w:pPr>
              <w:r w:rsidRPr="00856456">
                <w:rPr>
                  <w:rFonts w:ascii="Verdana" w:hAnsi="Verdana"/>
                  <w:sz w:val="18"/>
                  <w:szCs w:val="18"/>
                </w:rPr>
                <w:t>Het opschrift van hoofdstuk 3 wijzigen in: Vergunning.</w:t>
              </w:r>
            </w:p>
            <w:p w:rsidRPr="00856456" w:rsidR="006B4C96" w:rsidP="006B4C96" w:rsidRDefault="006F72C1">
              <w:pPr>
                <w:numPr>
                  <w:ilvl w:val="0"/>
                  <w:numId w:val="1"/>
                </w:numPr>
                <w:rPr>
                  <w:rFonts w:ascii="Verdana" w:hAnsi="Verdana"/>
                  <w:sz w:val="18"/>
                  <w:szCs w:val="18"/>
                </w:rPr>
              </w:pPr>
              <w:r w:rsidRPr="00856456">
                <w:rPr>
                  <w:rFonts w:ascii="Verdana" w:hAnsi="Verdana"/>
                  <w:sz w:val="18"/>
                  <w:szCs w:val="18"/>
                </w:rPr>
                <w:t>§ 3.1 aanvullen met artikel 3 en de bepalingen van de paragrafen 3.3, 3.4 en 3.5.</w:t>
              </w:r>
            </w:p>
            <w:p w:rsidRPr="00856456" w:rsidR="006B4C96" w:rsidP="006B4C96" w:rsidRDefault="006F72C1">
              <w:pPr>
                <w:numPr>
                  <w:ilvl w:val="0"/>
                  <w:numId w:val="1"/>
                </w:numPr>
                <w:rPr>
                  <w:rFonts w:ascii="Verdana" w:hAnsi="Verdana"/>
                  <w:sz w:val="18"/>
                  <w:szCs w:val="18"/>
                </w:rPr>
              </w:pPr>
              <w:r w:rsidRPr="00856456">
                <w:rPr>
                  <w:rFonts w:ascii="Verdana" w:hAnsi="Verdana"/>
                  <w:sz w:val="18"/>
                  <w:szCs w:val="18"/>
                </w:rPr>
                <w:t>§ 3.2.1 vernummeren tot § 3.2.</w:t>
              </w:r>
            </w:p>
            <w:p w:rsidRPr="00856456" w:rsidR="006B4C96" w:rsidP="006B4C96" w:rsidRDefault="006F72C1">
              <w:pPr>
                <w:numPr>
                  <w:ilvl w:val="0"/>
                  <w:numId w:val="1"/>
                </w:numPr>
                <w:rPr>
                  <w:rFonts w:ascii="Verdana" w:hAnsi="Verdana"/>
                  <w:sz w:val="18"/>
                  <w:szCs w:val="18"/>
                </w:rPr>
              </w:pPr>
              <w:r w:rsidRPr="00856456">
                <w:rPr>
                  <w:rFonts w:ascii="Verdana" w:hAnsi="Verdana"/>
                  <w:sz w:val="18"/>
                  <w:szCs w:val="18"/>
                </w:rPr>
                <w:t>§ 3.2.2 vernummeren tot § 3.3.</w:t>
              </w:r>
            </w:p>
            <w:p w:rsidRPr="00856456" w:rsidR="00A030E2" w:rsidP="00A030E2" w:rsidRDefault="006F72C1">
              <w:pPr>
                <w:numPr>
                  <w:ilvl w:val="0"/>
                  <w:numId w:val="1"/>
                </w:numPr>
                <w:rPr>
                  <w:rFonts w:ascii="Verdana" w:hAnsi="Verdana"/>
                  <w:sz w:val="18"/>
                  <w:szCs w:val="18"/>
                </w:rPr>
              </w:pPr>
              <w:r w:rsidRPr="00856456">
                <w:rPr>
                  <w:rFonts w:ascii="Verdana" w:hAnsi="Verdana"/>
                  <w:sz w:val="18"/>
                  <w:szCs w:val="18"/>
                </w:rPr>
                <w:t>In artikel 13, onderdeel e, “de vergunning” vervangen door: het kavelbesluit.</w:t>
              </w:r>
            </w:p>
            <w:p w:rsidRPr="00856456" w:rsidR="00A030E2" w:rsidP="00A030E2" w:rsidRDefault="006F72C1">
              <w:pPr>
                <w:numPr>
                  <w:ilvl w:val="0"/>
                  <w:numId w:val="1"/>
                </w:numPr>
                <w:rPr>
                  <w:rFonts w:ascii="Verdana" w:hAnsi="Verdana"/>
                  <w:sz w:val="18"/>
                  <w:szCs w:val="18"/>
                </w:rPr>
              </w:pPr>
              <w:r w:rsidRPr="00856456">
                <w:rPr>
                  <w:rFonts w:ascii="Verdana" w:hAnsi="Verdana"/>
                  <w:sz w:val="18"/>
                  <w:szCs w:val="18"/>
                </w:rPr>
                <w:t>In artikel 14 de woorden “wordt verleend” vervangen door: kan worden verleend.</w:t>
              </w:r>
            </w:p>
            <w:p w:rsidRPr="00856456" w:rsidR="00A030E2" w:rsidP="00A030E2" w:rsidRDefault="006F72C1">
              <w:pPr>
                <w:numPr>
                  <w:ilvl w:val="0"/>
                  <w:numId w:val="1"/>
                </w:numPr>
                <w:rPr>
                  <w:rFonts w:ascii="Verdana" w:hAnsi="Verdana"/>
                  <w:sz w:val="18"/>
                  <w:szCs w:val="18"/>
                </w:rPr>
              </w:pPr>
              <w:r w:rsidRPr="00856456">
                <w:rPr>
                  <w:rFonts w:ascii="Verdana" w:hAnsi="Verdana"/>
                  <w:sz w:val="18"/>
                  <w:szCs w:val="18"/>
                </w:rPr>
                <w:t>In artikel 15, eerste lid, en artikel 16, eerste lid, de zinsnede “op grond van … EZ-subsidies” schrappen. Gelet op artikel 14 is deze zinsnede overbodig.</w:t>
              </w:r>
            </w:p>
            <w:p w:rsidRPr="00856456" w:rsidR="00A030E2" w:rsidP="00A030E2" w:rsidRDefault="006F72C1">
              <w:pPr>
                <w:numPr>
                  <w:ilvl w:val="0"/>
                  <w:numId w:val="1"/>
                </w:numPr>
                <w:rPr>
                  <w:rFonts w:ascii="Verdana" w:hAnsi="Verdana"/>
                  <w:sz w:val="18"/>
                  <w:szCs w:val="18"/>
                </w:rPr>
              </w:pPr>
              <w:r w:rsidRPr="00856456">
                <w:rPr>
                  <w:rFonts w:ascii="Verdana" w:hAnsi="Verdana"/>
                  <w:sz w:val="18"/>
                  <w:szCs w:val="18"/>
                </w:rPr>
                <w:t>In artikel 15, tweede lid, de zinsnede “, bedoeld in het eerste lid,” schrappen.</w:t>
              </w:r>
            </w:p>
            <w:p w:rsidRPr="00856456" w:rsidR="00A030E2" w:rsidP="00A030E2" w:rsidRDefault="006F72C1">
              <w:pPr>
                <w:numPr>
                  <w:ilvl w:val="0"/>
                  <w:numId w:val="1"/>
                </w:numPr>
                <w:rPr>
                  <w:rFonts w:ascii="Verdana" w:hAnsi="Verdana"/>
                  <w:sz w:val="18"/>
                  <w:szCs w:val="18"/>
                </w:rPr>
              </w:pPr>
              <w:r w:rsidRPr="00856456">
                <w:rPr>
                  <w:rFonts w:ascii="Verdana" w:hAnsi="Verdana"/>
                  <w:sz w:val="18"/>
                  <w:szCs w:val="18"/>
                </w:rPr>
                <w:t>In artikel 15, derde lid, en artikel 18, vierde lid, de woorden “Voor het aanvragen van” vervangen door: Voor de behandeling van aanvragen om een vergunning.</w:t>
              </w:r>
            </w:p>
            <w:p w:rsidRPr="00856456" w:rsidR="00A030E2" w:rsidP="00A030E2" w:rsidRDefault="006F72C1">
              <w:pPr>
                <w:numPr>
                  <w:ilvl w:val="0"/>
                  <w:numId w:val="1"/>
                </w:numPr>
                <w:rPr>
                  <w:rFonts w:ascii="Verdana" w:hAnsi="Verdana"/>
                  <w:sz w:val="18"/>
                  <w:szCs w:val="18"/>
                </w:rPr>
              </w:pPr>
              <w:r w:rsidRPr="00856456">
                <w:rPr>
                  <w:rFonts w:ascii="Verdana" w:hAnsi="Verdana"/>
                  <w:sz w:val="18"/>
                  <w:szCs w:val="18"/>
                </w:rPr>
                <w:t>In artikel 16, tweede lid, de zinsnede “die op grond van … zijn ingediend” schrappen.</w:t>
              </w:r>
            </w:p>
            <w:p w:rsidRPr="00856456" w:rsidR="00A030E2" w:rsidP="00A030E2" w:rsidRDefault="006F72C1">
              <w:pPr>
                <w:numPr>
                  <w:ilvl w:val="0"/>
                  <w:numId w:val="1"/>
                </w:numPr>
                <w:rPr>
                  <w:rFonts w:ascii="Verdana" w:hAnsi="Verdana"/>
                  <w:sz w:val="18"/>
                  <w:szCs w:val="18"/>
                </w:rPr>
              </w:pPr>
              <w:r w:rsidRPr="00856456">
                <w:rPr>
                  <w:rFonts w:ascii="Verdana" w:hAnsi="Verdana"/>
                  <w:sz w:val="18"/>
                  <w:szCs w:val="18"/>
                </w:rPr>
                <w:t>Artikel 21 aanvullen met een vijfde lid, luidende: Het is verboden te handelen in strijd met de vergunning, de daaraan verbonden voorwaarden en voorschriften, alsmede de ontheffing, bedoeld in het vierde lid, en de daaraan verbonden voorschriften en beperkingen.</w:t>
              </w:r>
            </w:p>
            <w:p w:rsidRPr="00856456" w:rsidR="00A030E2" w:rsidP="00A030E2" w:rsidRDefault="006F72C1">
              <w:pPr>
                <w:numPr>
                  <w:ilvl w:val="0"/>
                  <w:numId w:val="1"/>
                </w:numPr>
                <w:rPr>
                  <w:rFonts w:ascii="Verdana" w:hAnsi="Verdana"/>
                  <w:sz w:val="18"/>
                  <w:szCs w:val="18"/>
                </w:rPr>
              </w:pPr>
              <w:r w:rsidRPr="00856456">
                <w:rPr>
                  <w:rFonts w:ascii="Verdana" w:hAnsi="Verdana"/>
                  <w:sz w:val="18"/>
                  <w:szCs w:val="18"/>
                </w:rPr>
                <w:t>Mede gelet op artikel 97 van de Aanwijzingen voor de regelgeving artikel 28 verplaatsen naar hoofdstuk 2, artikel 29 als derde lid toevoegen aan artikel 22 (vgl. artikel 20 van de Mijnbouwwet). Een afzonderlijk hoofdstuk over rechtsbescherming is daarmee overbodig.</w:t>
              </w:r>
            </w:p>
            <w:p w:rsidRPr="00856456" w:rsidR="00A030E2" w:rsidP="00A030E2" w:rsidRDefault="006F72C1">
              <w:pPr>
                <w:numPr>
                  <w:ilvl w:val="0"/>
                  <w:numId w:val="1"/>
                </w:numPr>
                <w:rPr>
                  <w:rFonts w:ascii="Verdana" w:hAnsi="Verdana"/>
                  <w:sz w:val="18"/>
                  <w:szCs w:val="18"/>
                </w:rPr>
              </w:pPr>
              <w:r w:rsidRPr="00856456">
                <w:rPr>
                  <w:rFonts w:ascii="Verdana" w:hAnsi="Verdana"/>
                  <w:sz w:val="18"/>
                  <w:szCs w:val="18"/>
                </w:rPr>
                <w:t>Artikel 30, onder 2 (nieuw artikel 41ba Elektriciteitswet 1998) de woorden “wet windenergie op zee” vervangen door: Wet windenergie op zee.</w:t>
              </w:r>
            </w:p>
            <w:p w:rsidRPr="00856456" w:rsidR="00A030E2" w:rsidP="00A030E2" w:rsidRDefault="006F72C1">
              <w:pPr>
                <w:numPr>
                  <w:ilvl w:val="0"/>
                  <w:numId w:val="1"/>
                </w:numPr>
                <w:rPr>
                  <w:rFonts w:ascii="Verdana" w:hAnsi="Verdana"/>
                  <w:sz w:val="18"/>
                  <w:szCs w:val="18"/>
                </w:rPr>
              </w:pPr>
              <w:r w:rsidRPr="00856456">
                <w:rPr>
                  <w:rFonts w:ascii="Verdana" w:hAnsi="Verdana"/>
                  <w:sz w:val="18"/>
                  <w:szCs w:val="18"/>
                </w:rPr>
                <w:t>In artikel 30, onder 3, na de woorden “artikelen 16, tweede lid” een komma plaatsen.</w:t>
              </w:r>
            </w:p>
            <w:p w:rsidRPr="00856456" w:rsidR="00E70C71" w:rsidP="00BB7196" w:rsidRDefault="006F72C1">
              <w:pPr>
                <w:numPr>
                  <w:ilvl w:val="0"/>
                  <w:numId w:val="1"/>
                </w:numPr>
                <w:rPr>
                  <w:rFonts w:ascii="Verdana" w:hAnsi="Verdana"/>
                  <w:i/>
                  <w:sz w:val="18"/>
                  <w:szCs w:val="18"/>
                </w:rPr>
              </w:pPr>
              <w:r w:rsidRPr="00856456">
                <w:rPr>
                  <w:rFonts w:ascii="Verdana" w:hAnsi="Verdana"/>
                  <w:sz w:val="18"/>
                  <w:szCs w:val="18"/>
                </w:rPr>
                <w:t>In § 3.1.3.6 de toelichting toespitsen op het beschermingsniveau voor beschermde soorten. Dit beschermingsniveau is gelijk aan het niveau waarin het wetsvoorstel Wet natuurbescherming voorziet. Bij nota van wijziging heeft de regering het ambitieniveau van het wetsvoorstel Wet natuurbescherming verhoogd.</w:t>
              </w:r>
              <w:r w:rsidRPr="00856456">
                <w:rPr>
                  <w:rStyle w:val="Voetnootmarkering"/>
                  <w:rFonts w:ascii="Verdana" w:hAnsi="Verdana"/>
                  <w:sz w:val="18"/>
                  <w:szCs w:val="18"/>
                </w:rPr>
                <w:footnoteReference w:id="22"/>
              </w:r>
              <w:r w:rsidRPr="00856456">
                <w:rPr>
                  <w:rFonts w:ascii="Verdana" w:hAnsi="Verdana"/>
                  <w:sz w:val="18"/>
                  <w:szCs w:val="18"/>
                </w:rPr>
                <w:t xml:space="preserve"> Anders dan in § 3.1.3.6 van de toelichting bij het voorliggende wetsvoorstel is vermeld, strekt het wetsvoorstel Wet </w:t>
              </w:r>
              <w:r w:rsidRPr="00856456">
                <w:rPr>
                  <w:rFonts w:ascii="Verdana" w:hAnsi="Verdana"/>
                  <w:sz w:val="18"/>
                  <w:szCs w:val="18"/>
                </w:rPr>
                <w:lastRenderedPageBreak/>
                <w:t xml:space="preserve">natuurbescherming niet meer uitsluitend tot de internationaalrechtelijk verplichte beschermingsniveaus. </w:t>
              </w:r>
            </w:p>
          </w:sdtContent>
        </w:sdt>
        <w:p w:rsidRPr="00856456" w:rsidR="00C50D4F" w:rsidP="005841EA" w:rsidRDefault="00856456">
          <w:pPr>
            <w:ind w:left="737"/>
            <w:rPr>
              <w:rFonts w:ascii="Verdana" w:hAnsi="Verdana"/>
              <w:sz w:val="18"/>
              <w:szCs w:val="18"/>
            </w:rPr>
          </w:pPr>
        </w:p>
      </w:sdtContent>
    </w:sdt>
    <w:sectPr w:rsidRPr="00856456"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AC" w:rsidRDefault="001361AC" w:rsidP="001410FD">
      <w:r>
        <w:separator/>
      </w:r>
    </w:p>
  </w:endnote>
  <w:endnote w:type="continuationSeparator" w:id="0">
    <w:p w:rsidR="001361AC" w:rsidRDefault="001361AC"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18DE0853" wp14:editId="18F228C7">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AC" w:rsidRDefault="001361AC" w:rsidP="001410FD">
      <w:r>
        <w:separator/>
      </w:r>
    </w:p>
  </w:footnote>
  <w:footnote w:type="continuationSeparator" w:id="0">
    <w:p w:rsidR="001361AC" w:rsidRDefault="001361AC" w:rsidP="001410FD">
      <w:r>
        <w:continuationSeparator/>
      </w:r>
    </w:p>
  </w:footnote>
  <w:footnote w:id="1">
    <w:p w:rsidR="00C8339D" w:rsidRDefault="006F72C1">
      <w:pPr>
        <w:pStyle w:val="Voetnoottekst"/>
      </w:pPr>
      <w:r>
        <w:rPr>
          <w:rStyle w:val="Voetnootmarkering"/>
        </w:rPr>
        <w:footnoteRef/>
      </w:r>
      <w:r>
        <w:t xml:space="preserve"> </w:t>
      </w:r>
      <w:r>
        <w:tab/>
      </w:r>
      <w:r w:rsidRPr="00C8339D">
        <w:t>Kamerstukken II 2012/13, 30 196, nr. 202, bijlage.</w:t>
      </w:r>
    </w:p>
  </w:footnote>
  <w:footnote w:id="2">
    <w:p w:rsidR="008B69EE" w:rsidRDefault="006F72C1">
      <w:pPr>
        <w:pStyle w:val="Voetnoottekst"/>
      </w:pPr>
      <w:r>
        <w:rPr>
          <w:rStyle w:val="Voetnootmarkering"/>
        </w:rPr>
        <w:footnoteRef/>
      </w:r>
      <w:r>
        <w:tab/>
        <w:t>Voorgesteld artikel 4, tweede lid.</w:t>
      </w:r>
    </w:p>
  </w:footnote>
  <w:footnote w:id="3">
    <w:p w:rsidR="008B69EE" w:rsidRDefault="006F72C1" w:rsidP="00C8339D">
      <w:pPr>
        <w:pStyle w:val="Voetnoottekst"/>
        <w:tabs>
          <w:tab w:val="clear" w:pos="227"/>
        </w:tabs>
        <w:ind w:left="227" w:hanging="227"/>
      </w:pPr>
      <w:r>
        <w:rPr>
          <w:rStyle w:val="Voetnootmarkering"/>
        </w:rPr>
        <w:footnoteRef/>
      </w:r>
      <w:r>
        <w:tab/>
        <w:t xml:space="preserve">Kamerstukken II 2009/10, 31 710, nr. 12, bijlage, zie tevens memorie van toelichting, </w:t>
      </w:r>
      <w:r w:rsidRPr="00707C63">
        <w:t>§ 3.1.2</w:t>
      </w:r>
      <w:r>
        <w:t xml:space="preserve"> </w:t>
      </w:r>
      <w:r w:rsidRPr="00707C63">
        <w:t xml:space="preserve">Activiteiten van nationaal belang zijn: scheepvaart, olie- en gaswinning, </w:t>
      </w:r>
      <w:r>
        <w:t>CO</w:t>
      </w:r>
      <w:r w:rsidRPr="00707C63">
        <w:t>2-opslag, windenergie, zandwinning en -suppletie en defensie.</w:t>
      </w:r>
    </w:p>
  </w:footnote>
  <w:footnote w:id="4">
    <w:p w:rsidR="0050485F" w:rsidRDefault="006F72C1" w:rsidP="0050485F">
      <w:pPr>
        <w:pStyle w:val="Voetnoottekst"/>
      </w:pPr>
      <w:r>
        <w:rPr>
          <w:rStyle w:val="Voetnootmarkering"/>
        </w:rPr>
        <w:footnoteRef/>
      </w:r>
      <w:r>
        <w:tab/>
        <w:t xml:space="preserve">Memorie van toelichting, artikelsgewijze toelichting bij artikel 4. De opsporings- en </w:t>
      </w:r>
      <w:r>
        <w:tab/>
        <w:t xml:space="preserve">winningsvergunninghouder kan slechts een tijdelijke mijnbouwinstallatie in de kavel plaatsen, die </w:t>
      </w:r>
      <w:r>
        <w:tab/>
        <w:t>tijdig moet worden verwijderd.</w:t>
      </w:r>
    </w:p>
  </w:footnote>
  <w:footnote w:id="5">
    <w:p w:rsidR="001A2ED4" w:rsidRDefault="006F72C1">
      <w:pPr>
        <w:pStyle w:val="Voetnoottekst"/>
      </w:pPr>
      <w:r>
        <w:rPr>
          <w:rStyle w:val="Voetnootmarkering"/>
        </w:rPr>
        <w:footnoteRef/>
      </w:r>
      <w:r>
        <w:tab/>
      </w:r>
      <w:r w:rsidRPr="001A2ED4">
        <w:t xml:space="preserve">Memorie van toelichting, § 4.7 Mijnbouwwet. Wel zal worden voorzien in mogelijkheid voor de </w:t>
      </w:r>
      <w:r>
        <w:tab/>
      </w:r>
      <w:r w:rsidRPr="001A2ED4">
        <w:t>minister ontheffing daarvan te verlenen</w:t>
      </w:r>
      <w:r>
        <w:t>.</w:t>
      </w:r>
    </w:p>
  </w:footnote>
  <w:footnote w:id="6">
    <w:p w:rsidR="008B69EE" w:rsidRDefault="006F72C1" w:rsidP="008B69EE">
      <w:pPr>
        <w:pStyle w:val="Voetnoottekst"/>
      </w:pPr>
      <w:r>
        <w:rPr>
          <w:rStyle w:val="Voetnootmarkering"/>
        </w:rPr>
        <w:footnoteRef/>
      </w:r>
      <w:r>
        <w:tab/>
        <w:t>A</w:t>
      </w:r>
      <w:r w:rsidRPr="007E63E5">
        <w:rPr>
          <w:szCs w:val="22"/>
        </w:rPr>
        <w:t>rtikel 6, eerste volzin</w:t>
      </w:r>
      <w:r>
        <w:rPr>
          <w:szCs w:val="22"/>
        </w:rPr>
        <w:t>, van het wetsvoorstel.</w:t>
      </w:r>
    </w:p>
  </w:footnote>
  <w:footnote w:id="7">
    <w:p w:rsidR="008B69EE" w:rsidRDefault="006F72C1" w:rsidP="008B69EE">
      <w:pPr>
        <w:pStyle w:val="Voetnoottekst"/>
      </w:pPr>
      <w:r>
        <w:rPr>
          <w:rStyle w:val="Voetnootmarkering"/>
        </w:rPr>
        <w:footnoteRef/>
      </w:r>
      <w:r>
        <w:tab/>
        <w:t>Voorgestelde artikelen 6, 7 en 8.</w:t>
      </w:r>
    </w:p>
  </w:footnote>
  <w:footnote w:id="8">
    <w:p w:rsidR="008B69EE" w:rsidRDefault="006F72C1" w:rsidP="008B69EE">
      <w:pPr>
        <w:pStyle w:val="Voetnoottekst"/>
      </w:pPr>
      <w:r>
        <w:rPr>
          <w:rStyle w:val="Voetnootmarkering"/>
        </w:rPr>
        <w:footnoteRef/>
      </w:r>
      <w:r>
        <w:tab/>
        <w:t>Voorgesteld artikel 32.</w:t>
      </w:r>
    </w:p>
  </w:footnote>
  <w:footnote w:id="9">
    <w:p w:rsidR="008B69EE" w:rsidRDefault="006F72C1" w:rsidP="008B69EE">
      <w:pPr>
        <w:pStyle w:val="Voetnoottekst"/>
      </w:pPr>
      <w:r>
        <w:rPr>
          <w:rStyle w:val="Voetnootmarkering"/>
        </w:rPr>
        <w:footnoteRef/>
      </w:r>
      <w:r>
        <w:tab/>
      </w:r>
      <w:proofErr w:type="spellStart"/>
      <w:r>
        <w:t>Voorgestelsd</w:t>
      </w:r>
      <w:proofErr w:type="spellEnd"/>
      <w:r>
        <w:t xml:space="preserve"> artikel 6, tweede volzin.</w:t>
      </w:r>
    </w:p>
  </w:footnote>
  <w:footnote w:id="10">
    <w:p w:rsidR="008B69EE" w:rsidRDefault="006F72C1" w:rsidP="008B69EE">
      <w:pPr>
        <w:pStyle w:val="Voetnoottekst"/>
      </w:pPr>
      <w:r>
        <w:rPr>
          <w:rStyle w:val="Voetnootmarkering"/>
        </w:rPr>
        <w:footnoteRef/>
      </w:r>
      <w:r>
        <w:tab/>
        <w:t>Memorie van toelichting, par. 3.1.3.5 Regeling in het wetsvoorstel bescherming gebieden.</w:t>
      </w:r>
    </w:p>
  </w:footnote>
  <w:footnote w:id="11">
    <w:p w:rsidR="008B69EE" w:rsidRDefault="006F72C1" w:rsidP="008B69EE">
      <w:pPr>
        <w:pStyle w:val="Voetnoottekst"/>
      </w:pPr>
      <w:r>
        <w:rPr>
          <w:rStyle w:val="Voetnootmarkering"/>
        </w:rPr>
        <w:footnoteRef/>
      </w:r>
      <w:r>
        <w:tab/>
        <w:t xml:space="preserve">Artikel 19f, eerste en derde lid, </w:t>
      </w:r>
      <w:proofErr w:type="spellStart"/>
      <w:r>
        <w:t>Nbw</w:t>
      </w:r>
      <w:proofErr w:type="spellEnd"/>
      <w:r>
        <w:t xml:space="preserve"> 1998 luiden als volgt:</w:t>
      </w:r>
      <w:r>
        <w:br/>
      </w:r>
      <w:r>
        <w:tab/>
        <w:t>1.</w:t>
      </w:r>
      <w:r>
        <w:tab/>
        <w:t xml:space="preserve">Voor projecten waarover gedeputeerde staten een besluit op een aanvraag voor een </w:t>
      </w:r>
      <w:r>
        <w:tab/>
        <w:t xml:space="preserve">vergunning als bedoeld in artikel 19d, eerste lid, nemen, en die niet direct verband houden met of </w:t>
      </w:r>
      <w:r>
        <w:tab/>
        <w:t xml:space="preserve">nodig zijn voor het beheer van een Natura 2000-gebied maar die afzonderlijk of in combinatie met </w:t>
      </w:r>
      <w:r>
        <w:tab/>
        <w:t xml:space="preserve">andere projecten of plannen significante gevolgen kunnen hebben voor het desbetreffende gebied, </w:t>
      </w:r>
      <w:r>
        <w:tab/>
        <w:t xml:space="preserve">maakt de initiatiefnemer alvorens gedeputeerde staten een besluit nemen, een passende </w:t>
      </w:r>
      <w:r>
        <w:tab/>
        <w:t xml:space="preserve">beoordeling van de gevolgen voor het gebied waarbij rekening wordt gehouden met de </w:t>
      </w:r>
      <w:r>
        <w:tab/>
        <w:t xml:space="preserve">instandhoudingsdoelstelling, met uitzondering van de doelstellingen, bedoeld in artikel 10a, derde </w:t>
      </w:r>
      <w:r>
        <w:tab/>
        <w:t>lid, van dat gebied.</w:t>
      </w:r>
    </w:p>
    <w:p w:rsidR="008B69EE" w:rsidRDefault="006F72C1" w:rsidP="008B69EE">
      <w:pPr>
        <w:pStyle w:val="Voetnoottekst"/>
      </w:pPr>
      <w:r>
        <w:tab/>
        <w:t>3.</w:t>
      </w:r>
      <w:r>
        <w:tab/>
        <w:t xml:space="preserve">De verplichting tot het maken van een passende beoordeling bij de voorbereiding van een </w:t>
      </w:r>
      <w:r>
        <w:tab/>
        <w:t xml:space="preserve">besluit als bedoeld in het eerste lid, geldt niet in gevallen waarin degene die een project waarop </w:t>
      </w:r>
      <w:r>
        <w:tab/>
        <w:t xml:space="preserve">dat besluit betrekking heeft, onderneemt, daarmee een project ten aanzien waarvan reeds eerder </w:t>
      </w:r>
      <w:r>
        <w:tab/>
        <w:t xml:space="preserve">een passende beoordeling is gemaakt, herhaalt of voortzet, voor zover de passende beoordeling </w:t>
      </w:r>
      <w:r>
        <w:tab/>
        <w:t xml:space="preserve">redelijkerwijs geen nieuwe gegevens en inzichten kan opleveren omtrent de significante gevolgen </w:t>
      </w:r>
      <w:r>
        <w:tab/>
        <w:t>van dat project.</w:t>
      </w:r>
    </w:p>
  </w:footnote>
  <w:footnote w:id="12">
    <w:p w:rsidR="008B69EE" w:rsidRDefault="006F72C1" w:rsidP="008B69EE">
      <w:pPr>
        <w:pStyle w:val="Voetnoottekst"/>
      </w:pPr>
      <w:r>
        <w:rPr>
          <w:rStyle w:val="Voetnootmarkering"/>
        </w:rPr>
        <w:footnoteRef/>
      </w:r>
      <w:r>
        <w:tab/>
        <w:t>Voorgesteld artikel 11, eerste lid resp. 23.</w:t>
      </w:r>
    </w:p>
  </w:footnote>
  <w:footnote w:id="13">
    <w:p w:rsidR="008B69EE" w:rsidRDefault="006F72C1" w:rsidP="008B69EE">
      <w:pPr>
        <w:pStyle w:val="Voetnoottekst"/>
      </w:pPr>
      <w:r>
        <w:rPr>
          <w:rStyle w:val="Voetnootmarkering"/>
        </w:rPr>
        <w:footnoteRef/>
      </w:r>
      <w:r>
        <w:tab/>
        <w:t>Voorgesteld artikel 31, onderdeel 2.</w:t>
      </w:r>
    </w:p>
  </w:footnote>
  <w:footnote w:id="14">
    <w:p w:rsidR="008B69EE" w:rsidRDefault="006F72C1" w:rsidP="008B69EE">
      <w:pPr>
        <w:pStyle w:val="Voetnoottekst"/>
      </w:pPr>
      <w:r>
        <w:rPr>
          <w:rStyle w:val="Voetnootmarkering"/>
        </w:rPr>
        <w:footnoteRef/>
      </w:r>
      <w:r>
        <w:tab/>
        <w:t>V</w:t>
      </w:r>
      <w:r>
        <w:rPr>
          <w:szCs w:val="22"/>
        </w:rPr>
        <w:t>oorgestelde artikel 31, onderdeel 3.</w:t>
      </w:r>
    </w:p>
  </w:footnote>
  <w:footnote w:id="15">
    <w:p w:rsidR="0050485F" w:rsidRDefault="006F72C1">
      <w:pPr>
        <w:pStyle w:val="Voetnoottekst"/>
      </w:pPr>
      <w:r>
        <w:rPr>
          <w:rStyle w:val="Voetnootmarkering"/>
        </w:rPr>
        <w:footnoteRef/>
      </w:r>
      <w:r>
        <w:tab/>
        <w:t xml:space="preserve">Hoofdstuk 8 van de memorie van toelichting gaat slechts in op de mogelijke schade voor de </w:t>
      </w:r>
      <w:r>
        <w:tab/>
        <w:t xml:space="preserve">vergunninghouder als gevolg van de intrekking. De artikelsgewijze toelichting op artikel 23 </w:t>
      </w:r>
      <w:r>
        <w:tab/>
        <w:t xml:space="preserve">benadrukt met name de terughoudendheid die moet worden betracht bij de inzet van de </w:t>
      </w:r>
      <w:r>
        <w:tab/>
        <w:t>bevoegdheid tot wijziging of intrekking.</w:t>
      </w:r>
    </w:p>
  </w:footnote>
  <w:footnote w:id="16">
    <w:p w:rsidR="008B69EE" w:rsidRDefault="006F72C1" w:rsidP="008B69EE">
      <w:pPr>
        <w:pStyle w:val="Voetnoottekst"/>
      </w:pPr>
      <w:r>
        <w:rPr>
          <w:rStyle w:val="Voetnootmarkering"/>
        </w:rPr>
        <w:footnoteRef/>
      </w:r>
      <w:r>
        <w:tab/>
        <w:t>Voorgestelde artikelen12 en 13.</w:t>
      </w:r>
    </w:p>
  </w:footnote>
  <w:footnote w:id="17">
    <w:p w:rsidR="008B69EE" w:rsidRDefault="006F72C1" w:rsidP="008B69EE">
      <w:pPr>
        <w:pStyle w:val="Voetnoottekst"/>
      </w:pPr>
      <w:r>
        <w:rPr>
          <w:rStyle w:val="Voetnootmarkering"/>
        </w:rPr>
        <w:footnoteRef/>
      </w:r>
      <w:r>
        <w:tab/>
        <w:t xml:space="preserve">Kamerstukken II 2009/10, 31 710, nr. 12, bijlage resp. Kamerstukken II 2013/14, 33 561, nr. 7, </w:t>
      </w:r>
      <w:r>
        <w:tab/>
        <w:t>bijlage.</w:t>
      </w:r>
    </w:p>
  </w:footnote>
  <w:footnote w:id="18">
    <w:p w:rsidR="008B69EE" w:rsidRDefault="006F72C1" w:rsidP="008B69EE">
      <w:pPr>
        <w:pStyle w:val="Voetnoottekst"/>
      </w:pPr>
      <w:r>
        <w:rPr>
          <w:rStyle w:val="Voetnootmarkering"/>
        </w:rPr>
        <w:footnoteRef/>
      </w:r>
      <w:r>
        <w:tab/>
        <w:t>Zie Kamerstukken II 2013/14, 33 561, nr. 9, blz. 3.</w:t>
      </w:r>
    </w:p>
  </w:footnote>
  <w:footnote w:id="19">
    <w:p w:rsidR="008B69EE" w:rsidRDefault="006F72C1" w:rsidP="008B69EE">
      <w:pPr>
        <w:pStyle w:val="Voetnoottekst"/>
      </w:pPr>
      <w:r>
        <w:rPr>
          <w:rStyle w:val="Voetnootmarkering"/>
        </w:rPr>
        <w:footnoteRef/>
      </w:r>
      <w:r>
        <w:tab/>
        <w:t>Memorie van toelichting, Hoofdstuk 1. Inleiding.</w:t>
      </w:r>
    </w:p>
  </w:footnote>
  <w:footnote w:id="20">
    <w:p w:rsidR="008B69EE" w:rsidRDefault="006F72C1" w:rsidP="008B69EE">
      <w:pPr>
        <w:pStyle w:val="Voetnoottekst"/>
      </w:pPr>
      <w:r>
        <w:rPr>
          <w:rStyle w:val="Voetnootmarkering"/>
        </w:rPr>
        <w:footnoteRef/>
      </w:r>
      <w:r>
        <w:tab/>
        <w:t xml:space="preserve">Artikel 8.3, tweede lid, van de </w:t>
      </w:r>
      <w:proofErr w:type="spellStart"/>
      <w:r>
        <w:t>Wabo</w:t>
      </w:r>
      <w:proofErr w:type="spellEnd"/>
      <w:r>
        <w:t xml:space="preserve"> in samenhang met artikel 3.3 van het Besluit </w:t>
      </w:r>
      <w:r>
        <w:tab/>
        <w:t>omgevingsrecht.</w:t>
      </w:r>
    </w:p>
  </w:footnote>
  <w:footnote w:id="21">
    <w:p w:rsidR="003F075F" w:rsidRDefault="006F72C1">
      <w:pPr>
        <w:pStyle w:val="Voetnoottekst"/>
      </w:pPr>
      <w:r>
        <w:rPr>
          <w:rStyle w:val="Voetnootmarkering"/>
        </w:rPr>
        <w:footnoteRef/>
      </w:r>
      <w:r>
        <w:tab/>
        <w:t>In samenhang met de vierde kanttekening.</w:t>
      </w:r>
    </w:p>
  </w:footnote>
  <w:footnote w:id="22">
    <w:p w:rsidR="000A7FB5" w:rsidRDefault="006F72C1">
      <w:pPr>
        <w:pStyle w:val="Voetnoottekst"/>
      </w:pPr>
      <w:r>
        <w:rPr>
          <w:rStyle w:val="Voetnootmarkering"/>
        </w:rPr>
        <w:footnoteRef/>
      </w:r>
      <w:r>
        <w:tab/>
        <w:t xml:space="preserve">Zie de toelichting bij de nota van wijziging, </w:t>
      </w:r>
      <w:r w:rsidRPr="000A7FB5">
        <w:t>Kamerstukken II 201</w:t>
      </w:r>
      <w:r>
        <w:t>3/14, 33 348, nr. 5, blz. 21-24.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F72C1">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56456">
      <w:rPr>
        <w:rStyle w:val="Paginanummer"/>
        <w:noProof/>
      </w:rPr>
      <w:t>5</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5645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2FD2B0A"/>
    <w:multiLevelType w:val="hybridMultilevel"/>
    <w:tmpl w:val="68DC4630"/>
    <w:lvl w:ilvl="0" w:tplc="D9B20294">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7F45494"/>
    <w:multiLevelType w:val="hybridMultilevel"/>
    <w:tmpl w:val="3F983E14"/>
    <w:lvl w:ilvl="0" w:tplc="2168EB08">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C741580"/>
    <w:multiLevelType w:val="hybridMultilevel"/>
    <w:tmpl w:val="6C5A3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D690AF9"/>
    <w:multiLevelType w:val="hybridMultilevel"/>
    <w:tmpl w:val="405C8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361AC"/>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87730"/>
    <w:rsid w:val="005E41CC"/>
    <w:rsid w:val="00635836"/>
    <w:rsid w:val="00636D17"/>
    <w:rsid w:val="00687984"/>
    <w:rsid w:val="006C5E3C"/>
    <w:rsid w:val="006D53BA"/>
    <w:rsid w:val="006F72C1"/>
    <w:rsid w:val="007009C5"/>
    <w:rsid w:val="00743072"/>
    <w:rsid w:val="00796479"/>
    <w:rsid w:val="008108EA"/>
    <w:rsid w:val="00831363"/>
    <w:rsid w:val="00856456"/>
    <w:rsid w:val="00883369"/>
    <w:rsid w:val="008C5EDD"/>
    <w:rsid w:val="008D3CCC"/>
    <w:rsid w:val="00907421"/>
    <w:rsid w:val="00977969"/>
    <w:rsid w:val="009E537C"/>
    <w:rsid w:val="009E72D2"/>
    <w:rsid w:val="00A316AD"/>
    <w:rsid w:val="00A31DA9"/>
    <w:rsid w:val="00A367B3"/>
    <w:rsid w:val="00AC5AD9"/>
    <w:rsid w:val="00B15811"/>
    <w:rsid w:val="00B82659"/>
    <w:rsid w:val="00B97BA6"/>
    <w:rsid w:val="00C5066A"/>
    <w:rsid w:val="00C50D4F"/>
    <w:rsid w:val="00C5589A"/>
    <w:rsid w:val="00C93CC0"/>
    <w:rsid w:val="00C94D31"/>
    <w:rsid w:val="00CA109A"/>
    <w:rsid w:val="00CE4655"/>
    <w:rsid w:val="00CF7D54"/>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A030E2"/>
    <w:rPr>
      <w:vertAlign w:val="superscript"/>
    </w:rPr>
  </w:style>
  <w:style w:type="paragraph" w:styleId="Lijstalinea">
    <w:name w:val="List Paragraph"/>
    <w:basedOn w:val="Standaard"/>
    <w:uiPriority w:val="34"/>
    <w:qFormat/>
    <w:rsid w:val="00A030E2"/>
    <w:pPr>
      <w:ind w:left="720"/>
      <w:contextualSpacing/>
    </w:pPr>
  </w:style>
  <w:style w:type="character" w:styleId="Verwijzingopmerking">
    <w:name w:val="annotation reference"/>
    <w:basedOn w:val="Standaardalinea-lettertype"/>
    <w:rsid w:val="00F35A4F"/>
    <w:rPr>
      <w:sz w:val="16"/>
      <w:szCs w:val="16"/>
    </w:rPr>
  </w:style>
  <w:style w:type="paragraph" w:styleId="Tekstopmerking">
    <w:name w:val="annotation text"/>
    <w:basedOn w:val="Standaard"/>
    <w:link w:val="TekstopmerkingChar"/>
    <w:rsid w:val="00F35A4F"/>
    <w:rPr>
      <w:sz w:val="20"/>
      <w:szCs w:val="20"/>
    </w:rPr>
  </w:style>
  <w:style w:type="character" w:customStyle="1" w:styleId="TekstopmerkingChar">
    <w:name w:val="Tekst opmerking Char"/>
    <w:basedOn w:val="Standaardalinea-lettertype"/>
    <w:link w:val="Tekstopmerking"/>
    <w:rsid w:val="00F35A4F"/>
    <w:rPr>
      <w:rFonts w:ascii="Univers" w:hAnsi="Univers"/>
    </w:rPr>
  </w:style>
  <w:style w:type="paragraph" w:styleId="Onderwerpvanopmerking">
    <w:name w:val="annotation subject"/>
    <w:basedOn w:val="Tekstopmerking"/>
    <w:next w:val="Tekstopmerking"/>
    <w:link w:val="OnderwerpvanopmerkingChar"/>
    <w:rsid w:val="00F35A4F"/>
    <w:rPr>
      <w:b/>
      <w:bCs/>
    </w:rPr>
  </w:style>
  <w:style w:type="character" w:customStyle="1" w:styleId="OnderwerpvanopmerkingChar">
    <w:name w:val="Onderwerp van opmerking Char"/>
    <w:basedOn w:val="TekstopmerkingChar"/>
    <w:link w:val="Onderwerpvanopmerking"/>
    <w:rsid w:val="00F35A4F"/>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A030E2"/>
    <w:rPr>
      <w:vertAlign w:val="superscript"/>
    </w:rPr>
  </w:style>
  <w:style w:type="paragraph" w:styleId="Lijstalinea">
    <w:name w:val="List Paragraph"/>
    <w:basedOn w:val="Standaard"/>
    <w:uiPriority w:val="34"/>
    <w:qFormat/>
    <w:rsid w:val="00A030E2"/>
    <w:pPr>
      <w:ind w:left="720"/>
      <w:contextualSpacing/>
    </w:pPr>
  </w:style>
  <w:style w:type="character" w:styleId="Verwijzingopmerking">
    <w:name w:val="annotation reference"/>
    <w:basedOn w:val="Standaardalinea-lettertype"/>
    <w:rsid w:val="00F35A4F"/>
    <w:rPr>
      <w:sz w:val="16"/>
      <w:szCs w:val="16"/>
    </w:rPr>
  </w:style>
  <w:style w:type="paragraph" w:styleId="Tekstopmerking">
    <w:name w:val="annotation text"/>
    <w:basedOn w:val="Standaard"/>
    <w:link w:val="TekstopmerkingChar"/>
    <w:rsid w:val="00F35A4F"/>
    <w:rPr>
      <w:sz w:val="20"/>
      <w:szCs w:val="20"/>
    </w:rPr>
  </w:style>
  <w:style w:type="character" w:customStyle="1" w:styleId="TekstopmerkingChar">
    <w:name w:val="Tekst opmerking Char"/>
    <w:basedOn w:val="Standaardalinea-lettertype"/>
    <w:link w:val="Tekstopmerking"/>
    <w:rsid w:val="00F35A4F"/>
    <w:rPr>
      <w:rFonts w:ascii="Univers" w:hAnsi="Univers"/>
    </w:rPr>
  </w:style>
  <w:style w:type="paragraph" w:styleId="Onderwerpvanopmerking">
    <w:name w:val="annotation subject"/>
    <w:basedOn w:val="Tekstopmerking"/>
    <w:next w:val="Tekstopmerking"/>
    <w:link w:val="OnderwerpvanopmerkingChar"/>
    <w:rsid w:val="00F35A4F"/>
    <w:rPr>
      <w:b/>
      <w:bCs/>
    </w:rPr>
  </w:style>
  <w:style w:type="character" w:customStyle="1" w:styleId="OnderwerpvanopmerkingChar">
    <w:name w:val="Onderwerp van opmerking Char"/>
    <w:basedOn w:val="TekstopmerkingChar"/>
    <w:link w:val="Onderwerpvanopmerking"/>
    <w:rsid w:val="00F35A4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8B1B41"/>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1942</ap:Words>
  <ap:Characters>11218</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2014-09-12T08:43:00.0000000Z</lastPrinted>
  <dcterms:created xsi:type="dcterms:W3CDTF">2014-10-13T14:22:00.0000000Z</dcterms:created>
  <dcterms:modified xsi:type="dcterms:W3CDTF">2014-10-13T14:22:00.0000000Z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0x01010082ED5ED5D15FE745A71AACD8A3612EA6</vt:lpwstr>
  </property>
</Properties>
</file>