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0B6052" w:rsidR="003655E6" w:rsidP="003655E6" w:rsidRDefault="003655E6">
      <w:pPr>
        <w:rPr>
          <w:sz w:val="20"/>
          <w:szCs w:val="20"/>
        </w:rPr>
      </w:pPr>
      <w:r w:rsidRPr="000B6052">
        <w:rPr>
          <w:sz w:val="20"/>
          <w:szCs w:val="20"/>
        </w:rPr>
        <w:t>Blijkens de mededeling van de Directeur van Uw kabinet van 20 augustus 2014, nr. 2014001534, machtigde Uwe Majesteit de Afdeling advisering van de Raad van State haar advies inzake het bovenvermelde voorstel van wet rechtstreeks aan mij te doen toekomen. Dit advies, gedateerd 12 september 2014, nr. W06.14.0282/III bied ik U hierbij aan.</w:t>
      </w:r>
    </w:p>
    <w:p w:rsidRPr="000B6052" w:rsidR="003655E6" w:rsidP="003655E6" w:rsidRDefault="003655E6">
      <w:pPr>
        <w:rPr>
          <w:sz w:val="20"/>
          <w:szCs w:val="20"/>
        </w:rPr>
      </w:pPr>
    </w:p>
    <w:p w:rsidRPr="000B6052" w:rsidR="003655E6" w:rsidP="003655E6" w:rsidRDefault="003655E6">
      <w:pPr>
        <w:rPr>
          <w:sz w:val="20"/>
          <w:szCs w:val="20"/>
        </w:rPr>
      </w:pPr>
      <w:r w:rsidRPr="000B6052">
        <w:rPr>
          <w:sz w:val="20"/>
          <w:szCs w:val="20"/>
        </w:rPr>
        <w:t>De Afdeling advisering van de Raad van State maakt naar aanleiding van het wetsvoorstel en de memorie van toelichting een aantal opmerkingen over de wijze van samenwerking tussen de Autoriteit Financiële Markten (AFM) en de Europese Centrale Bank (ECB) en over de procedure bij grensoverschrijdende vestiging van een bijkantoor in een andere lidstaat door een minder significante bank. De Afdeling meent dat in verband daarmee enige aanpassing van het voorstel en de memorie wenselijk is. Hieronder is beschreven op welke wijze de opmerkingen van de Raad van State zijn verwerkt.</w:t>
      </w:r>
    </w:p>
    <w:p w:rsidRPr="000B6052" w:rsidR="003655E6" w:rsidP="003655E6" w:rsidRDefault="003655E6">
      <w:pPr>
        <w:rPr>
          <w:sz w:val="20"/>
          <w:szCs w:val="20"/>
        </w:rPr>
      </w:pPr>
    </w:p>
    <w:p w:rsidRPr="000B6052" w:rsidR="003655E6" w:rsidP="003655E6" w:rsidRDefault="003655E6">
      <w:pPr>
        <w:rPr>
          <w:sz w:val="20"/>
          <w:szCs w:val="20"/>
        </w:rPr>
      </w:pPr>
      <w:r w:rsidRPr="000B6052">
        <w:rPr>
          <w:sz w:val="20"/>
          <w:szCs w:val="20"/>
        </w:rPr>
        <w:t xml:space="preserve">1. De Afdeling adviseert om in de toelichting in te gaan op het verschil in afbakening van het </w:t>
      </w:r>
      <w:proofErr w:type="spellStart"/>
      <w:r w:rsidRPr="000B6052">
        <w:rPr>
          <w:sz w:val="20"/>
          <w:szCs w:val="20"/>
        </w:rPr>
        <w:t>prudentieel</w:t>
      </w:r>
      <w:proofErr w:type="spellEnd"/>
      <w:r w:rsidRPr="000B6052">
        <w:rPr>
          <w:sz w:val="20"/>
          <w:szCs w:val="20"/>
        </w:rPr>
        <w:t xml:space="preserve"> toezicht in de verordening bankentoezicht en de Wet op het financieel toezicht (</w:t>
      </w:r>
      <w:proofErr w:type="spellStart"/>
      <w:r w:rsidRPr="000B6052">
        <w:rPr>
          <w:sz w:val="20"/>
          <w:szCs w:val="20"/>
        </w:rPr>
        <w:t>Wft</w:t>
      </w:r>
      <w:proofErr w:type="spellEnd"/>
      <w:r w:rsidRPr="000B6052">
        <w:rPr>
          <w:sz w:val="20"/>
          <w:szCs w:val="20"/>
        </w:rPr>
        <w:t xml:space="preserve">), alsmede op het al dan niet optreden van een aangewezen autoriteit in Nederland. </w:t>
      </w:r>
      <w:bookmarkStart w:name="_GoBack" w:id="0"/>
      <w:bookmarkEnd w:id="0"/>
      <w:r w:rsidRPr="000B6052">
        <w:rPr>
          <w:sz w:val="20"/>
          <w:szCs w:val="20"/>
        </w:rPr>
        <w:t xml:space="preserve">De memorie van toelichting is ten aanzien van deze punten aangevuld. Voor de toelichting op het verschil in afbakening van het </w:t>
      </w:r>
      <w:proofErr w:type="spellStart"/>
      <w:r w:rsidRPr="000B6052">
        <w:rPr>
          <w:sz w:val="20"/>
          <w:szCs w:val="20"/>
        </w:rPr>
        <w:t>prudentieel</w:t>
      </w:r>
      <w:proofErr w:type="spellEnd"/>
      <w:r w:rsidRPr="000B6052">
        <w:rPr>
          <w:sz w:val="20"/>
          <w:szCs w:val="20"/>
        </w:rPr>
        <w:t xml:space="preserve"> toezicht in de verordening en de </w:t>
      </w:r>
      <w:proofErr w:type="spellStart"/>
      <w:r w:rsidRPr="000B6052">
        <w:rPr>
          <w:sz w:val="20"/>
          <w:szCs w:val="20"/>
        </w:rPr>
        <w:t>Wft</w:t>
      </w:r>
      <w:proofErr w:type="spellEnd"/>
      <w:r w:rsidRPr="000B6052">
        <w:rPr>
          <w:sz w:val="20"/>
          <w:szCs w:val="20"/>
        </w:rPr>
        <w:t xml:space="preserve"> zij verwezen naar paragraaf 2, onderdeel b. Een toelichting op de nationale aangewezen autoriteit in Nederland is opgenomen in paragraaf 2, onderdeel b. </w:t>
      </w:r>
    </w:p>
    <w:p w:rsidRPr="000B6052" w:rsidR="003655E6" w:rsidP="003655E6" w:rsidRDefault="003655E6">
      <w:pPr>
        <w:rPr>
          <w:sz w:val="20"/>
          <w:szCs w:val="20"/>
        </w:rPr>
      </w:pPr>
    </w:p>
    <w:p w:rsidRPr="000B6052" w:rsidR="00865CA6" w:rsidP="003655E6" w:rsidRDefault="003655E6">
      <w:pPr>
        <w:rPr>
          <w:sz w:val="20"/>
          <w:szCs w:val="20"/>
        </w:rPr>
      </w:pPr>
      <w:r w:rsidRPr="000B6052">
        <w:rPr>
          <w:sz w:val="20"/>
          <w:szCs w:val="20"/>
        </w:rPr>
        <w:t xml:space="preserve">Verder beveelt de Afdeling aan de toelichting aan te vullen voor wat betreft de grondslag voor de samenwerking tussen de ECB en de AFM. </w:t>
      </w:r>
    </w:p>
    <w:p w:rsidRPr="000B6052" w:rsidR="00865CA6" w:rsidP="003655E6" w:rsidRDefault="00865CA6">
      <w:pPr>
        <w:rPr>
          <w:sz w:val="20"/>
          <w:szCs w:val="20"/>
        </w:rPr>
      </w:pPr>
    </w:p>
    <w:p w:rsidRPr="000B6052" w:rsidR="00865CA6" w:rsidP="003655E6" w:rsidRDefault="00865CA6">
      <w:pPr>
        <w:rPr>
          <w:sz w:val="20"/>
          <w:szCs w:val="20"/>
        </w:rPr>
      </w:pPr>
    </w:p>
    <w:p w:rsidRPr="000B6052" w:rsidR="003655E6" w:rsidP="003655E6" w:rsidRDefault="003655E6">
      <w:pPr>
        <w:rPr>
          <w:sz w:val="20"/>
          <w:szCs w:val="20"/>
        </w:rPr>
      </w:pPr>
      <w:r w:rsidRPr="000B6052">
        <w:rPr>
          <w:sz w:val="20"/>
          <w:szCs w:val="20"/>
        </w:rPr>
        <w:t>Op zichzelf bevat de verordening geen grondslag voor samenwerking tussen de AFM en de ECB, maar wel voor de samenwerking tussen de ECB en DNB als nationale toezichthoudende autoriteit onder het SSM.</w:t>
      </w:r>
      <w:r w:rsidR="004F26AC">
        <w:rPr>
          <w:rStyle w:val="Voetnootmarkering"/>
          <w:sz w:val="20"/>
          <w:szCs w:val="20"/>
        </w:rPr>
        <w:footnoteReference w:id="1"/>
      </w:r>
      <w:r w:rsidR="00A009BB">
        <w:rPr>
          <w:sz w:val="20"/>
          <w:szCs w:val="20"/>
        </w:rPr>
        <w:t xml:space="preserve"> Voor de ECB en de nationale instellingen</w:t>
      </w:r>
      <w:r w:rsidRPr="000B6052">
        <w:rPr>
          <w:sz w:val="20"/>
          <w:szCs w:val="20"/>
        </w:rPr>
        <w:t xml:space="preserve"> geldt de algemene verplichting op grond van het beginsel van ‘unietrouw’ om met elkaar samen te werken</w:t>
      </w:r>
      <w:r w:rsidR="00A009BB">
        <w:rPr>
          <w:sz w:val="20"/>
          <w:szCs w:val="20"/>
        </w:rPr>
        <w:t>.</w:t>
      </w:r>
      <w:r w:rsidR="00A009BB">
        <w:rPr>
          <w:rStyle w:val="Voetnootmarkering"/>
          <w:sz w:val="20"/>
          <w:szCs w:val="20"/>
        </w:rPr>
        <w:footnoteReference w:id="2"/>
      </w:r>
      <w:r w:rsidRPr="000B6052">
        <w:rPr>
          <w:sz w:val="20"/>
          <w:szCs w:val="20"/>
        </w:rPr>
        <w:t xml:space="preserve"> In de verordening is ook rekening gehouden met de mogelijkheid dat een lidstaat meerdere toezichthouders heeft. Dit blijkt bijvoorbeeld uit artikel 3 van de verordening waarmee de mogelijkheid wordt gecreëerd tot samenwerking tussen de ECB en autoriteiten die toezicht houden op de markten voor financiële instrumenten. </w:t>
      </w:r>
    </w:p>
    <w:p w:rsidRPr="000B6052" w:rsidR="003655E6" w:rsidP="003655E6" w:rsidRDefault="003655E6">
      <w:pPr>
        <w:rPr>
          <w:sz w:val="20"/>
          <w:szCs w:val="20"/>
        </w:rPr>
      </w:pPr>
    </w:p>
    <w:p w:rsidRPr="000B6052" w:rsidR="003655E6" w:rsidP="003655E6" w:rsidRDefault="003655E6">
      <w:pPr>
        <w:rPr>
          <w:sz w:val="20"/>
          <w:szCs w:val="20"/>
        </w:rPr>
      </w:pPr>
      <w:r w:rsidRPr="000B6052">
        <w:rPr>
          <w:sz w:val="20"/>
          <w:szCs w:val="20"/>
        </w:rPr>
        <w:t xml:space="preserve">De inrichting van het toezicht op de financiële markten in Nederland volgens het </w:t>
      </w:r>
      <w:proofErr w:type="spellStart"/>
      <w:r w:rsidRPr="000B6052">
        <w:rPr>
          <w:sz w:val="20"/>
          <w:szCs w:val="20"/>
        </w:rPr>
        <w:t>twin</w:t>
      </w:r>
      <w:proofErr w:type="spellEnd"/>
      <w:r w:rsidRPr="000B6052">
        <w:rPr>
          <w:sz w:val="20"/>
          <w:szCs w:val="20"/>
        </w:rPr>
        <w:t xml:space="preserve"> </w:t>
      </w:r>
      <w:proofErr w:type="spellStart"/>
      <w:r w:rsidRPr="000B6052">
        <w:rPr>
          <w:sz w:val="20"/>
          <w:szCs w:val="20"/>
        </w:rPr>
        <w:t>peaks-model</w:t>
      </w:r>
      <w:proofErr w:type="spellEnd"/>
      <w:r w:rsidRPr="000B6052">
        <w:rPr>
          <w:sz w:val="20"/>
          <w:szCs w:val="20"/>
        </w:rPr>
        <w:t xml:space="preserve"> brengt met zich dat de ECB in sommige gevallen in haar toezicht op Nederlandse banken te maken zal hebben met twee toezichthouders. Met de wijziging van de betreffende artikelen is beoogd voor die gevallen te regelen dat de ECB en de AFM met elkaar samenwerken, maar niet om een Nederlandse wettelijke verplichting daartoe in het leven te roepen. De bedoeling is om de AFM handvatten te geven voor de samenwerking, net zoals zij die heeft in het kader van de samenwerking met DNB bij bijvoorbeeld vergunningverleningen of bestuurderstoetsingen. Niettemin is de toelichting op dit punt aangevuld; zie hiervoor onderdelen D tot en met I van de </w:t>
      </w:r>
      <w:proofErr w:type="spellStart"/>
      <w:r w:rsidRPr="000B6052">
        <w:rPr>
          <w:sz w:val="20"/>
          <w:szCs w:val="20"/>
        </w:rPr>
        <w:t>artikelsgewijze</w:t>
      </w:r>
      <w:proofErr w:type="spellEnd"/>
      <w:r w:rsidRPr="000B6052">
        <w:rPr>
          <w:sz w:val="20"/>
          <w:szCs w:val="20"/>
        </w:rPr>
        <w:t xml:space="preserve"> toelichting. </w:t>
      </w:r>
    </w:p>
    <w:p w:rsidRPr="000B6052" w:rsidR="003655E6" w:rsidP="003655E6" w:rsidRDefault="003655E6">
      <w:pPr>
        <w:rPr>
          <w:sz w:val="20"/>
          <w:szCs w:val="20"/>
        </w:rPr>
      </w:pPr>
    </w:p>
    <w:p w:rsidRPr="000B6052" w:rsidR="003655E6" w:rsidP="003655E6" w:rsidRDefault="003655E6">
      <w:pPr>
        <w:rPr>
          <w:sz w:val="20"/>
          <w:szCs w:val="20"/>
        </w:rPr>
      </w:pPr>
      <w:r w:rsidRPr="000B6052">
        <w:rPr>
          <w:sz w:val="20"/>
          <w:szCs w:val="20"/>
        </w:rPr>
        <w:t xml:space="preserve">2. Tot slot adviseert de Afdeling het </w:t>
      </w:r>
      <w:proofErr w:type="spellStart"/>
      <w:r w:rsidRPr="000B6052">
        <w:rPr>
          <w:sz w:val="20"/>
          <w:szCs w:val="20"/>
        </w:rPr>
        <w:t>instemmingsvereiste</w:t>
      </w:r>
      <w:proofErr w:type="spellEnd"/>
      <w:r w:rsidRPr="000B6052">
        <w:rPr>
          <w:sz w:val="20"/>
          <w:szCs w:val="20"/>
        </w:rPr>
        <w:t xml:space="preserve"> in de artikelen 2:108 en 2:109 </w:t>
      </w:r>
      <w:proofErr w:type="spellStart"/>
      <w:r w:rsidRPr="000B6052">
        <w:rPr>
          <w:sz w:val="20"/>
          <w:szCs w:val="20"/>
        </w:rPr>
        <w:t>Wft</w:t>
      </w:r>
      <w:proofErr w:type="spellEnd"/>
      <w:r w:rsidRPr="000B6052">
        <w:rPr>
          <w:sz w:val="20"/>
          <w:szCs w:val="20"/>
        </w:rPr>
        <w:t xml:space="preserve"> (nieuw) te wijzigen. Terecht signaleert de Afdeling dat het niet juist is dat DNB zou moeten instemmen met de vestiging van een bijkantoor in een andere lidstaat door een minder significante bank, gezien  artikel 11, vierde lid, van de kaderverordening. Het wetsvoorstel en de toelichting (bij paragraaf 2, onderdeel d, en onderdelen JJ en KK) zijn in die zin aangepast dat het </w:t>
      </w:r>
      <w:proofErr w:type="spellStart"/>
      <w:r w:rsidRPr="000B6052">
        <w:rPr>
          <w:sz w:val="20"/>
          <w:szCs w:val="20"/>
        </w:rPr>
        <w:t>instemmingsvereiste</w:t>
      </w:r>
      <w:proofErr w:type="spellEnd"/>
      <w:r w:rsidRPr="000B6052">
        <w:rPr>
          <w:sz w:val="20"/>
          <w:szCs w:val="20"/>
        </w:rPr>
        <w:t xml:space="preserve"> is vervangen door een bepaling waarin het is toegestaan een bijkantoor te vestigen tenzij DNB daarover anders besluit. </w:t>
      </w:r>
    </w:p>
    <w:p w:rsidRPr="000B6052" w:rsidR="003655E6" w:rsidP="003655E6" w:rsidRDefault="003655E6">
      <w:pPr>
        <w:rPr>
          <w:sz w:val="20"/>
          <w:szCs w:val="20"/>
        </w:rPr>
      </w:pPr>
    </w:p>
    <w:p w:rsidRPr="000B6052" w:rsidR="003655E6" w:rsidP="003655E6" w:rsidRDefault="003655E6">
      <w:pPr>
        <w:rPr>
          <w:sz w:val="20"/>
          <w:szCs w:val="20"/>
        </w:rPr>
      </w:pPr>
      <w:r w:rsidRPr="000B6052">
        <w:rPr>
          <w:sz w:val="20"/>
          <w:szCs w:val="20"/>
        </w:rPr>
        <w:t>3. De redactionele kanttekeningen van de Afdeling zijn verwerkt.</w:t>
      </w:r>
    </w:p>
    <w:p w:rsidRPr="000B6052" w:rsidR="003655E6" w:rsidP="003655E6" w:rsidRDefault="003655E6">
      <w:pPr>
        <w:rPr>
          <w:sz w:val="20"/>
          <w:szCs w:val="20"/>
        </w:rPr>
      </w:pPr>
    </w:p>
    <w:p w:rsidRPr="000B6052" w:rsidR="003655E6" w:rsidP="003655E6" w:rsidRDefault="003655E6">
      <w:pPr>
        <w:rPr>
          <w:sz w:val="20"/>
          <w:szCs w:val="20"/>
        </w:rPr>
      </w:pPr>
      <w:r w:rsidRPr="000B6052">
        <w:rPr>
          <w:sz w:val="20"/>
          <w:szCs w:val="20"/>
        </w:rPr>
        <w:t xml:space="preserve">4. Van de gelegenheid is gebruik gemaakt een aantal onvolkomenheden in de toelichting aan te passen. Verder zijn de artikelen 1:47a en </w:t>
      </w:r>
      <w:r w:rsidR="00A009BB">
        <w:rPr>
          <w:sz w:val="20"/>
          <w:szCs w:val="20"/>
        </w:rPr>
        <w:t>1:49 aangepast. In artikel 1:47</w:t>
      </w:r>
      <w:r w:rsidRPr="000B6052">
        <w:rPr>
          <w:sz w:val="20"/>
          <w:szCs w:val="20"/>
        </w:rPr>
        <w:t>a is verduidelijkt dat de AFM enkel de ECB raadpleegt wanneer de ECB op grond van de verordening bankentoezicht bevoegd is toezicht op significante banken uit te oefenen. Bij artikel 1:49 is, afhankelijk van de toezichthouder die het toezicht uitoefent op de instelling, gepreciseerd tot welke toezichthouder een bindende aanbeveling moet worden gericht.</w:t>
      </w:r>
    </w:p>
    <w:p w:rsidR="00743CBA" w:rsidP="003655E6" w:rsidRDefault="00743CBA"/>
    <w:p w:rsidR="00865CA6" w:rsidP="003655E6" w:rsidRDefault="00865CA6"/>
    <w:p w:rsidR="00865CA6" w:rsidP="003655E6" w:rsidRDefault="00865CA6"/>
    <w:p w:rsidRPr="003A2B2A" w:rsidR="000B6052" w:rsidP="000B6052" w:rsidRDefault="000B6052">
      <w:pPr>
        <w:rPr>
          <w:sz w:val="20"/>
          <w:szCs w:val="20"/>
        </w:rPr>
      </w:pPr>
      <w:r w:rsidRPr="003A2B2A">
        <w:rPr>
          <w:sz w:val="20"/>
          <w:szCs w:val="20"/>
        </w:rPr>
        <w:lastRenderedPageBreak/>
        <w:t>Ik moge U verzoeken het hierbij gevoegde voorstel van wet en de gewijzigde memorie van toelichting aan de Tweede Kamer der Staten-Generaal te zenden.</w:t>
      </w:r>
    </w:p>
    <w:p w:rsidR="000B6052" w:rsidP="000B6052" w:rsidRDefault="000B6052">
      <w:pPr>
        <w:rPr>
          <w:sz w:val="20"/>
          <w:szCs w:val="20"/>
        </w:rPr>
      </w:pPr>
    </w:p>
    <w:p w:rsidR="000B6052" w:rsidP="000B6052" w:rsidRDefault="000B6052">
      <w:pPr>
        <w:rPr>
          <w:sz w:val="20"/>
          <w:szCs w:val="20"/>
        </w:rPr>
      </w:pPr>
    </w:p>
    <w:p w:rsidR="000B6052" w:rsidP="000B6052" w:rsidRDefault="000B6052">
      <w:pPr>
        <w:rPr>
          <w:sz w:val="20"/>
          <w:szCs w:val="20"/>
        </w:rPr>
      </w:pPr>
    </w:p>
    <w:p w:rsidR="000B6052" w:rsidP="000B6052" w:rsidRDefault="000B6052">
      <w:pPr>
        <w:rPr>
          <w:sz w:val="20"/>
          <w:szCs w:val="20"/>
        </w:rPr>
      </w:pPr>
    </w:p>
    <w:p w:rsidR="000B6052" w:rsidP="000B6052" w:rsidRDefault="000B6052">
      <w:pPr>
        <w:rPr>
          <w:sz w:val="20"/>
          <w:szCs w:val="20"/>
        </w:rPr>
      </w:pPr>
      <w:r>
        <w:rPr>
          <w:sz w:val="20"/>
          <w:szCs w:val="20"/>
        </w:rPr>
        <w:t>De Minister van Financiën,</w:t>
      </w:r>
    </w:p>
    <w:p w:rsidR="000B6052" w:rsidP="000B6052" w:rsidRDefault="000B6052">
      <w:pPr>
        <w:rPr>
          <w:sz w:val="20"/>
          <w:szCs w:val="20"/>
        </w:rPr>
      </w:pPr>
    </w:p>
    <w:p w:rsidR="000B6052" w:rsidP="000B6052" w:rsidRDefault="000B6052">
      <w:pPr>
        <w:rPr>
          <w:sz w:val="20"/>
          <w:szCs w:val="20"/>
        </w:rPr>
      </w:pPr>
    </w:p>
    <w:p w:rsidR="000B6052" w:rsidP="000B6052" w:rsidRDefault="000B6052">
      <w:pPr>
        <w:rPr>
          <w:sz w:val="20"/>
          <w:szCs w:val="20"/>
        </w:rPr>
      </w:pPr>
    </w:p>
    <w:p w:rsidR="000B6052" w:rsidP="000B6052" w:rsidRDefault="000B6052">
      <w:pPr>
        <w:rPr>
          <w:sz w:val="20"/>
          <w:szCs w:val="20"/>
        </w:rPr>
      </w:pPr>
    </w:p>
    <w:p w:rsidR="000B6052" w:rsidP="000B6052" w:rsidRDefault="000B6052">
      <w:pPr>
        <w:rPr>
          <w:sz w:val="20"/>
          <w:szCs w:val="20"/>
        </w:rPr>
      </w:pPr>
    </w:p>
    <w:p w:rsidRPr="0079059E" w:rsidR="000B6052" w:rsidP="000B6052" w:rsidRDefault="000B6052">
      <w:pPr>
        <w:rPr>
          <w:sz w:val="20"/>
          <w:szCs w:val="20"/>
        </w:rPr>
      </w:pPr>
      <w:r>
        <w:rPr>
          <w:sz w:val="20"/>
          <w:szCs w:val="20"/>
        </w:rPr>
        <w:t>J.R.V.A. Dijsselbloem</w:t>
      </w:r>
    </w:p>
    <w:p w:rsidR="00A621A2" w:rsidP="007A2DBC" w:rsidRDefault="00A621A2"/>
    <w:p w:rsidR="00A621A2" w:rsidP="007A2DBC" w:rsidRDefault="00A621A2"/>
    <w:p w:rsidR="00A621A2" w:rsidP="007A2DBC" w:rsidRDefault="00A621A2"/>
    <w:p w:rsidR="00A621A2" w:rsidP="007A2DBC" w:rsidRDefault="00A621A2"/>
    <w:p w:rsidR="00A621A2" w:rsidP="007A2DBC" w:rsidRDefault="00A621A2"/>
    <w:p w:rsidR="00A621A2" w:rsidP="007A2DBC" w:rsidRDefault="00A621A2"/>
    <w:p w:rsidR="00A621A2" w:rsidP="007A2DBC" w:rsidRDefault="00A621A2"/>
    <w:p w:rsidR="00A621A2" w:rsidP="00A621A2" w:rsidRDefault="00A621A2"/>
    <w:p w:rsidR="00A621A2" w:rsidP="00A621A2" w:rsidRDefault="00A621A2"/>
    <w:p w:rsidRPr="007A2DBC" w:rsidR="00A621A2" w:rsidP="007A2DBC" w:rsidRDefault="00A621A2">
      <w:r w:rsidRPr="007A2DBC">
        <w:t xml:space="preserve"> </w:t>
      </w:r>
    </w:p>
    <w:sectPr w:rsidRPr="007A2DBC" w:rsidR="00A621A2" w:rsidSect="00BC2209">
      <w:headerReference w:type="even" r:id="rId7"/>
      <w:headerReference w:type="default" r:id="rId8"/>
      <w:footerReference w:type="even" r:id="rId9"/>
      <w:footerReference w:type="default" r:id="rId10"/>
      <w:headerReference w:type="first" r:id="rId11"/>
      <w:footerReference w:type="first" r:id="rId12"/>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ACE" w:rsidRDefault="009B5ACE" w:rsidP="004F26AC">
      <w:pPr>
        <w:spacing w:line="240" w:lineRule="auto"/>
      </w:pPr>
      <w:r>
        <w:separator/>
      </w:r>
    </w:p>
  </w:endnote>
  <w:endnote w:type="continuationSeparator" w:id="0">
    <w:p w:rsidR="009B5ACE" w:rsidRDefault="009B5ACE" w:rsidP="004F26A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41D" w:rsidRDefault="0083241D">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B10BD5">
      <w:trPr>
        <w:trHeight w:hRule="exact" w:val="240"/>
      </w:trPr>
      <w:tc>
        <w:tcPr>
          <w:tcW w:w="7752" w:type="dxa"/>
          <w:shd w:val="clear" w:color="auto" w:fill="auto"/>
        </w:tcPr>
        <w:p w:rsidR="00B10BD5" w:rsidRDefault="00B10BD5" w:rsidP="00C171A5">
          <w:pPr>
            <w:pStyle w:val="Huisstijl-Rubricering"/>
          </w:pPr>
        </w:p>
      </w:tc>
      <w:tc>
        <w:tcPr>
          <w:tcW w:w="2148" w:type="dxa"/>
        </w:tcPr>
        <w:p w:rsidR="00B10BD5" w:rsidRDefault="00B10BD5" w:rsidP="00C171A5">
          <w:pPr>
            <w:pStyle w:val="Huisstijl-Paginanummering"/>
          </w:pPr>
          <w:r w:rsidRPr="00CD362D">
            <w:rPr>
              <w:rStyle w:val="Huisstijl-GegevenCharChar"/>
            </w:rPr>
            <w:t xml:space="preserve">Pagina </w:t>
          </w:r>
          <w:r w:rsidR="00A933E9" w:rsidRPr="00CD362D">
            <w:rPr>
              <w:rStyle w:val="Huisstijl-GegevenCharChar"/>
            </w:rPr>
            <w:fldChar w:fldCharType="begin"/>
          </w:r>
          <w:r w:rsidRPr="00CD362D">
            <w:rPr>
              <w:rStyle w:val="Huisstijl-GegevenCharChar"/>
            </w:rPr>
            <w:instrText xml:space="preserve"> PAGE   \* MERGEFORMAT </w:instrText>
          </w:r>
          <w:r w:rsidR="00A933E9" w:rsidRPr="00CD362D">
            <w:rPr>
              <w:rStyle w:val="Huisstijl-GegevenCharChar"/>
            </w:rPr>
            <w:fldChar w:fldCharType="separate"/>
          </w:r>
          <w:r w:rsidR="0083241D">
            <w:rPr>
              <w:rStyle w:val="Huisstijl-GegevenCharChar"/>
            </w:rPr>
            <w:t>2</w:t>
          </w:r>
          <w:r w:rsidR="00A933E9" w:rsidRPr="00CD362D">
            <w:rPr>
              <w:rStyle w:val="Huisstijl-GegevenCharChar"/>
            </w:rPr>
            <w:fldChar w:fldCharType="end"/>
          </w:r>
          <w:r w:rsidRPr="00CD362D">
            <w:rPr>
              <w:rStyle w:val="Huisstijl-GegevenCharChar"/>
            </w:rPr>
            <w:t xml:space="preserve"> van</w:t>
          </w:r>
          <w:r>
            <w:t xml:space="preserve"> </w:t>
          </w:r>
          <w:fldSimple w:instr=" NUMPAGES   \* MERGEFORMAT ">
            <w:r w:rsidR="0083241D">
              <w:t>3</w:t>
            </w:r>
          </w:fldSimple>
        </w:p>
      </w:tc>
    </w:tr>
  </w:tbl>
  <w:p w:rsidR="00B10BD5" w:rsidRPr="00274322" w:rsidRDefault="00B10BD5" w:rsidP="00274322">
    <w:pPr>
      <w:pStyle w:val="Huisstijl-Rubricering"/>
      <w:rPr>
        <w:rFonts w:cs="Verdana"/>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B10BD5">
      <w:trPr>
        <w:trHeight w:hRule="exact" w:val="240"/>
      </w:trPr>
      <w:tc>
        <w:tcPr>
          <w:tcW w:w="7752" w:type="dxa"/>
          <w:shd w:val="clear" w:color="auto" w:fill="auto"/>
        </w:tcPr>
        <w:p w:rsidR="00B10BD5" w:rsidRPr="00274322" w:rsidRDefault="00B10BD5" w:rsidP="00A621A2">
          <w:pPr>
            <w:pStyle w:val="Huisstijl-Rubricering"/>
            <w:rPr>
              <w:rFonts w:cs="Verdana"/>
            </w:rPr>
          </w:pPr>
        </w:p>
      </w:tc>
      <w:tc>
        <w:tcPr>
          <w:tcW w:w="2148" w:type="dxa"/>
        </w:tcPr>
        <w:p w:rsidR="00B10BD5" w:rsidRDefault="00B10BD5" w:rsidP="00C171A5">
          <w:pPr>
            <w:pStyle w:val="Huisstijl-Paginanummering"/>
          </w:pPr>
          <w:r w:rsidRPr="00CD362D">
            <w:rPr>
              <w:rStyle w:val="Huisstijl-GegevenCharChar"/>
            </w:rPr>
            <w:t xml:space="preserve">Pagina </w:t>
          </w:r>
          <w:r w:rsidR="00A933E9" w:rsidRPr="00CD362D">
            <w:rPr>
              <w:rStyle w:val="Huisstijl-GegevenCharChar"/>
            </w:rPr>
            <w:fldChar w:fldCharType="begin"/>
          </w:r>
          <w:r w:rsidRPr="00CD362D">
            <w:rPr>
              <w:rStyle w:val="Huisstijl-GegevenCharChar"/>
            </w:rPr>
            <w:instrText xml:space="preserve"> PAGE   \* MERGEFORMAT </w:instrText>
          </w:r>
          <w:r w:rsidR="00A933E9" w:rsidRPr="00CD362D">
            <w:rPr>
              <w:rStyle w:val="Huisstijl-GegevenCharChar"/>
            </w:rPr>
            <w:fldChar w:fldCharType="separate"/>
          </w:r>
          <w:r w:rsidR="0083241D">
            <w:rPr>
              <w:rStyle w:val="Huisstijl-GegevenCharChar"/>
            </w:rPr>
            <w:t>1</w:t>
          </w:r>
          <w:r w:rsidR="00A933E9" w:rsidRPr="00CD362D">
            <w:rPr>
              <w:rStyle w:val="Huisstijl-GegevenCharChar"/>
            </w:rPr>
            <w:fldChar w:fldCharType="end"/>
          </w:r>
          <w:r w:rsidRPr="00CD362D">
            <w:rPr>
              <w:rStyle w:val="Huisstijl-GegevenCharChar"/>
            </w:rPr>
            <w:t xml:space="preserve"> van</w:t>
          </w:r>
          <w:r>
            <w:t xml:space="preserve"> </w:t>
          </w:r>
          <w:fldSimple w:instr=" NUMPAGES   \* MERGEFORMAT ">
            <w:r w:rsidR="0083241D">
              <w:t>3</w:t>
            </w:r>
          </w:fldSimple>
        </w:p>
      </w:tc>
    </w:tr>
  </w:tbl>
  <w:p w:rsidR="00B10BD5" w:rsidRDefault="00B10BD5" w:rsidP="00C171A5">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ACE" w:rsidRDefault="009B5ACE" w:rsidP="004F26AC">
      <w:pPr>
        <w:spacing w:line="240" w:lineRule="auto"/>
      </w:pPr>
      <w:r>
        <w:separator/>
      </w:r>
    </w:p>
  </w:footnote>
  <w:footnote w:type="continuationSeparator" w:id="0">
    <w:p w:rsidR="009B5ACE" w:rsidRDefault="009B5ACE" w:rsidP="004F26AC">
      <w:pPr>
        <w:spacing w:line="240" w:lineRule="auto"/>
      </w:pPr>
      <w:r>
        <w:continuationSeparator/>
      </w:r>
    </w:p>
  </w:footnote>
  <w:footnote w:id="1">
    <w:p w:rsidR="00B10BD5" w:rsidRDefault="00B10BD5">
      <w:pPr>
        <w:pStyle w:val="Voetnoottekst"/>
      </w:pPr>
      <w:r>
        <w:rPr>
          <w:rStyle w:val="Voetnootmarkering"/>
        </w:rPr>
        <w:footnoteRef/>
      </w:r>
      <w:r>
        <w:t xml:space="preserve"> </w:t>
      </w:r>
      <w:r w:rsidRPr="008A6E18">
        <w:rPr>
          <w:sz w:val="14"/>
          <w:szCs w:val="14"/>
        </w:rPr>
        <w:t>Artikel 6, tweede lid, verordening bankentoezicht.</w:t>
      </w:r>
    </w:p>
  </w:footnote>
  <w:footnote w:id="2">
    <w:p w:rsidR="00B10BD5" w:rsidRDefault="00B10BD5" w:rsidP="00A009BB">
      <w:pPr>
        <w:pStyle w:val="Voetnoottekst"/>
      </w:pPr>
      <w:r>
        <w:rPr>
          <w:rStyle w:val="Voetnootmarkering"/>
        </w:rPr>
        <w:footnoteRef/>
      </w:r>
      <w:r>
        <w:t xml:space="preserve"> Artikel 4, derde lid, van het Verdrag betreffende de Europese Unie. Zie ook het </w:t>
      </w:r>
      <w:proofErr w:type="spellStart"/>
      <w:r>
        <w:t>Zwartveld-arrest</w:t>
      </w:r>
      <w:proofErr w:type="spellEnd"/>
      <w:r>
        <w:t xml:space="preserve"> (zaak C-2/88), waarin het Hof heeft bepaald dat ook EU-instellingen loyaal moeten samenwerken met de lidstaten.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41D" w:rsidRDefault="0083241D">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9317" w:tblpY="3034"/>
      <w:tblW w:w="2160" w:type="dxa"/>
      <w:tblLayout w:type="fixed"/>
      <w:tblCellMar>
        <w:left w:w="0" w:type="dxa"/>
        <w:right w:w="0" w:type="dxa"/>
      </w:tblCellMar>
      <w:tblLook w:val="0000"/>
    </w:tblPr>
    <w:tblGrid>
      <w:gridCol w:w="2160"/>
    </w:tblGrid>
    <w:tr w:rsidR="00B10BD5">
      <w:trPr>
        <w:cantSplit/>
        <w:trHeight w:val="20"/>
      </w:trPr>
      <w:tc>
        <w:tcPr>
          <w:tcW w:w="2160" w:type="dxa"/>
        </w:tcPr>
        <w:p w:rsidR="00B10BD5" w:rsidRPr="00F5152A" w:rsidRDefault="00B10BD5" w:rsidP="00A621A2">
          <w:pPr>
            <w:pStyle w:val="Huisstijl-Gegeven"/>
            <w:keepLines/>
            <w:widowControl w:val="0"/>
            <w:suppressAutoHyphens/>
            <w:rPr>
              <w:b/>
            </w:rPr>
          </w:pPr>
          <w:r>
            <w:rPr>
              <w:b/>
              <w:noProof w:val="0"/>
            </w:rPr>
            <w:t>Directie Financiële Markten</w:t>
          </w:r>
        </w:p>
      </w:tc>
    </w:tr>
    <w:tr w:rsidR="00B10BD5">
      <w:trPr>
        <w:cantSplit/>
        <w:trHeight w:val="92"/>
      </w:trPr>
      <w:tc>
        <w:tcPr>
          <w:tcW w:w="2160" w:type="dxa"/>
        </w:tcPr>
        <w:p w:rsidR="00B10BD5" w:rsidRDefault="00B10BD5" w:rsidP="00812F5E">
          <w:pPr>
            <w:pStyle w:val="Huisstijl-Voorwaarden"/>
            <w:keepLines/>
            <w:widowControl w:val="0"/>
            <w:suppressAutoHyphens/>
          </w:pPr>
        </w:p>
      </w:tc>
    </w:tr>
    <w:tr w:rsidR="00B10BD5">
      <w:trPr>
        <w:cantSplit/>
        <w:trHeight w:val="20"/>
      </w:trPr>
      <w:tc>
        <w:tcPr>
          <w:tcW w:w="2160" w:type="dxa"/>
        </w:tcPr>
        <w:p w:rsidR="00B10BD5" w:rsidRDefault="00B10BD5" w:rsidP="00812F5E">
          <w:pPr>
            <w:pStyle w:val="Huisstijl-Kopje"/>
          </w:pPr>
          <w:r>
            <w:t>Ons kenmerk</w:t>
          </w:r>
        </w:p>
        <w:p w:rsidR="00B10BD5" w:rsidRDefault="00B10BD5" w:rsidP="00BF53DE">
          <w:pPr>
            <w:pStyle w:val="Huisstijl-Gegeven"/>
          </w:pPr>
          <w:r>
            <w:rPr>
              <w:noProof w:val="0"/>
            </w:rPr>
            <w:t>FM</w:t>
          </w:r>
          <w:r w:rsidRPr="0049681B">
            <w:t>/</w:t>
          </w:r>
          <w:r>
            <w:rPr>
              <w:noProof w:val="0"/>
            </w:rPr>
            <w:t>2014/</w:t>
          </w:r>
          <w:r w:rsidR="00125851">
            <w:rPr>
              <w:noProof w:val="0"/>
            </w:rPr>
            <w:t>1495 M</w:t>
          </w:r>
        </w:p>
        <w:p w:rsidR="00B10BD5" w:rsidRPr="0049681B" w:rsidRDefault="00B10BD5" w:rsidP="00812F5E">
          <w:pPr>
            <w:pStyle w:val="Huisstijl-Voorwaarden"/>
            <w:keepLines/>
            <w:widowControl w:val="0"/>
            <w:suppressAutoHyphens/>
            <w:rPr>
              <w:i w:val="0"/>
            </w:rPr>
          </w:pPr>
        </w:p>
      </w:tc>
    </w:tr>
    <w:tr w:rsidR="00B10BD5">
      <w:trPr>
        <w:cantSplit/>
        <w:trHeight w:val="20"/>
      </w:trPr>
      <w:tc>
        <w:tcPr>
          <w:tcW w:w="2160" w:type="dxa"/>
        </w:tcPr>
        <w:p w:rsidR="00B10BD5" w:rsidRDefault="00B10BD5" w:rsidP="00812F5E">
          <w:pPr>
            <w:pStyle w:val="Huisstijl-Voorwaarden"/>
            <w:keepLines/>
            <w:widowControl w:val="0"/>
            <w:suppressAutoHyphens/>
          </w:pPr>
        </w:p>
      </w:tc>
    </w:tr>
  </w:tbl>
  <w:p w:rsidR="00B10BD5" w:rsidRPr="00511A1A" w:rsidRDefault="00B10BD5" w:rsidP="00504DA4">
    <w:pPr>
      <w:pStyle w:val="Koptekst"/>
      <w:spacing w:after="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9317" w:tblpY="3034"/>
      <w:tblW w:w="2160" w:type="dxa"/>
      <w:tblLayout w:type="fixed"/>
      <w:tblCellMar>
        <w:left w:w="0" w:type="dxa"/>
        <w:right w:w="0" w:type="dxa"/>
      </w:tblCellMar>
      <w:tblLook w:val="0000"/>
    </w:tblPr>
    <w:tblGrid>
      <w:gridCol w:w="2160"/>
    </w:tblGrid>
    <w:tr w:rsidR="00B10BD5">
      <w:trPr>
        <w:cantSplit/>
      </w:trPr>
      <w:tc>
        <w:tcPr>
          <w:tcW w:w="2160" w:type="dxa"/>
        </w:tcPr>
        <w:p w:rsidR="00B10BD5" w:rsidRPr="00E219C8" w:rsidRDefault="00B10BD5" w:rsidP="001A3070">
          <w:pPr>
            <w:pStyle w:val="Huisstijl-Adres"/>
            <w:rPr>
              <w:b/>
            </w:rPr>
          </w:pPr>
          <w:r>
            <w:rPr>
              <w:b/>
              <w:noProof w:val="0"/>
            </w:rPr>
            <w:t>Directie Financiële Markten</w:t>
          </w:r>
          <w:r w:rsidRPr="00E219C8">
            <w:rPr>
              <w:b/>
            </w:rPr>
            <w:t xml:space="preserve"> </w:t>
          </w:r>
        </w:p>
        <w:p w:rsidR="00B10BD5" w:rsidRPr="005C20AA" w:rsidRDefault="00B10BD5" w:rsidP="001A3070">
          <w:pPr>
            <w:pStyle w:val="Huisstijl-Adres"/>
            <w:rPr>
              <w:u w:val="single"/>
            </w:rPr>
          </w:pPr>
          <w:r>
            <w:rPr>
              <w:noProof w:val="0"/>
            </w:rPr>
            <w:t xml:space="preserve">Korte </w:t>
          </w:r>
          <w:proofErr w:type="spellStart"/>
          <w:r>
            <w:rPr>
              <w:noProof w:val="0"/>
            </w:rPr>
            <w:t>Voorhout</w:t>
          </w:r>
          <w:proofErr w:type="spellEnd"/>
          <w:r>
            <w:rPr>
              <w:noProof w:val="0"/>
            </w:rPr>
            <w:t xml:space="preserve"> 7</w:t>
          </w:r>
          <w:r>
            <w:br/>
          </w:r>
          <w:r>
            <w:rPr>
              <w:noProof w:val="0"/>
            </w:rPr>
            <w:t>2511 CW</w:t>
          </w:r>
          <w:r>
            <w:t xml:space="preserve">  </w:t>
          </w:r>
          <w:r>
            <w:rPr>
              <w:noProof w:val="0"/>
            </w:rPr>
            <w:t>Den Haag</w:t>
          </w:r>
          <w:r>
            <w:br/>
          </w:r>
          <w:r w:rsidRPr="0014786A">
            <w:t>Postbus 20</w:t>
          </w:r>
          <w:r>
            <w:t>201</w:t>
          </w:r>
          <w:r>
            <w:br/>
            <w:t xml:space="preserve">2500 EE </w:t>
          </w:r>
          <w:r w:rsidRPr="0014786A">
            <w:t xml:space="preserve"> Den</w:t>
          </w:r>
          <w:r>
            <w:t xml:space="preserve"> </w:t>
          </w:r>
          <w:r w:rsidRPr="0014786A">
            <w:t>Haag</w:t>
          </w:r>
          <w:r w:rsidRPr="000A174A">
            <w:t xml:space="preserve"> </w:t>
          </w:r>
          <w:r w:rsidRPr="000A174A">
            <w:br/>
          </w:r>
          <w:r>
            <w:rPr>
              <w:noProof w:val="0"/>
            </w:rPr>
            <w:t>www.rijksoverheid.nl</w:t>
          </w:r>
        </w:p>
        <w:p w:rsidR="00B10BD5" w:rsidRDefault="00B10BD5" w:rsidP="00A621A2">
          <w:pPr>
            <w:pStyle w:val="Huisstijl-Adres"/>
            <w:keepLines/>
            <w:widowControl w:val="0"/>
            <w:suppressAutoHyphens/>
          </w:pPr>
        </w:p>
      </w:tc>
    </w:tr>
    <w:tr w:rsidR="00B10BD5">
      <w:trPr>
        <w:cantSplit/>
        <w:trHeight w:hRule="exact" w:val="200"/>
      </w:trPr>
      <w:tc>
        <w:tcPr>
          <w:tcW w:w="2160" w:type="dxa"/>
        </w:tcPr>
        <w:p w:rsidR="00B10BD5" w:rsidRPr="00DF54D9" w:rsidRDefault="00B10BD5" w:rsidP="001A3070">
          <w:pPr>
            <w:keepLines/>
            <w:widowControl w:val="0"/>
            <w:suppressAutoHyphens/>
          </w:pPr>
        </w:p>
      </w:tc>
    </w:tr>
    <w:tr w:rsidR="00B10BD5">
      <w:trPr>
        <w:cantSplit/>
        <w:trHeight w:val="1740"/>
      </w:trPr>
      <w:tc>
        <w:tcPr>
          <w:tcW w:w="2160" w:type="dxa"/>
        </w:tcPr>
        <w:p w:rsidR="00B10BD5" w:rsidRDefault="00B10BD5" w:rsidP="001A3070">
          <w:pPr>
            <w:pStyle w:val="Huisstijl-Kopje"/>
            <w:keepLines/>
            <w:widowControl w:val="0"/>
            <w:suppressAutoHyphens/>
          </w:pPr>
          <w:r>
            <w:t>Ons kenmerk</w:t>
          </w:r>
        </w:p>
        <w:p w:rsidR="00B10BD5" w:rsidRDefault="00B10BD5" w:rsidP="001A3070">
          <w:pPr>
            <w:pStyle w:val="Huisstijl-Kopje"/>
            <w:keepLines/>
            <w:widowControl w:val="0"/>
            <w:suppressAutoHyphens/>
            <w:rPr>
              <w:b w:val="0"/>
              <w:noProof w:val="0"/>
            </w:rPr>
          </w:pPr>
          <w:r w:rsidRPr="004C0475">
            <w:rPr>
              <w:b w:val="0"/>
              <w:noProof w:val="0"/>
            </w:rPr>
            <w:t>FM/2014/1495 M</w:t>
          </w:r>
        </w:p>
        <w:p w:rsidR="00B10BD5" w:rsidRDefault="00B10BD5" w:rsidP="001A3070">
          <w:pPr>
            <w:pStyle w:val="Huisstijl-Kopje"/>
            <w:keepLines/>
            <w:widowControl w:val="0"/>
            <w:suppressAutoHyphens/>
            <w:rPr>
              <w:b w:val="0"/>
              <w:noProof w:val="0"/>
            </w:rPr>
          </w:pPr>
        </w:p>
        <w:p w:rsidR="00B10BD5" w:rsidRDefault="00B10BD5" w:rsidP="001A3070">
          <w:pPr>
            <w:pStyle w:val="Huisstijl-Kopje"/>
            <w:keepLines/>
            <w:widowControl w:val="0"/>
            <w:suppressAutoHyphens/>
          </w:pPr>
        </w:p>
        <w:p w:rsidR="00B10BD5" w:rsidRDefault="00B10BD5" w:rsidP="001A3070">
          <w:pPr>
            <w:pStyle w:val="Huisstijl-Gegeven"/>
            <w:keepLines/>
            <w:widowControl w:val="0"/>
            <w:suppressAutoHyphens/>
          </w:pPr>
        </w:p>
        <w:p w:rsidR="00B10BD5" w:rsidRDefault="00B10BD5" w:rsidP="001A3070">
          <w:pPr>
            <w:pStyle w:val="Huisstijl-Kopje"/>
            <w:keepLines/>
            <w:widowControl w:val="0"/>
            <w:suppressAutoHyphens/>
          </w:pPr>
          <w:r>
            <w:t>Bijlagen</w:t>
          </w:r>
        </w:p>
        <w:p w:rsidR="00B10BD5" w:rsidRPr="00743CBA" w:rsidRDefault="00B10BD5" w:rsidP="00743CBA">
          <w:pPr>
            <w:pStyle w:val="Huisstijl-Kopje"/>
            <w:keepLines/>
            <w:widowControl w:val="0"/>
            <w:numPr>
              <w:ilvl w:val="0"/>
              <w:numId w:val="13"/>
            </w:numPr>
            <w:suppressAutoHyphens/>
            <w:rPr>
              <w:b w:val="0"/>
            </w:rPr>
          </w:pPr>
          <w:r w:rsidRPr="00743CBA">
            <w:rPr>
              <w:b w:val="0"/>
            </w:rPr>
            <w:t>Wetsvoorstel</w:t>
          </w:r>
        </w:p>
        <w:p w:rsidR="00B10BD5" w:rsidRPr="00743CBA" w:rsidRDefault="00B10BD5" w:rsidP="00743CBA">
          <w:pPr>
            <w:pStyle w:val="Huisstijl-Kopje"/>
            <w:keepLines/>
            <w:widowControl w:val="0"/>
            <w:numPr>
              <w:ilvl w:val="0"/>
              <w:numId w:val="13"/>
            </w:numPr>
            <w:suppressAutoHyphens/>
            <w:rPr>
              <w:b w:val="0"/>
            </w:rPr>
          </w:pPr>
          <w:r w:rsidRPr="00743CBA">
            <w:rPr>
              <w:b w:val="0"/>
            </w:rPr>
            <w:t>Memorie van toelichting</w:t>
          </w:r>
        </w:p>
        <w:p w:rsidR="00B10BD5" w:rsidRDefault="00B10BD5" w:rsidP="00A621A2">
          <w:pPr>
            <w:pStyle w:val="Huisstijl-Gegeven"/>
            <w:keepLines/>
            <w:widowControl w:val="0"/>
            <w:suppressAutoHyphens/>
          </w:pPr>
        </w:p>
      </w:tc>
    </w:tr>
  </w:tbl>
  <w:p w:rsidR="00B10BD5" w:rsidRDefault="00A933E9" w:rsidP="008F6E53">
    <w:pPr>
      <w:pStyle w:val="Voetnoottekst"/>
    </w:pPr>
    <w:r>
      <w:pict>
        <v:shapetype id="_x0000_t202" coordsize="21600,21600" o:spt="202" path="m,l,21600r21600,l21600,xe">
          <v:stroke joinstyle="miter"/>
          <v:path gradientshapeok="t" o:connecttype="rect"/>
        </v:shapetype>
        <v:shape id="_x0000_s2049" type="#_x0000_t202" style="position:absolute;margin-left:193.5pt;margin-top:-7pt;width:317pt;height:137.5pt;z-index:251657728;mso-position-horizontal-relative:text;mso-position-vertical-relative:page" filled="f" stroked="f">
          <v:textbox style="mso-next-textbox:#_x0000_s2049">
            <w:txbxContent>
              <w:tbl>
                <w:tblPr>
                  <w:tblW w:w="0" w:type="auto"/>
                  <w:tblLayout w:type="fixed"/>
                  <w:tblCellMar>
                    <w:left w:w="0" w:type="dxa"/>
                    <w:right w:w="0" w:type="dxa"/>
                  </w:tblCellMar>
                  <w:tblLook w:val="0000"/>
                </w:tblPr>
                <w:tblGrid>
                  <w:gridCol w:w="737"/>
                  <w:gridCol w:w="5263"/>
                </w:tblGrid>
                <w:tr w:rsidR="00B10BD5">
                  <w:trPr>
                    <w:trHeight w:val="2636"/>
                  </w:trPr>
                  <w:tc>
                    <w:tcPr>
                      <w:tcW w:w="737" w:type="dxa"/>
                      <w:shd w:val="clear" w:color="auto" w:fill="auto"/>
                    </w:tcPr>
                    <w:p w:rsidR="00B10BD5" w:rsidRDefault="00B10BD5" w:rsidP="00C171A5">
                      <w:pPr>
                        <w:spacing w:line="240" w:lineRule="auto"/>
                      </w:pPr>
                    </w:p>
                  </w:tc>
                  <w:tc>
                    <w:tcPr>
                      <w:tcW w:w="5263" w:type="dxa"/>
                      <w:shd w:val="clear" w:color="auto" w:fill="auto"/>
                    </w:tcPr>
                    <w:p w:rsidR="00B10BD5" w:rsidRPr="007714D5" w:rsidRDefault="00093F12" w:rsidP="00C171A5">
                      <w:pPr>
                        <w:spacing w:line="240" w:lineRule="auto"/>
                      </w:pPr>
                      <w:r>
                        <w:rPr>
                          <w:noProof/>
                        </w:rPr>
                        <w:drawing>
                          <wp:inline distT="0" distB="0" distL="0" distR="0">
                            <wp:extent cx="2343150" cy="1581150"/>
                            <wp:effectExtent l="19050" t="0" r="0" b="0"/>
                            <wp:docPr id="2" name="Afbeelding 2" descr="RO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_F"/>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inline>
                        </w:drawing>
                      </w:r>
                    </w:p>
                  </w:tc>
                </w:tr>
              </w:tbl>
              <w:p w:rsidR="00B10BD5" w:rsidRDefault="00B10BD5" w:rsidP="00C171A5"/>
            </w:txbxContent>
          </v:textbox>
          <w10:wrap anchory="page"/>
        </v:shape>
      </w:pict>
    </w:r>
  </w:p>
  <w:tbl>
    <w:tblPr>
      <w:tblW w:w="7520" w:type="dxa"/>
      <w:tblLayout w:type="fixed"/>
      <w:tblCellMar>
        <w:left w:w="0" w:type="dxa"/>
        <w:right w:w="0" w:type="dxa"/>
      </w:tblCellMar>
      <w:tblLook w:val="0000"/>
    </w:tblPr>
    <w:tblGrid>
      <w:gridCol w:w="7520"/>
    </w:tblGrid>
    <w:tr w:rsidR="00B10BD5">
      <w:trPr>
        <w:trHeight w:val="400"/>
      </w:trPr>
      <w:tc>
        <w:tcPr>
          <w:tcW w:w="7520" w:type="dxa"/>
          <w:shd w:val="clear" w:color="auto" w:fill="auto"/>
        </w:tcPr>
        <w:p w:rsidR="00B10BD5" w:rsidRPr="00BC3B53" w:rsidRDefault="00B10BD5" w:rsidP="00C171A5">
          <w:pPr>
            <w:pStyle w:val="Huisstijl-Retouradres"/>
          </w:pPr>
          <w:r>
            <w:t>&gt; Retouradres Postbus 20201 2500 EE  Den Haag</w:t>
          </w:r>
        </w:p>
      </w:tc>
    </w:tr>
    <w:tr w:rsidR="00B10BD5">
      <w:trPr>
        <w:cantSplit/>
        <w:trHeight w:hRule="exact" w:val="2440"/>
      </w:trPr>
      <w:tc>
        <w:tcPr>
          <w:tcW w:w="7520" w:type="dxa"/>
          <w:shd w:val="clear" w:color="auto" w:fill="auto"/>
        </w:tcPr>
        <w:p w:rsidR="00B10BD5" w:rsidRPr="00AF7F3D" w:rsidRDefault="00B10BD5" w:rsidP="00AF7F3D">
          <w:pPr>
            <w:pStyle w:val="Huisstijl-Rubricering"/>
            <w:rPr>
              <w:rFonts w:cs="Verdana"/>
            </w:rPr>
          </w:pPr>
        </w:p>
        <w:p w:rsidR="00B10BD5" w:rsidRPr="007864B2" w:rsidRDefault="00B10BD5" w:rsidP="00A621A2">
          <w:pPr>
            <w:pStyle w:val="Huisstijl-NAW"/>
          </w:pPr>
          <w:r>
            <w:rPr>
              <w:noProof w:val="0"/>
            </w:rPr>
            <w:t>Aan de Koning</w:t>
          </w:r>
        </w:p>
      </w:tc>
    </w:tr>
    <w:tr w:rsidR="00B10BD5">
      <w:trPr>
        <w:trHeight w:hRule="exact" w:val="400"/>
      </w:trPr>
      <w:tc>
        <w:tcPr>
          <w:tcW w:w="7520" w:type="dxa"/>
          <w:shd w:val="clear" w:color="auto" w:fill="auto"/>
        </w:tcPr>
        <w:p w:rsidR="00B10BD5" w:rsidRPr="00035E67" w:rsidRDefault="00B10BD5" w:rsidP="00C171A5">
          <w:pPr>
            <w:tabs>
              <w:tab w:val="left" w:pos="740"/>
            </w:tabs>
            <w:autoSpaceDE w:val="0"/>
            <w:autoSpaceDN w:val="0"/>
            <w:adjustRightInd w:val="0"/>
            <w:ind w:left="743" w:hanging="743"/>
            <w:rPr>
              <w:rFonts w:cs="Verdana"/>
              <w:szCs w:val="18"/>
            </w:rPr>
          </w:pPr>
        </w:p>
      </w:tc>
    </w:tr>
    <w:tr w:rsidR="00B10BD5">
      <w:trPr>
        <w:trHeight w:val="240"/>
      </w:trPr>
      <w:tc>
        <w:tcPr>
          <w:tcW w:w="7520" w:type="dxa"/>
          <w:shd w:val="clear" w:color="auto" w:fill="auto"/>
        </w:tcPr>
        <w:p w:rsidR="00B10BD5" w:rsidRPr="00035E67" w:rsidRDefault="00B10BD5" w:rsidP="00A621A2">
          <w:pPr>
            <w:tabs>
              <w:tab w:val="left" w:pos="740"/>
            </w:tabs>
            <w:autoSpaceDE w:val="0"/>
            <w:autoSpaceDN w:val="0"/>
            <w:adjustRightInd w:val="0"/>
            <w:ind w:left="740" w:hanging="740"/>
            <w:rPr>
              <w:rFonts w:cs="Verdana"/>
              <w:szCs w:val="18"/>
            </w:rPr>
          </w:pPr>
          <w:r>
            <w:rPr>
              <w:rFonts w:cs="Verdana"/>
              <w:szCs w:val="18"/>
            </w:rPr>
            <w:t>Datum</w:t>
          </w:r>
          <w:r>
            <w:rPr>
              <w:rFonts w:cs="Verdana"/>
              <w:szCs w:val="18"/>
            </w:rPr>
            <w:tab/>
          </w:r>
          <w:r w:rsidR="00093F12">
            <w:rPr>
              <w:rFonts w:cs="Verdana"/>
              <w:szCs w:val="18"/>
            </w:rPr>
            <w:t>7 oktober 2014</w:t>
          </w:r>
        </w:p>
      </w:tc>
    </w:tr>
    <w:tr w:rsidR="00B10BD5" w:rsidRPr="00511A1A">
      <w:trPr>
        <w:trHeight w:val="240"/>
      </w:trPr>
      <w:tc>
        <w:tcPr>
          <w:tcW w:w="7520" w:type="dxa"/>
          <w:shd w:val="clear" w:color="auto" w:fill="auto"/>
        </w:tcPr>
        <w:p w:rsidR="00B10BD5" w:rsidRPr="00865CA6" w:rsidRDefault="00B10BD5" w:rsidP="00865CA6">
          <w:r w:rsidRPr="00511A1A">
            <w:t>Betreft</w:t>
          </w:r>
          <w:r w:rsidRPr="00511A1A">
            <w:tab/>
          </w:r>
          <w:r>
            <w:t>Nader Rapport inzake het voorstel van wet tot w</w:t>
          </w:r>
          <w:r w:rsidRPr="00865CA6">
            <w:t xml:space="preserve">ijziging van de Wet op het financieel toezicht in verband met Verordening (EU) Nr. 1024/2013 van de Raad van 15 oktober 2013 waarbij aan de Europese Centrale Bank specifieke taken worden opgedragen betreffende het beleid inzake het </w:t>
          </w:r>
          <w:proofErr w:type="spellStart"/>
          <w:r w:rsidRPr="00865CA6">
            <w:t>prudentieel</w:t>
          </w:r>
          <w:proofErr w:type="spellEnd"/>
          <w:r w:rsidRPr="00865CA6">
            <w:t xml:space="preserve"> toezicht op kredietinstellingen (</w:t>
          </w:r>
          <w:proofErr w:type="spellStart"/>
          <w:r w:rsidRPr="00865CA6">
            <w:t>PbEU</w:t>
          </w:r>
          <w:proofErr w:type="spellEnd"/>
          <w:r w:rsidRPr="00865CA6">
            <w:t xml:space="preserve"> 2013, L 287)</w:t>
          </w:r>
        </w:p>
        <w:p w:rsidR="00B10BD5" w:rsidRPr="00511A1A" w:rsidRDefault="00B10BD5" w:rsidP="00A621A2">
          <w:pPr>
            <w:tabs>
              <w:tab w:val="left" w:pos="740"/>
            </w:tabs>
            <w:autoSpaceDE w:val="0"/>
            <w:autoSpaceDN w:val="0"/>
            <w:adjustRightInd w:val="0"/>
            <w:ind w:left="740" w:hanging="740"/>
            <w:rPr>
              <w:rFonts w:cs="Verdana"/>
              <w:szCs w:val="18"/>
            </w:rPr>
          </w:pPr>
        </w:p>
      </w:tc>
    </w:tr>
  </w:tbl>
  <w:p w:rsidR="00B10BD5" w:rsidRDefault="00B10BD5" w:rsidP="00C171A5">
    <w:pPr>
      <w:pStyle w:val="Koptekst"/>
    </w:pPr>
  </w:p>
  <w:p w:rsidR="00B10BD5" w:rsidRDefault="00B10BD5" w:rsidP="00C171A5">
    <w:pPr>
      <w:pStyle w:val="Koptekst"/>
    </w:pPr>
  </w:p>
  <w:p w:rsidR="00B10BD5" w:rsidRDefault="00B10BD5">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340C661F"/>
    <w:multiLevelType w:val="hybridMultilevel"/>
    <w:tmpl w:val="4DD2F566"/>
    <w:lvl w:ilvl="0" w:tplc="5AC221C8">
      <w:start w:val="10"/>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stylePaneFormatFilter w:val="3F01"/>
  <w:defaultTabStop w:val="708"/>
  <w:hyphenationZone w:val="425"/>
  <w:drawingGridHorizontalSpacing w:val="90"/>
  <w:displayHorizontalDrawingGridEvery w:val="2"/>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3655E6"/>
    <w:rsid w:val="0002070E"/>
    <w:rsid w:val="00033FC5"/>
    <w:rsid w:val="00045692"/>
    <w:rsid w:val="00057485"/>
    <w:rsid w:val="00074FB2"/>
    <w:rsid w:val="000770F8"/>
    <w:rsid w:val="0009207D"/>
    <w:rsid w:val="00093F12"/>
    <w:rsid w:val="000B6052"/>
    <w:rsid w:val="000E7FFB"/>
    <w:rsid w:val="00111A33"/>
    <w:rsid w:val="00125851"/>
    <w:rsid w:val="001279C4"/>
    <w:rsid w:val="001A3070"/>
    <w:rsid w:val="001F10DD"/>
    <w:rsid w:val="00213BEA"/>
    <w:rsid w:val="00217FE6"/>
    <w:rsid w:val="002620D2"/>
    <w:rsid w:val="00274322"/>
    <w:rsid w:val="002849F3"/>
    <w:rsid w:val="002A6BD9"/>
    <w:rsid w:val="002B6331"/>
    <w:rsid w:val="00332AD1"/>
    <w:rsid w:val="00346C84"/>
    <w:rsid w:val="003655E6"/>
    <w:rsid w:val="00376869"/>
    <w:rsid w:val="003977EA"/>
    <w:rsid w:val="003A1D1F"/>
    <w:rsid w:val="003C2F4F"/>
    <w:rsid w:val="003D0059"/>
    <w:rsid w:val="003D4190"/>
    <w:rsid w:val="00412A94"/>
    <w:rsid w:val="00450A78"/>
    <w:rsid w:val="0046678F"/>
    <w:rsid w:val="00477F76"/>
    <w:rsid w:val="00490EA8"/>
    <w:rsid w:val="0049681B"/>
    <w:rsid w:val="004A6774"/>
    <w:rsid w:val="004C0475"/>
    <w:rsid w:val="004C51BF"/>
    <w:rsid w:val="004F26AC"/>
    <w:rsid w:val="00501D24"/>
    <w:rsid w:val="00504DA4"/>
    <w:rsid w:val="00510A3B"/>
    <w:rsid w:val="00511A1A"/>
    <w:rsid w:val="005442E0"/>
    <w:rsid w:val="00547D6D"/>
    <w:rsid w:val="0055423C"/>
    <w:rsid w:val="00582FDD"/>
    <w:rsid w:val="00590E19"/>
    <w:rsid w:val="005913ED"/>
    <w:rsid w:val="005C361A"/>
    <w:rsid w:val="005E6684"/>
    <w:rsid w:val="006A0858"/>
    <w:rsid w:val="006A748B"/>
    <w:rsid w:val="006E50EC"/>
    <w:rsid w:val="00743CBA"/>
    <w:rsid w:val="007714D5"/>
    <w:rsid w:val="007774C6"/>
    <w:rsid w:val="007864B2"/>
    <w:rsid w:val="00795CCD"/>
    <w:rsid w:val="007A2DBC"/>
    <w:rsid w:val="007E57C9"/>
    <w:rsid w:val="008113E6"/>
    <w:rsid w:val="00812F5E"/>
    <w:rsid w:val="00825FE1"/>
    <w:rsid w:val="0083241D"/>
    <w:rsid w:val="00835668"/>
    <w:rsid w:val="00850DE9"/>
    <w:rsid w:val="00864988"/>
    <w:rsid w:val="00865CA6"/>
    <w:rsid w:val="00866A32"/>
    <w:rsid w:val="00885400"/>
    <w:rsid w:val="00891804"/>
    <w:rsid w:val="008D34AB"/>
    <w:rsid w:val="008D4263"/>
    <w:rsid w:val="008D79EC"/>
    <w:rsid w:val="008F0E19"/>
    <w:rsid w:val="008F6E53"/>
    <w:rsid w:val="009009D4"/>
    <w:rsid w:val="00920057"/>
    <w:rsid w:val="00924310"/>
    <w:rsid w:val="00970965"/>
    <w:rsid w:val="00987301"/>
    <w:rsid w:val="009B5ACE"/>
    <w:rsid w:val="009E04C7"/>
    <w:rsid w:val="00A009BB"/>
    <w:rsid w:val="00A25A25"/>
    <w:rsid w:val="00A502E2"/>
    <w:rsid w:val="00A621A2"/>
    <w:rsid w:val="00A933E9"/>
    <w:rsid w:val="00AA7D8F"/>
    <w:rsid w:val="00AB1EDC"/>
    <w:rsid w:val="00AF0A03"/>
    <w:rsid w:val="00AF7F3D"/>
    <w:rsid w:val="00B10BD5"/>
    <w:rsid w:val="00B4564F"/>
    <w:rsid w:val="00B47C43"/>
    <w:rsid w:val="00BC2209"/>
    <w:rsid w:val="00BD6137"/>
    <w:rsid w:val="00BE7545"/>
    <w:rsid w:val="00BF3835"/>
    <w:rsid w:val="00BF53DE"/>
    <w:rsid w:val="00C0181D"/>
    <w:rsid w:val="00C11C4A"/>
    <w:rsid w:val="00C171A5"/>
    <w:rsid w:val="00C4654C"/>
    <w:rsid w:val="00C67C57"/>
    <w:rsid w:val="00C709C3"/>
    <w:rsid w:val="00C751BD"/>
    <w:rsid w:val="00C9283A"/>
    <w:rsid w:val="00CC227D"/>
    <w:rsid w:val="00CD4059"/>
    <w:rsid w:val="00CE1E84"/>
    <w:rsid w:val="00D00871"/>
    <w:rsid w:val="00D317DC"/>
    <w:rsid w:val="00D40775"/>
    <w:rsid w:val="00D65289"/>
    <w:rsid w:val="00D91DA4"/>
    <w:rsid w:val="00D95A77"/>
    <w:rsid w:val="00DE2366"/>
    <w:rsid w:val="00E05455"/>
    <w:rsid w:val="00E219C8"/>
    <w:rsid w:val="00E313A8"/>
    <w:rsid w:val="00EB0295"/>
    <w:rsid w:val="00EE1559"/>
    <w:rsid w:val="00F21C3E"/>
    <w:rsid w:val="00F257B6"/>
    <w:rsid w:val="00F5152A"/>
    <w:rsid w:val="00F9435A"/>
    <w:rsid w:val="00F959EA"/>
    <w:rsid w:val="00FA69B4"/>
    <w:rsid w:val="00FB0BA0"/>
    <w:rsid w:val="00FB2AA3"/>
    <w:rsid w:val="00FC277B"/>
    <w:rsid w:val="00FC78A2"/>
    <w:rsid w:val="00FE2424"/>
    <w:rsid w:val="00FE340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24310"/>
    <w:pPr>
      <w:spacing w:line="240" w:lineRule="atLeast"/>
    </w:pPr>
    <w:rPr>
      <w:rFonts w:ascii="Verdana" w:hAnsi="Verdana"/>
      <w:sz w:val="18"/>
      <w:szCs w:val="24"/>
    </w:rPr>
  </w:style>
  <w:style w:type="paragraph" w:styleId="Kop1">
    <w:name w:val="heading 1"/>
    <w:basedOn w:val="Standaard"/>
    <w:next w:val="Standaard"/>
    <w:qFormat/>
    <w:rsid w:val="00924310"/>
    <w:pPr>
      <w:keepNext/>
      <w:spacing w:before="240" w:after="60"/>
      <w:outlineLvl w:val="0"/>
    </w:pPr>
    <w:rPr>
      <w:rFonts w:cs="Arial"/>
      <w:b/>
      <w:bCs/>
      <w:kern w:val="32"/>
      <w:sz w:val="32"/>
      <w:szCs w:val="32"/>
    </w:rPr>
  </w:style>
  <w:style w:type="paragraph" w:styleId="Kop2">
    <w:name w:val="heading 2"/>
    <w:basedOn w:val="Standaard"/>
    <w:next w:val="Standaard"/>
    <w:qFormat/>
    <w:rsid w:val="00924310"/>
    <w:pPr>
      <w:keepNext/>
      <w:spacing w:before="240" w:after="60"/>
      <w:outlineLvl w:val="1"/>
    </w:pPr>
    <w:rPr>
      <w:rFonts w:cs="Arial"/>
      <w:b/>
      <w:bCs/>
      <w:i/>
      <w:iCs/>
      <w:sz w:val="28"/>
      <w:szCs w:val="28"/>
    </w:rPr>
  </w:style>
  <w:style w:type="paragraph" w:styleId="Kop3">
    <w:name w:val="heading 3"/>
    <w:basedOn w:val="Standaard"/>
    <w:next w:val="Standaard"/>
    <w:qFormat/>
    <w:rsid w:val="00924310"/>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Adres">
    <w:name w:val="Huisstijl-Adres"/>
    <w:basedOn w:val="Standaard"/>
    <w:rsid w:val="00924310"/>
    <w:pPr>
      <w:tabs>
        <w:tab w:val="left" w:pos="192"/>
      </w:tabs>
      <w:adjustRightInd w:val="0"/>
      <w:spacing w:after="90" w:line="180" w:lineRule="exact"/>
    </w:pPr>
    <w:rPr>
      <w:rFonts w:cs="Verdana"/>
      <w:noProof/>
      <w:sz w:val="13"/>
      <w:szCs w:val="13"/>
    </w:rPr>
  </w:style>
  <w:style w:type="paragraph" w:customStyle="1" w:styleId="Huisstijl-Gegeven">
    <w:name w:val="Huisstijl-Gegeven"/>
    <w:basedOn w:val="Standaard"/>
    <w:link w:val="Huisstijl-GegevenCharChar"/>
    <w:rsid w:val="00924310"/>
    <w:pPr>
      <w:spacing w:after="92" w:line="180" w:lineRule="exact"/>
    </w:pPr>
    <w:rPr>
      <w:noProof/>
      <w:sz w:val="13"/>
    </w:rPr>
  </w:style>
  <w:style w:type="character" w:customStyle="1" w:styleId="Huisstijl-GegevenCharChar">
    <w:name w:val="Huisstijl-Gegeven Char Char"/>
    <w:basedOn w:val="Standaardalinea-lettertype"/>
    <w:link w:val="Huisstijl-Gegeven"/>
    <w:rsid w:val="00924310"/>
    <w:rPr>
      <w:rFonts w:ascii="Verdana" w:hAnsi="Verdana"/>
      <w:noProof/>
      <w:sz w:val="13"/>
      <w:szCs w:val="24"/>
      <w:lang w:val="nl-NL" w:eastAsia="nl-NL" w:bidi="ar-SA"/>
    </w:rPr>
  </w:style>
  <w:style w:type="paragraph" w:customStyle="1" w:styleId="Huisstijl-KixCode">
    <w:name w:val="Huisstijl-KixCode"/>
    <w:basedOn w:val="Standaard"/>
    <w:rsid w:val="00924310"/>
    <w:pPr>
      <w:spacing w:before="60" w:line="240" w:lineRule="auto"/>
    </w:pPr>
    <w:rPr>
      <w:rFonts w:ascii="KIX Barcode" w:hAnsi="KIX Barcode"/>
      <w:b/>
      <w:bCs/>
      <w:smallCaps/>
      <w:noProof/>
      <w:sz w:val="24"/>
    </w:rPr>
  </w:style>
  <w:style w:type="paragraph" w:customStyle="1" w:styleId="Huisstijl-Kopje">
    <w:name w:val="Huisstijl-Kopje"/>
    <w:basedOn w:val="Huisstijl-Gegeven"/>
    <w:rsid w:val="00924310"/>
    <w:pPr>
      <w:spacing w:after="0"/>
    </w:pPr>
    <w:rPr>
      <w:b/>
    </w:rPr>
  </w:style>
  <w:style w:type="paragraph" w:customStyle="1" w:styleId="Huisstijl-NAW">
    <w:name w:val="Huisstijl-NAW"/>
    <w:basedOn w:val="Standaard"/>
    <w:rsid w:val="00924310"/>
    <w:pPr>
      <w:adjustRightInd w:val="0"/>
    </w:pPr>
    <w:rPr>
      <w:rFonts w:cs="Verdana"/>
      <w:noProof/>
      <w:szCs w:val="18"/>
    </w:rPr>
  </w:style>
  <w:style w:type="paragraph" w:customStyle="1" w:styleId="Huisstijl-Paginanummering">
    <w:name w:val="Huisstijl-Paginanummering"/>
    <w:basedOn w:val="Standaard"/>
    <w:rsid w:val="00924310"/>
    <w:pPr>
      <w:spacing w:line="180" w:lineRule="exact"/>
    </w:pPr>
    <w:rPr>
      <w:noProof/>
      <w:sz w:val="13"/>
    </w:rPr>
  </w:style>
  <w:style w:type="paragraph" w:customStyle="1" w:styleId="Huisstijl-Retouradres">
    <w:name w:val="Huisstijl-Retouradres"/>
    <w:basedOn w:val="Standaard"/>
    <w:rsid w:val="00924310"/>
    <w:pPr>
      <w:spacing w:line="180" w:lineRule="exact"/>
    </w:pPr>
    <w:rPr>
      <w:noProof/>
      <w:sz w:val="13"/>
    </w:rPr>
  </w:style>
  <w:style w:type="paragraph" w:customStyle="1" w:styleId="Huisstijl-Rubricering">
    <w:name w:val="Huisstijl-Rubricering"/>
    <w:basedOn w:val="Standaard"/>
    <w:rsid w:val="00924310"/>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924310"/>
    <w:pPr>
      <w:spacing w:line="180" w:lineRule="exact"/>
    </w:pPr>
    <w:rPr>
      <w:i/>
      <w:noProof/>
      <w:sz w:val="13"/>
    </w:rPr>
  </w:style>
  <w:style w:type="character" w:styleId="Hyperlink">
    <w:name w:val="Hyperlink"/>
    <w:basedOn w:val="Standaardalinea-lettertype"/>
    <w:rsid w:val="00924310"/>
    <w:rPr>
      <w:color w:val="0000FF"/>
      <w:u w:val="single"/>
    </w:rPr>
  </w:style>
  <w:style w:type="paragraph" w:styleId="Koptekst">
    <w:name w:val="header"/>
    <w:basedOn w:val="Standaard"/>
    <w:rsid w:val="00924310"/>
    <w:pPr>
      <w:tabs>
        <w:tab w:val="center" w:pos="4536"/>
        <w:tab w:val="right" w:pos="9072"/>
      </w:tabs>
    </w:pPr>
  </w:style>
  <w:style w:type="paragraph" w:styleId="Lijstopsomteken">
    <w:name w:val="List Bullet"/>
    <w:basedOn w:val="Standaard"/>
    <w:rsid w:val="00924310"/>
    <w:pPr>
      <w:numPr>
        <w:numId w:val="2"/>
      </w:numPr>
    </w:pPr>
    <w:rPr>
      <w:noProof/>
    </w:rPr>
  </w:style>
  <w:style w:type="paragraph" w:styleId="Lijstopsomteken2">
    <w:name w:val="List Bullet 2"/>
    <w:basedOn w:val="Standaard"/>
    <w:rsid w:val="00924310"/>
    <w:pPr>
      <w:numPr>
        <w:numId w:val="4"/>
      </w:numPr>
      <w:tabs>
        <w:tab w:val="left" w:pos="454"/>
      </w:tabs>
    </w:pPr>
    <w:rPr>
      <w:noProof/>
    </w:rPr>
  </w:style>
  <w:style w:type="table" w:styleId="Tabelraster">
    <w:name w:val="Table Grid"/>
    <w:basedOn w:val="Standaardtabel"/>
    <w:rsid w:val="00924310"/>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24310"/>
    <w:pPr>
      <w:tabs>
        <w:tab w:val="center" w:pos="4536"/>
        <w:tab w:val="right" w:pos="9072"/>
      </w:tabs>
    </w:pPr>
  </w:style>
  <w:style w:type="paragraph" w:customStyle="1" w:styleId="Huisttsijl-AdresHC">
    <w:name w:val="Huisttsijl - Adres HC"/>
    <w:basedOn w:val="Huisstijl-Adres"/>
    <w:rsid w:val="00CC227D"/>
    <w:pPr>
      <w:spacing w:after="0"/>
    </w:pPr>
  </w:style>
  <w:style w:type="paragraph" w:styleId="Voetnoottekst">
    <w:name w:val="footnote text"/>
    <w:basedOn w:val="Standaard"/>
    <w:link w:val="VoetnoottekstChar"/>
    <w:uiPriority w:val="99"/>
    <w:rsid w:val="007E57C9"/>
    <w:pPr>
      <w:spacing w:line="180" w:lineRule="atLeast"/>
    </w:pPr>
    <w:rPr>
      <w:sz w:val="13"/>
      <w:szCs w:val="20"/>
    </w:rPr>
  </w:style>
  <w:style w:type="paragraph" w:styleId="Ballontekst">
    <w:name w:val="Balloon Text"/>
    <w:basedOn w:val="Standaard"/>
    <w:link w:val="BallontekstChar"/>
    <w:uiPriority w:val="99"/>
    <w:semiHidden/>
    <w:unhideWhenUsed/>
    <w:rsid w:val="00A621A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621A2"/>
    <w:rPr>
      <w:rFonts w:ascii="Tahoma" w:hAnsi="Tahoma" w:cs="Tahoma"/>
      <w:sz w:val="16"/>
      <w:szCs w:val="16"/>
    </w:rPr>
  </w:style>
  <w:style w:type="character" w:customStyle="1" w:styleId="VoetnoottekstChar">
    <w:name w:val="Voetnoottekst Char"/>
    <w:basedOn w:val="Standaardalinea-lettertype"/>
    <w:link w:val="Voetnoottekst"/>
    <w:uiPriority w:val="99"/>
    <w:rsid w:val="003655E6"/>
    <w:rPr>
      <w:rFonts w:ascii="Verdana" w:hAnsi="Verdana"/>
      <w:sz w:val="13"/>
    </w:rPr>
  </w:style>
  <w:style w:type="character" w:styleId="Voetnootmarkering">
    <w:name w:val="footnote reference"/>
    <w:basedOn w:val="Standaardalinea-lettertype"/>
    <w:uiPriority w:val="99"/>
    <w:semiHidden/>
    <w:unhideWhenUsed/>
    <w:rsid w:val="003655E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696</ap:Words>
  <ap:Characters>3828</ap:Characters>
  <ap:DocSecurity>0</ap:DocSecurity>
  <ap:Lines>31</ap:Lines>
  <ap:Paragraphs>9</ap:Paragraphs>
  <ap:ScaleCrop>false</ap:ScaleCrop>
  <ap:LinksUpToDate>false</ap:LinksUpToDate>
  <ap:CharactersWithSpaces>4515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2014-10-07T10:44:00.0000000Z</dcterms:created>
  <dcterms:modified xsi:type="dcterms:W3CDTF">2014-10-07T10:44:00.0000000Z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0x010100A4D1366F71582C47BD0E646DF9AED2B7</vt:lpwstr>
  </property>
</Properties>
</file>