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62" w:rsidP="004B5D87" w:rsidRDefault="009E4062">
      <w:pPr>
        <w:rPr>
          <w:rFonts w:ascii="Tahoma" w:hAnsi="Tahoma" w:eastAsia="Times New Roman" w:cs="Tahoma"/>
          <w:b/>
          <w:bCs/>
          <w:sz w:val="20"/>
          <w:szCs w:val="20"/>
          <w:lang w:eastAsia="nl-NL"/>
        </w:rPr>
      </w:pPr>
      <w:bookmarkStart w:name="_GoBack" w:id="0"/>
      <w:bookmarkEnd w:id="0"/>
      <w:r w:rsidRPr="009E4062">
        <w:rPr>
          <w:rFonts w:ascii="Tahoma" w:hAnsi="Tahoma" w:eastAsia="Times New Roman" w:cs="Tahoma"/>
          <w:b/>
          <w:bCs/>
          <w:sz w:val="20"/>
          <w:szCs w:val="20"/>
          <w:lang w:eastAsia="nl-NL"/>
        </w:rPr>
        <w:t xml:space="preserve">2014Z16736  </w:t>
      </w:r>
    </w:p>
    <w:p w:rsidR="009E4062" w:rsidP="004B5D87" w:rsidRDefault="009E4062">
      <w:pPr>
        <w:rPr>
          <w:rFonts w:ascii="Tahoma" w:hAnsi="Tahoma" w:eastAsia="Times New Roman" w:cs="Tahoma"/>
          <w:b/>
          <w:bCs/>
          <w:sz w:val="20"/>
          <w:szCs w:val="20"/>
          <w:lang w:eastAsia="nl-NL"/>
        </w:rPr>
      </w:pPr>
    </w:p>
    <w:p w:rsidR="004B5D87" w:rsidP="004B5D87" w:rsidRDefault="004B5D8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Dis van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24 september 2014 21:18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Financien</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Inventarisatie onderzoeksvoorstellen Toekomst- en </w:t>
      </w:r>
      <w:proofErr w:type="spellStart"/>
      <w:r>
        <w:rPr>
          <w:rFonts w:ascii="Tahoma" w:hAnsi="Tahoma" w:eastAsia="Times New Roman" w:cs="Tahoma"/>
          <w:sz w:val="20"/>
          <w:szCs w:val="20"/>
          <w:lang w:eastAsia="nl-NL"/>
        </w:rPr>
        <w:t>onderzoeksagenda</w:t>
      </w:r>
      <w:proofErr w:type="spellEnd"/>
      <w:r>
        <w:rPr>
          <w:rFonts w:ascii="Tahoma" w:hAnsi="Tahoma" w:eastAsia="Times New Roman" w:cs="Tahoma"/>
          <w:sz w:val="20"/>
          <w:szCs w:val="20"/>
          <w:lang w:eastAsia="nl-NL"/>
        </w:rPr>
        <w:t xml:space="preserve"> 2015</w:t>
      </w:r>
    </w:p>
    <w:p w:rsidR="004B5D87" w:rsidP="004B5D87" w:rsidRDefault="004B5D87"/>
    <w:p w:rsidR="004B5D87" w:rsidP="004B5D87" w:rsidRDefault="004B5D87">
      <w:pPr>
        <w:rPr>
          <w:color w:val="1F497D"/>
        </w:rPr>
      </w:pPr>
      <w:r>
        <w:rPr>
          <w:color w:val="1F497D"/>
        </w:rPr>
        <w:t>Geachte griffie,</w:t>
      </w:r>
    </w:p>
    <w:p w:rsidR="004B5D87" w:rsidP="004B5D87" w:rsidRDefault="004B5D87">
      <w:pPr>
        <w:rPr>
          <w:color w:val="1F497D"/>
        </w:rPr>
      </w:pPr>
    </w:p>
    <w:p w:rsidR="004B5D87" w:rsidP="004B5D87" w:rsidRDefault="004B5D87">
      <w:pPr>
        <w:rPr>
          <w:color w:val="1F497D"/>
        </w:rPr>
      </w:pPr>
      <w:r>
        <w:rPr>
          <w:color w:val="1F497D"/>
        </w:rPr>
        <w:t>Hierbij de voorstellen van de Leden Van Hijum en Omtzigt</w:t>
      </w:r>
    </w:p>
    <w:p w:rsidR="004B5D87" w:rsidP="004B5D87" w:rsidRDefault="004B5D87">
      <w:pPr>
        <w:rPr>
          <w:color w:val="1F497D"/>
        </w:rPr>
      </w:pPr>
    </w:p>
    <w:p w:rsidR="004B5D87" w:rsidP="004B5D87" w:rsidRDefault="004B5D87">
      <w:r>
        <w:t>1. Nederlandse belastingen en de gevolgen van grenseffecten</w:t>
      </w:r>
    </w:p>
    <w:p w:rsidR="004B5D87" w:rsidP="004B5D87" w:rsidRDefault="004B5D87">
      <w:r>
        <w:t>Het CDA zou graag een onderzoek laten uitvoeren naar de gevolgen van grenseffecten op Nederlandse belastingmaatregelen. De afgelopen tijd is er veel debat gevoerd over bijvoorbeeld de accijnsverhogingen op diesel en lpg en wat dit doet met ondernemers in de grensstreek en de geraamde belastingopbrengsten. Zeker nu de regering met een plan voor een nieuw belastingstelsel komt, lijkt het verstandig om nog eens goed te kijken naar dit verschijnsel. Want wat voor accijnzen wellicht geldt, geldt ook voor bijvoorbeeld andere milieubelastingen, BTW en inkomstenbelasting/vermogensbelasting (denk aan Nederlanders die in België gaan wonen om de lagere belastingen). Onderzoeksvraag moet dan iets zijn in de richting van ‘hoe kan de Nederlandse overheid het slimst omgaan met grenseffecten en hoe kan worden voorkomen dat belastingmaatregelen een verlies/</w:t>
      </w:r>
      <w:proofErr w:type="spellStart"/>
      <w:r>
        <w:t>verlies-situatie</w:t>
      </w:r>
      <w:proofErr w:type="spellEnd"/>
      <w:r>
        <w:t xml:space="preserve"> opleveren?</w:t>
      </w:r>
    </w:p>
    <w:p w:rsidR="004B5D87" w:rsidP="004B5D87" w:rsidRDefault="004B5D87"/>
    <w:p w:rsidR="004B5D87" w:rsidP="004B5D87" w:rsidRDefault="004B5D87">
      <w:r>
        <w:t>2. Oldtimerregeling</w:t>
      </w:r>
    </w:p>
    <w:p w:rsidR="004B5D87" w:rsidP="004B5D87" w:rsidRDefault="004B5D87">
      <w:r>
        <w:t xml:space="preserve">In het verlengde van het vorige onderzoeksvoorstel, staat een onderzoek naar </w:t>
      </w:r>
      <w:proofErr w:type="spellStart"/>
      <w:r>
        <w:t>milieubelastingsmaatregelen</w:t>
      </w:r>
      <w:proofErr w:type="spellEnd"/>
      <w:r>
        <w:t xml:space="preserve"> als het afschaffen/versoberen van de oldtimerregeling. De oldtimerregeling is afgeschaft met als motivatie 2 redenen: misbruik van de regeling tegengaan en zo 1) het milieu te verbeteren en 2) meer opbrengsten voor de schatkist te vergaren. In de praktijk blijkt dat veel oldtimers worden verkocht aan het buitenland, worden </w:t>
      </w:r>
      <w:proofErr w:type="spellStart"/>
      <w:r>
        <w:t>geschortst</w:t>
      </w:r>
      <w:proofErr w:type="spellEnd"/>
      <w:r>
        <w:t xml:space="preserve"> voor MRB en/of worden omgebouwd van LPG naar benzineversies (goedkoper in de MRB). Daarmee wordt de geraamde opbrengst niet gehaald. De milieudoelstellingen zullen wel gehaald worden, omdat er minder onzuinige oldtimers in Nederland op kenteken staan en actief worden gebruikt. Maar omdat de budgettaire opbrengst beperkt is, kan worden gesteld dat de maatregel niet heeft gewerkt. In het onderzoeksvoorstel zou een vraag kunnen staan als ‘hoe kan Nederland optimaal omgaan met milieubelastingen zodat wanneer de belasting werkt (namelijk: minder gebruik van consumptiegoederen of schaarse grondstoffen), dit een beperkt effect heeft op de belastinginkomsten? </w:t>
      </w:r>
    </w:p>
    <w:p w:rsidR="004B5D87" w:rsidP="004B5D87" w:rsidRDefault="004B5D87"/>
    <w:p w:rsidR="004B5D87" w:rsidP="004B5D87" w:rsidRDefault="004B5D87">
      <w:r>
        <w:t>3. Kredietverlening MKB/bijzonder beheer</w:t>
      </w:r>
    </w:p>
    <w:p w:rsidR="004B5D87" w:rsidP="004B5D87" w:rsidRDefault="004B5D87">
      <w:pPr>
        <w:rPr>
          <w:color w:val="1F497D"/>
          <w:lang w:eastAsia="nl-NL"/>
        </w:rPr>
      </w:pPr>
      <w:r>
        <w:t>De combinatie van strengere eisen bij de kredietafdelingen van banken in combinatie met verslechterde economische omstandigheden, zorgt ervoor dat het MKB in Nederland het zwaar heeft. Men komt nauwelijks meer aan krediet, en daar waar nog een krediet loopt vindt er vaak een strenge controle door zogeheten afdelingen ‘Bijzonder beheer’ plaats bij banken. Het onderzoek van de commissie zou zich er op kunnen richten of de gesignaleerde problemen inderdaad aanwezig zijn en welke oplossingen er vanuit politiek Den Haag mogelijk zijn.</w:t>
      </w:r>
    </w:p>
    <w:p w:rsidR="004B5D87" w:rsidP="004B5D87" w:rsidRDefault="004B5D87">
      <w:pPr>
        <w:rPr>
          <w:color w:val="1F497D"/>
          <w:lang w:eastAsia="nl-NL"/>
        </w:rPr>
      </w:pPr>
    </w:p>
    <w:p w:rsidR="004B5D87" w:rsidP="004B5D87" w:rsidRDefault="004B5D87">
      <w:pPr>
        <w:rPr>
          <w:color w:val="1F497D"/>
          <w:lang w:eastAsia="nl-NL"/>
        </w:rPr>
      </w:pPr>
      <w:r>
        <w:rPr>
          <w:color w:val="1F497D"/>
          <w:lang w:eastAsia="nl-NL"/>
        </w:rPr>
        <w:t>Met vriendelijke groet,</w:t>
      </w:r>
    </w:p>
    <w:p w:rsidR="004B5D87" w:rsidP="004B5D87" w:rsidRDefault="004B5D87">
      <w:pPr>
        <w:rPr>
          <w:color w:val="1F497D"/>
          <w:lang w:eastAsia="nl-NL"/>
        </w:rPr>
      </w:pPr>
    </w:p>
    <w:p w:rsidRPr="004B5D87" w:rsidR="00AF799C" w:rsidRDefault="004B5D87">
      <w:pPr>
        <w:rPr>
          <w:color w:val="1F497D"/>
          <w:lang w:eastAsia="nl-NL"/>
        </w:rPr>
      </w:pPr>
      <w:r>
        <w:rPr>
          <w:color w:val="1F497D"/>
          <w:lang w:eastAsia="nl-NL"/>
        </w:rPr>
        <w:t>David van Dis</w:t>
      </w:r>
      <w:r>
        <w:rPr>
          <w:color w:val="1F497D"/>
          <w:lang w:eastAsia="nl-NL"/>
        </w:rPr>
        <w:br/>
      </w:r>
      <w:r w:rsidRPr="004B5D87">
        <w:rPr>
          <w:rFonts w:ascii="Arial" w:hAnsi="Arial" w:cs="Arial"/>
          <w:i/>
          <w:iCs/>
          <w:color w:val="1F497D"/>
          <w:sz w:val="20"/>
          <w:szCs w:val="20"/>
          <w:lang w:eastAsia="nl-NL"/>
        </w:rPr>
        <w:t>Beleidsmedewerker Financiën</w:t>
      </w:r>
      <w:r>
        <w:rPr>
          <w:color w:val="1F497D"/>
          <w:lang w:eastAsia="nl-NL"/>
        </w:rPr>
        <w:br/>
      </w:r>
      <w:r w:rsidRPr="004B5D87">
        <w:rPr>
          <w:rFonts w:ascii="Arial" w:hAnsi="Arial" w:cs="Arial"/>
          <w:i/>
          <w:iCs/>
          <w:color w:val="1F497D"/>
          <w:sz w:val="20"/>
          <w:szCs w:val="20"/>
          <w:lang w:eastAsia="nl-NL"/>
        </w:rPr>
        <w:t>CDA-fractie Tweede Kamer der Staten-Generaal</w:t>
      </w:r>
      <w:r>
        <w:rPr>
          <w:color w:val="1F497D"/>
          <w:lang w:eastAsia="nl-NL"/>
        </w:rPr>
        <w:t xml:space="preserve"> </w:t>
      </w:r>
      <w:r>
        <w:rPr>
          <w:color w:val="1F497D"/>
          <w:lang w:eastAsia="nl-NL"/>
        </w:rPr>
        <w:br/>
      </w:r>
      <w:r w:rsidRPr="004B5D87">
        <w:rPr>
          <w:rFonts w:ascii="Arial" w:hAnsi="Arial" w:cs="Arial"/>
          <w:i/>
          <w:iCs/>
          <w:color w:val="1F497D"/>
          <w:sz w:val="20"/>
          <w:szCs w:val="20"/>
          <w:lang w:eastAsia="nl-NL"/>
        </w:rPr>
        <w:t>Plein 2,</w:t>
      </w:r>
      <w:r w:rsidRPr="004B5D87">
        <w:rPr>
          <w:i/>
          <w:iCs/>
          <w:color w:val="1F497D"/>
          <w:lang w:eastAsia="nl-NL"/>
        </w:rPr>
        <w:t xml:space="preserve"> </w:t>
      </w:r>
      <w:r>
        <w:rPr>
          <w:rFonts w:ascii="Arial" w:hAnsi="Arial" w:cs="Arial"/>
          <w:i/>
          <w:iCs/>
          <w:color w:val="1F497D"/>
          <w:sz w:val="20"/>
          <w:szCs w:val="20"/>
          <w:lang w:eastAsia="nl-NL"/>
        </w:rPr>
        <w:t>2511 CR 's-Gravenhage</w:t>
      </w:r>
      <w:r>
        <w:rPr>
          <w:color w:val="1F497D"/>
          <w:lang w:eastAsia="nl-NL"/>
        </w:rPr>
        <w:t xml:space="preserve"> </w:t>
      </w:r>
    </w:p>
    <w:sectPr w:rsidRPr="004B5D87"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87"/>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B5D87"/>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9E4062"/>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5D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B5D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5D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B5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5932">
      <w:bodyDiv w:val="1"/>
      <w:marLeft w:val="0"/>
      <w:marRight w:val="0"/>
      <w:marTop w:val="0"/>
      <w:marBottom w:val="0"/>
      <w:divBdr>
        <w:top w:val="none" w:sz="0" w:space="0" w:color="auto"/>
        <w:left w:val="none" w:sz="0" w:space="0" w:color="auto"/>
        <w:bottom w:val="none" w:sz="0" w:space="0" w:color="auto"/>
        <w:right w:val="none" w:sz="0" w:space="0" w:color="auto"/>
      </w:divBdr>
      <w:divsChild>
        <w:div w:id="1977491481">
          <w:marLeft w:val="0"/>
          <w:marRight w:val="0"/>
          <w:marTop w:val="0"/>
          <w:marBottom w:val="0"/>
          <w:divBdr>
            <w:top w:val="none" w:sz="0" w:space="0" w:color="auto"/>
            <w:left w:val="none" w:sz="0" w:space="0" w:color="auto"/>
            <w:bottom w:val="none" w:sz="0" w:space="0" w:color="auto"/>
            <w:right w:val="none" w:sz="0" w:space="0" w:color="auto"/>
          </w:divBdr>
          <w:divsChild>
            <w:div w:id="526724249">
              <w:marLeft w:val="0"/>
              <w:marRight w:val="0"/>
              <w:marTop w:val="0"/>
              <w:marBottom w:val="0"/>
              <w:divBdr>
                <w:top w:val="single" w:sz="6" w:space="0" w:color="706F90"/>
                <w:left w:val="single" w:sz="6" w:space="0" w:color="706F90"/>
                <w:bottom w:val="single" w:sz="6" w:space="0" w:color="706F90"/>
                <w:right w:val="single" w:sz="6" w:space="0" w:color="706F90"/>
              </w:divBdr>
              <w:divsChild>
                <w:div w:id="39404596">
                  <w:marLeft w:val="0"/>
                  <w:marRight w:val="0"/>
                  <w:marTop w:val="0"/>
                  <w:marBottom w:val="0"/>
                  <w:divBdr>
                    <w:top w:val="none" w:sz="0" w:space="0" w:color="auto"/>
                    <w:left w:val="none" w:sz="0" w:space="0" w:color="auto"/>
                    <w:bottom w:val="none" w:sz="0" w:space="0" w:color="auto"/>
                    <w:right w:val="none" w:sz="0" w:space="0" w:color="auto"/>
                  </w:divBdr>
                  <w:divsChild>
                    <w:div w:id="7599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427</ap:Words>
  <ap:Characters>2624</ap:Characters>
  <ap:DocSecurity>0</ap:DocSecurity>
  <ap:Lines>21</ap:Lines>
  <ap:Paragraphs>6</ap:Paragraphs>
  <ap:ScaleCrop>false</ap:ScaleCrop>
  <ap:LinksUpToDate>false</ap:LinksUpToDate>
  <ap:CharactersWithSpaces>3045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2014-09-29T07:17:00.0000000Z</dcterms:created>
  <dcterms:modified xsi:type="dcterms:W3CDTF">2014-09-29T07:21:00.0000000Z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