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84435" w:rsidR="008631B1" w:rsidP="008631B1" w:rsidRDefault="008631B1">
      <w:pPr>
        <w:jc w:val="center"/>
        <w:rPr>
          <w:b/>
          <w:lang w:val="nl-NL"/>
        </w:rPr>
      </w:pPr>
      <w:r>
        <w:rPr>
          <w:b/>
          <w:lang w:val="nl-NL"/>
        </w:rPr>
        <w:t>Samenvatting scorecard</w:t>
      </w:r>
      <w:r w:rsidRPr="005B4A0A">
        <w:rPr>
          <w:b/>
          <w:lang w:val="nl-NL"/>
        </w:rPr>
        <w:t xml:space="preserve"> IFAD</w:t>
      </w:r>
      <w:r>
        <w:rPr>
          <w:b/>
          <w:lang w:val="nl-NL"/>
        </w:rPr>
        <w:t xml:space="preserve"> 2013</w:t>
      </w:r>
    </w:p>
    <w:p w:rsidRPr="00693143" w:rsidR="008631B1" w:rsidP="008631B1" w:rsidRDefault="008631B1">
      <w:pPr>
        <w:pStyle w:val="Lijstalinea"/>
        <w:numPr>
          <w:ilvl w:val="0"/>
          <w:numId w:val="1"/>
        </w:numPr>
        <w:spacing w:after="120"/>
        <w:rPr>
          <w:b/>
          <w:lang w:val="nl-NL"/>
        </w:rPr>
      </w:pPr>
      <w:r w:rsidRPr="00DC4353">
        <w:rPr>
          <w:b/>
          <w:lang w:val="nl-NL"/>
        </w:rPr>
        <w:t>Mandaat</w:t>
      </w:r>
    </w:p>
    <w:p w:rsidR="008631B1" w:rsidP="008631B1" w:rsidRDefault="008631B1">
      <w:pPr>
        <w:spacing w:after="0"/>
        <w:ind w:left="360"/>
        <w:rPr>
          <w:lang w:val="nl-NL"/>
        </w:rPr>
      </w:pPr>
      <w:proofErr w:type="spellStart"/>
      <w:r w:rsidRPr="005B4A0A">
        <w:rPr>
          <w:lang w:val="nl-NL"/>
        </w:rPr>
        <w:t>IFAD’s</w:t>
      </w:r>
      <w:proofErr w:type="spellEnd"/>
      <w:r w:rsidRPr="005B4A0A">
        <w:rPr>
          <w:lang w:val="nl-NL"/>
        </w:rPr>
        <w:t xml:space="preserve"> mandaat is gericht op het verhogen van de voedselproductiviteit van kleine boeren in </w:t>
      </w:r>
      <w:bookmarkStart w:name="_GoBack" w:id="0"/>
      <w:bookmarkEnd w:id="0"/>
      <w:r w:rsidRPr="005B4A0A">
        <w:rPr>
          <w:lang w:val="nl-NL"/>
        </w:rPr>
        <w:t xml:space="preserve">plattelandsgebieden </w:t>
      </w:r>
      <w:r>
        <w:rPr>
          <w:lang w:val="nl-NL"/>
        </w:rPr>
        <w:t xml:space="preserve">ten behoeve van een </w:t>
      </w:r>
      <w:r w:rsidRPr="005B4A0A">
        <w:rPr>
          <w:lang w:val="nl-NL"/>
        </w:rPr>
        <w:t>verbeterde voedselzekerheid.</w:t>
      </w:r>
    </w:p>
    <w:p w:rsidRPr="005B4A0A" w:rsidR="008631B1" w:rsidP="008631B1" w:rsidRDefault="008631B1">
      <w:pPr>
        <w:tabs>
          <w:tab w:val="left" w:pos="4035"/>
        </w:tabs>
        <w:spacing w:after="0"/>
        <w:ind w:left="360"/>
        <w:rPr>
          <w:b/>
          <w:lang w:val="nl-NL"/>
        </w:rPr>
      </w:pPr>
      <w:r>
        <w:rPr>
          <w:b/>
          <w:lang w:val="nl-NL"/>
        </w:rPr>
        <w:tab/>
      </w:r>
    </w:p>
    <w:p w:rsidRPr="00693143" w:rsidR="008631B1" w:rsidP="008631B1" w:rsidRDefault="008631B1">
      <w:pPr>
        <w:pStyle w:val="Lijstalinea"/>
        <w:numPr>
          <w:ilvl w:val="0"/>
          <w:numId w:val="1"/>
        </w:numPr>
        <w:spacing w:after="120"/>
        <w:rPr>
          <w:b/>
          <w:lang w:val="nl-NL"/>
        </w:rPr>
      </w:pPr>
      <w:r w:rsidRPr="00AA2E7D">
        <w:rPr>
          <w:b/>
          <w:lang w:val="nl-NL"/>
        </w:rPr>
        <w:t>Financiële</w:t>
      </w:r>
      <w:r>
        <w:rPr>
          <w:b/>
          <w:lang w:val="nl-NL"/>
        </w:rPr>
        <w:t xml:space="preserve"> omvang en bijdragen</w:t>
      </w:r>
    </w:p>
    <w:p w:rsidR="008631B1" w:rsidP="008631B1" w:rsidRDefault="008631B1">
      <w:pPr>
        <w:spacing w:after="0"/>
        <w:ind w:left="360"/>
        <w:rPr>
          <w:lang w:val="nl-NL"/>
        </w:rPr>
      </w:pPr>
      <w:r w:rsidRPr="005B4A0A">
        <w:rPr>
          <w:lang w:val="nl-NL"/>
        </w:rPr>
        <w:t xml:space="preserve">IFAD </w:t>
      </w:r>
      <w:r>
        <w:rPr>
          <w:lang w:val="nl-NL"/>
        </w:rPr>
        <w:t xml:space="preserve">keurde in 2012 voor een recordbedrag van </w:t>
      </w:r>
      <w:r w:rsidRPr="005B4A0A">
        <w:rPr>
          <w:lang w:val="nl-NL"/>
        </w:rPr>
        <w:t xml:space="preserve">USD </w:t>
      </w:r>
      <w:r>
        <w:rPr>
          <w:lang w:val="nl-NL"/>
        </w:rPr>
        <w:t>1,04 miljard</w:t>
      </w:r>
      <w:r w:rsidRPr="005B4A0A">
        <w:rPr>
          <w:lang w:val="nl-NL"/>
        </w:rPr>
        <w:t xml:space="preserve"> aan leningen goed. De </w:t>
      </w:r>
      <w:r>
        <w:rPr>
          <w:lang w:val="nl-NL"/>
        </w:rPr>
        <w:t>Negende Middelenaanvulling (2013-2015</w:t>
      </w:r>
      <w:r w:rsidRPr="005B4A0A">
        <w:rPr>
          <w:lang w:val="nl-NL"/>
        </w:rPr>
        <w:t>) betreft een werkprogramma van USD 3</w:t>
      </w:r>
      <w:r>
        <w:rPr>
          <w:lang w:val="nl-NL"/>
        </w:rPr>
        <w:t>,1</w:t>
      </w:r>
      <w:r w:rsidRPr="005B4A0A">
        <w:rPr>
          <w:lang w:val="nl-NL"/>
        </w:rPr>
        <w:t xml:space="preserve"> m</w:t>
      </w:r>
      <w:r w:rsidR="00AF22F9">
        <w:rPr>
          <w:lang w:val="nl-NL"/>
        </w:rPr>
        <w:t>iljard</w:t>
      </w:r>
      <w:r>
        <w:rPr>
          <w:lang w:val="nl-NL"/>
        </w:rPr>
        <w:t xml:space="preserve"> waarvan USD 1,5</w:t>
      </w:r>
      <w:r w:rsidRPr="005B4A0A">
        <w:rPr>
          <w:lang w:val="nl-NL"/>
        </w:rPr>
        <w:t xml:space="preserve"> miljard wordt ingelegd door donoren. Nederland is </w:t>
      </w:r>
      <w:r>
        <w:rPr>
          <w:lang w:val="nl-NL"/>
        </w:rPr>
        <w:t xml:space="preserve">na het VK (USD 322 miljoen) de grootste donor als zowel de </w:t>
      </w:r>
      <w:r w:rsidR="00AF22F9">
        <w:rPr>
          <w:lang w:val="nl-NL"/>
        </w:rPr>
        <w:t xml:space="preserve">Nederlandse </w:t>
      </w:r>
      <w:proofErr w:type="spellStart"/>
      <w:r w:rsidR="00AF22F9">
        <w:rPr>
          <w:lang w:val="nl-NL"/>
        </w:rPr>
        <w:t>core</w:t>
      </w:r>
      <w:proofErr w:type="spellEnd"/>
      <w:r w:rsidR="00AF22F9">
        <w:rPr>
          <w:lang w:val="nl-NL"/>
        </w:rPr>
        <w:t>-bijdrage</w:t>
      </w:r>
      <w:r>
        <w:rPr>
          <w:lang w:val="nl-NL"/>
        </w:rPr>
        <w:t xml:space="preserve"> als de bijdragen aan het </w:t>
      </w:r>
      <w:r w:rsidRPr="00AF22F9">
        <w:rPr>
          <w:i/>
          <w:lang w:val="nl-NL"/>
        </w:rPr>
        <w:t xml:space="preserve">Agricultural </w:t>
      </w:r>
      <w:proofErr w:type="spellStart"/>
      <w:r w:rsidRPr="00AF22F9">
        <w:rPr>
          <w:i/>
          <w:lang w:val="nl-NL"/>
        </w:rPr>
        <w:t>Smallholder</w:t>
      </w:r>
      <w:proofErr w:type="spellEnd"/>
      <w:r w:rsidRPr="00AF22F9">
        <w:rPr>
          <w:i/>
          <w:lang w:val="nl-NL"/>
        </w:rPr>
        <w:t xml:space="preserve"> Adaptation </w:t>
      </w:r>
      <w:proofErr w:type="spellStart"/>
      <w:r w:rsidRPr="00AF22F9">
        <w:rPr>
          <w:i/>
          <w:lang w:val="nl-NL"/>
        </w:rPr>
        <w:t>Programm</w:t>
      </w:r>
      <w:r w:rsidR="00AF22F9">
        <w:rPr>
          <w:i/>
          <w:lang w:val="nl-NL"/>
        </w:rPr>
        <w:t>e</w:t>
      </w:r>
      <w:proofErr w:type="spellEnd"/>
      <w:r>
        <w:rPr>
          <w:lang w:val="nl-NL"/>
        </w:rPr>
        <w:t xml:space="preserve"> (ASAP) worden meegerekend (</w:t>
      </w:r>
      <w:r w:rsidR="00AF22F9">
        <w:rPr>
          <w:lang w:val="nl-NL"/>
        </w:rPr>
        <w:t xml:space="preserve">resp. USD 75 en </w:t>
      </w:r>
      <w:r>
        <w:rPr>
          <w:lang w:val="nl-NL"/>
        </w:rPr>
        <w:t xml:space="preserve">USD </w:t>
      </w:r>
      <w:r w:rsidR="00AF22F9">
        <w:rPr>
          <w:lang w:val="nl-NL"/>
        </w:rPr>
        <w:t>57</w:t>
      </w:r>
      <w:r>
        <w:rPr>
          <w:lang w:val="nl-NL"/>
        </w:rPr>
        <w:t xml:space="preserve"> miljoen). </w:t>
      </w:r>
    </w:p>
    <w:p w:rsidRPr="005B4A0A" w:rsidR="008631B1" w:rsidP="008631B1" w:rsidRDefault="008631B1">
      <w:pPr>
        <w:spacing w:after="0"/>
        <w:ind w:left="360"/>
        <w:rPr>
          <w:b/>
          <w:lang w:val="nl-NL"/>
        </w:rPr>
      </w:pPr>
    </w:p>
    <w:tbl>
      <w:tblPr>
        <w:tblW w:w="0" w:type="auto"/>
        <w:tblInd w:w="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37"/>
        <w:gridCol w:w="3686"/>
      </w:tblGrid>
      <w:tr w:rsidRPr="002D7B14" w:rsidR="008631B1" w:rsidTr="008F26C2">
        <w:trPr>
          <w:trHeight w:val="227" w:hRule="exact"/>
        </w:trPr>
        <w:tc>
          <w:tcPr>
            <w:tcW w:w="2637" w:type="dxa"/>
            <w:shd w:val="clear" w:color="auto" w:fill="auto"/>
          </w:tcPr>
          <w:p w:rsidRPr="003A6BFD" w:rsidR="008631B1" w:rsidP="00896E60" w:rsidRDefault="008631B1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Pr="002D7B14" w:rsidR="008631B1" w:rsidP="00896E60" w:rsidRDefault="008631B1">
            <w:r>
              <w:t>9</w:t>
            </w:r>
            <w:r w:rsidRPr="00435572">
              <w:rPr>
                <w:vertAlign w:val="superscript"/>
              </w:rPr>
              <w:t>e</w:t>
            </w:r>
            <w:r w:rsidRPr="002D7B14">
              <w:t xml:space="preserve"> </w:t>
            </w:r>
            <w:proofErr w:type="spellStart"/>
            <w:r w:rsidRPr="002D7B14">
              <w:t>Middelenaanvulling</w:t>
            </w:r>
            <w:proofErr w:type="spellEnd"/>
            <w:r>
              <w:t xml:space="preserve"> (2013-2015) (201111111222222220122012</w:t>
            </w:r>
            <w:r w:rsidRPr="002D7B14">
              <w:t>2012)</w:t>
            </w:r>
          </w:p>
        </w:tc>
      </w:tr>
      <w:tr w:rsidRPr="002D7B14" w:rsidR="008631B1" w:rsidTr="008F26C2">
        <w:trPr>
          <w:trHeight w:val="227" w:hRule="exact"/>
        </w:trPr>
        <w:tc>
          <w:tcPr>
            <w:tcW w:w="2637" w:type="dxa"/>
            <w:shd w:val="clear" w:color="auto" w:fill="auto"/>
          </w:tcPr>
          <w:p w:rsidRPr="002D7B14" w:rsidR="008631B1" w:rsidP="00896E60" w:rsidRDefault="008631B1">
            <w:proofErr w:type="spellStart"/>
            <w:r>
              <w:t>Omvang</w:t>
            </w:r>
            <w:proofErr w:type="spellEnd"/>
            <w:r>
              <w:t xml:space="preserve"> </w:t>
            </w:r>
            <w:proofErr w:type="spellStart"/>
            <w:r>
              <w:t>portefeuille</w:t>
            </w:r>
            <w:proofErr w:type="spellEnd"/>
            <w:r w:rsidRPr="002D7B14"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Pr="002D7B14" w:rsidR="008631B1" w:rsidP="00896E60" w:rsidRDefault="008631B1">
            <w:r>
              <w:t xml:space="preserve">USD 1,5 </w:t>
            </w:r>
            <w:proofErr w:type="spellStart"/>
            <w:r>
              <w:t>mld</w:t>
            </w:r>
            <w:proofErr w:type="spellEnd"/>
          </w:p>
        </w:tc>
      </w:tr>
      <w:tr w:rsidRPr="002D7B14" w:rsidR="008631B1" w:rsidTr="008F26C2">
        <w:trPr>
          <w:trHeight w:val="227" w:hRule="exact"/>
        </w:trPr>
        <w:tc>
          <w:tcPr>
            <w:tcW w:w="2637" w:type="dxa"/>
            <w:shd w:val="clear" w:color="auto" w:fill="auto"/>
          </w:tcPr>
          <w:p w:rsidRPr="002D7B14" w:rsidR="008631B1" w:rsidP="00896E60" w:rsidRDefault="008631B1">
            <w:proofErr w:type="spellStart"/>
            <w:r w:rsidRPr="002D7B14">
              <w:t>Nederlandse</w:t>
            </w:r>
            <w:proofErr w:type="spellEnd"/>
            <w:r w:rsidRPr="002D7B14">
              <w:t xml:space="preserve"> </w:t>
            </w:r>
            <w:proofErr w:type="spellStart"/>
            <w:r w:rsidRPr="002D7B14">
              <w:t>bijdrage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Pr="002D7B14" w:rsidR="008631B1" w:rsidP="008631B1" w:rsidRDefault="008631B1">
            <w:r>
              <w:t xml:space="preserve">USD 132 </w:t>
            </w:r>
            <w:proofErr w:type="spellStart"/>
            <w:r>
              <w:t>mln</w:t>
            </w:r>
            <w:proofErr w:type="spellEnd"/>
            <w:r>
              <w:t xml:space="preserve"> </w:t>
            </w:r>
          </w:p>
        </w:tc>
      </w:tr>
      <w:tr w:rsidRPr="002D7B14" w:rsidR="008631B1" w:rsidTr="00896E60">
        <w:trPr>
          <w:trHeight w:val="227" w:hRule="exact"/>
        </w:trPr>
        <w:tc>
          <w:tcPr>
            <w:tcW w:w="2637" w:type="dxa"/>
            <w:shd w:val="clear" w:color="auto" w:fill="auto"/>
          </w:tcPr>
          <w:p w:rsidRPr="00F369FF" w:rsidR="008631B1" w:rsidP="00896E60" w:rsidRDefault="008631B1">
            <w:pPr>
              <w:rPr>
                <w:lang w:val="nl-NL"/>
              </w:rPr>
            </w:pPr>
            <w:r w:rsidRPr="00F369FF">
              <w:rPr>
                <w:lang w:val="nl-NL"/>
              </w:rPr>
              <w:t>Nederlands aandeel Percentage van totaal</w:t>
            </w:r>
          </w:p>
        </w:tc>
        <w:tc>
          <w:tcPr>
            <w:tcW w:w="3686" w:type="dxa"/>
            <w:shd w:val="clear" w:color="auto" w:fill="auto"/>
          </w:tcPr>
          <w:p w:rsidRPr="002D7B14" w:rsidR="008631B1" w:rsidP="00896E60" w:rsidRDefault="008631B1">
            <w:r>
              <w:t>9,5</w:t>
            </w:r>
            <w:r w:rsidRPr="002D7B14">
              <w:t>%</w:t>
            </w:r>
            <w:r>
              <w:t xml:space="preserve"> (core + ASAP)</w:t>
            </w:r>
          </w:p>
        </w:tc>
      </w:tr>
      <w:tr w:rsidRPr="008631B1" w:rsidR="008631B1" w:rsidTr="008631B1">
        <w:trPr>
          <w:trHeight w:val="219" w:hRule="exact"/>
        </w:trPr>
        <w:tc>
          <w:tcPr>
            <w:tcW w:w="2637" w:type="dxa"/>
            <w:shd w:val="clear" w:color="auto" w:fill="auto"/>
          </w:tcPr>
          <w:p w:rsidRPr="002D7B14" w:rsidR="008631B1" w:rsidP="00896E60" w:rsidRDefault="008631B1">
            <w:r w:rsidRPr="002D7B14">
              <w:t>Ranking NL</w:t>
            </w:r>
          </w:p>
        </w:tc>
        <w:tc>
          <w:tcPr>
            <w:tcW w:w="3686" w:type="dxa"/>
            <w:shd w:val="clear" w:color="auto" w:fill="auto"/>
          </w:tcPr>
          <w:p w:rsidRPr="008631B1" w:rsidR="008631B1" w:rsidP="008631B1" w:rsidRDefault="008631B1">
            <w:r w:rsidRPr="008631B1">
              <w:t>2</w:t>
            </w:r>
            <w:r w:rsidRPr="008631B1">
              <w:rPr>
                <w:vertAlign w:val="superscript"/>
              </w:rPr>
              <w:t>e</w:t>
            </w:r>
            <w:r w:rsidRPr="008631B1">
              <w:t xml:space="preserve"> </w:t>
            </w:r>
            <w:r>
              <w:t>(core+ ASAP)</w:t>
            </w:r>
            <w:r w:rsidRPr="008631B1">
              <w:rPr>
                <w:i/>
              </w:rPr>
              <w:t xml:space="preserve"> </w:t>
            </w:r>
          </w:p>
        </w:tc>
      </w:tr>
    </w:tbl>
    <w:p w:rsidRPr="008631B1" w:rsidR="008631B1" w:rsidP="008631B1" w:rsidRDefault="00885152"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editId="52974F6C" wp14:anchorId="588071B7">
            <wp:simplePos x="0" y="0"/>
            <wp:positionH relativeFrom="column">
              <wp:posOffset>3248025</wp:posOffset>
            </wp:positionH>
            <wp:positionV relativeFrom="paragraph">
              <wp:posOffset>227330</wp:posOffset>
            </wp:positionV>
            <wp:extent cx="3190875" cy="2276475"/>
            <wp:effectExtent l="0" t="0" r="9525" b="952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C4ABD" w:rsidR="008631B1" w:rsidP="008631B1" w:rsidRDefault="008631B1">
      <w:pPr>
        <w:pStyle w:val="Lijstalinea"/>
        <w:numPr>
          <w:ilvl w:val="0"/>
          <w:numId w:val="1"/>
        </w:numPr>
        <w:spacing w:after="120"/>
        <w:rPr>
          <w:b/>
          <w:lang w:val="nl-NL"/>
        </w:rPr>
      </w:pPr>
      <w:r w:rsidRPr="00DC4353">
        <w:rPr>
          <w:b/>
          <w:lang w:val="nl-NL"/>
        </w:rPr>
        <w:t xml:space="preserve">Institutionele aspecten en intern </w:t>
      </w:r>
      <w:r w:rsidRPr="00FC4ABD">
        <w:rPr>
          <w:b/>
          <w:lang w:val="nl-NL"/>
        </w:rPr>
        <w:t>functioneren</w:t>
      </w:r>
      <w:r>
        <w:rPr>
          <w:b/>
          <w:lang w:val="nl-NL"/>
        </w:rPr>
        <w:t xml:space="preserve"> scoren voldoende</w:t>
      </w:r>
    </w:p>
    <w:p w:rsidR="00885152" w:rsidP="00885152" w:rsidRDefault="008631B1">
      <w:pPr>
        <w:spacing w:after="120"/>
        <w:ind w:left="360"/>
        <w:rPr>
          <w:lang w:val="nl-NL"/>
        </w:rPr>
      </w:pPr>
      <w:r w:rsidRPr="003A6BFD">
        <w:rPr>
          <w:lang w:val="nl-NL"/>
        </w:rPr>
        <w:t>Als gespecialiseerde organi</w:t>
      </w:r>
      <w:r w:rsidR="00AF22F9">
        <w:rPr>
          <w:lang w:val="nl-NL"/>
        </w:rPr>
        <w:t xml:space="preserve">satie </w:t>
      </w:r>
      <w:r w:rsidRPr="003A6BFD">
        <w:rPr>
          <w:lang w:val="nl-NL"/>
        </w:rPr>
        <w:t xml:space="preserve">heeft IFAD een sterke focus op het kernmandaat. Daarnaast </w:t>
      </w:r>
      <w:r>
        <w:rPr>
          <w:lang w:val="nl-NL"/>
        </w:rPr>
        <w:t xml:space="preserve">heeft </w:t>
      </w:r>
      <w:r w:rsidRPr="003A6BFD">
        <w:rPr>
          <w:lang w:val="nl-NL"/>
        </w:rPr>
        <w:t xml:space="preserve">de organisatie </w:t>
      </w:r>
      <w:r>
        <w:rPr>
          <w:lang w:val="nl-NL"/>
        </w:rPr>
        <w:t xml:space="preserve">een </w:t>
      </w:r>
      <w:r w:rsidRPr="003A6BFD">
        <w:rPr>
          <w:lang w:val="nl-NL"/>
        </w:rPr>
        <w:t>goed</w:t>
      </w:r>
      <w:r>
        <w:rPr>
          <w:lang w:val="nl-NL"/>
        </w:rPr>
        <w:t>e</w:t>
      </w:r>
      <w:r w:rsidRPr="003A6BFD">
        <w:rPr>
          <w:lang w:val="nl-NL"/>
        </w:rPr>
        <w:t xml:space="preserve"> </w:t>
      </w:r>
      <w:r>
        <w:rPr>
          <w:lang w:val="nl-NL"/>
        </w:rPr>
        <w:t>strategie ontwikkeld en is de</w:t>
      </w:r>
      <w:r w:rsidRPr="003A6BFD">
        <w:rPr>
          <w:lang w:val="nl-NL"/>
        </w:rPr>
        <w:t xml:space="preserve"> evaluatiefunctie</w:t>
      </w:r>
      <w:r>
        <w:rPr>
          <w:lang w:val="nl-NL"/>
        </w:rPr>
        <w:t xml:space="preserve"> adequaat ingericht</w:t>
      </w:r>
      <w:r w:rsidRPr="003A6BFD">
        <w:rPr>
          <w:lang w:val="nl-NL"/>
        </w:rPr>
        <w:t xml:space="preserve">. </w:t>
      </w:r>
      <w:r w:rsidRPr="00DC4353">
        <w:rPr>
          <w:lang w:val="nl-NL"/>
        </w:rPr>
        <w:t>Het resultatenraamwerk is</w:t>
      </w:r>
      <w:r>
        <w:rPr>
          <w:lang w:val="nl-NL"/>
        </w:rPr>
        <w:t xml:space="preserve"> relatief sterk. </w:t>
      </w:r>
      <w:r w:rsidRPr="003A6BFD">
        <w:rPr>
          <w:lang w:val="nl-NL"/>
        </w:rPr>
        <w:t xml:space="preserve">Op het terrein van de inrichting van het personeelsbeleid </w:t>
      </w:r>
      <w:r w:rsidR="00AF22F9">
        <w:rPr>
          <w:lang w:val="nl-NL"/>
        </w:rPr>
        <w:t>heeft IFAD haar beleid de afgelopen jaren verbeterd</w:t>
      </w:r>
      <w:r w:rsidRPr="003A6BFD">
        <w:rPr>
          <w:lang w:val="nl-NL"/>
        </w:rPr>
        <w:t>.</w:t>
      </w:r>
    </w:p>
    <w:p w:rsidR="008631B1" w:rsidP="008631B1" w:rsidRDefault="008631B1">
      <w:pPr>
        <w:pStyle w:val="Lijstalinea"/>
        <w:numPr>
          <w:ilvl w:val="0"/>
          <w:numId w:val="1"/>
        </w:numPr>
        <w:spacing w:after="120"/>
        <w:rPr>
          <w:lang w:val="nl-NL"/>
        </w:rPr>
      </w:pPr>
      <w:r w:rsidRPr="00AF22F9">
        <w:rPr>
          <w:b/>
          <w:lang w:val="nl-NL"/>
        </w:rPr>
        <w:t>Be</w:t>
      </w:r>
      <w:r>
        <w:rPr>
          <w:b/>
          <w:lang w:val="nl-NL"/>
        </w:rPr>
        <w:t>leidsrelevantie voornamelijk op thema’s voedselzekerheid en water</w:t>
      </w:r>
    </w:p>
    <w:p w:rsidRPr="00DC4353" w:rsidR="008631B1" w:rsidP="00885152" w:rsidRDefault="00885152">
      <w:pPr>
        <w:spacing w:after="120"/>
        <w:ind w:left="360"/>
        <w:rPr>
          <w:noProof/>
          <w:lang w:val="nl-NL" w:eastAsia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editId="4310065E" wp14:anchorId="03A74508">
            <wp:simplePos x="0" y="0"/>
            <wp:positionH relativeFrom="column">
              <wp:posOffset>3248025</wp:posOffset>
            </wp:positionH>
            <wp:positionV relativeFrom="paragraph">
              <wp:posOffset>466090</wp:posOffset>
            </wp:positionV>
            <wp:extent cx="3190875" cy="2238375"/>
            <wp:effectExtent l="0" t="0" r="9525" b="9525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F33" w:rsidR="008631B1">
        <w:rPr>
          <w:lang w:val="nl-NL"/>
        </w:rPr>
        <w:t>Bijna 50% van de IFAD-middelen wordt besteed in Afrika.</w:t>
      </w:r>
      <w:r w:rsidR="008631B1">
        <w:rPr>
          <w:lang w:val="nl-NL"/>
        </w:rPr>
        <w:t xml:space="preserve"> De organisatie is werkzaam in de meest achtergebleven plattelandsgebieden. Op de </w:t>
      </w:r>
      <w:r w:rsidR="00AF22F9">
        <w:rPr>
          <w:lang w:val="nl-NL"/>
        </w:rPr>
        <w:t xml:space="preserve">beleidsthema’s voedselzekerheid, </w:t>
      </w:r>
      <w:r w:rsidR="008631B1">
        <w:rPr>
          <w:lang w:val="nl-NL"/>
        </w:rPr>
        <w:t>water</w:t>
      </w:r>
      <w:r w:rsidR="00AF22F9">
        <w:rPr>
          <w:lang w:val="nl-NL"/>
        </w:rPr>
        <w:t>, private sectorontwikkeling en duurzaamheid</w:t>
      </w:r>
      <w:r w:rsidR="008631B1">
        <w:rPr>
          <w:lang w:val="nl-NL"/>
        </w:rPr>
        <w:t xml:space="preserve"> speelt IFAD een relevante rol binnen het Nederlandse beleid op het terrein van ontwikkelingssamenwerking. O</w:t>
      </w:r>
      <w:r w:rsidRPr="00DC4353" w:rsidR="008631B1">
        <w:rPr>
          <w:lang w:val="nl-NL"/>
        </w:rPr>
        <w:t xml:space="preserve">p </w:t>
      </w:r>
      <w:r w:rsidR="008631B1">
        <w:rPr>
          <w:lang w:val="nl-NL"/>
        </w:rPr>
        <w:t xml:space="preserve">andere thema’s, zoals </w:t>
      </w:r>
      <w:r w:rsidRPr="00DC4353" w:rsidR="008631B1">
        <w:rPr>
          <w:lang w:val="nl-NL"/>
        </w:rPr>
        <w:t xml:space="preserve">seksuele en reproductieve gezondheid en rechten </w:t>
      </w:r>
      <w:r w:rsidR="008631B1">
        <w:rPr>
          <w:lang w:val="nl-NL"/>
        </w:rPr>
        <w:t xml:space="preserve">en </w:t>
      </w:r>
      <w:r w:rsidR="00AF22F9">
        <w:rPr>
          <w:lang w:val="nl-NL"/>
        </w:rPr>
        <w:t>veiligheid</w:t>
      </w:r>
      <w:r w:rsidR="008631B1">
        <w:rPr>
          <w:lang w:val="nl-NL"/>
        </w:rPr>
        <w:t xml:space="preserve"> speelt IFAD geen rol van betekenis.</w:t>
      </w:r>
      <w:r w:rsidRPr="00DC4353" w:rsidR="008631B1">
        <w:rPr>
          <w:noProof/>
          <w:lang w:val="nl-NL" w:eastAsia="nl-NL"/>
        </w:rPr>
        <w:t xml:space="preserve"> </w:t>
      </w:r>
    </w:p>
    <w:p w:rsidR="008631B1" w:rsidP="008631B1" w:rsidRDefault="008631B1">
      <w:pPr>
        <w:pStyle w:val="Lijstalinea"/>
        <w:numPr>
          <w:ilvl w:val="0"/>
          <w:numId w:val="1"/>
        </w:numPr>
        <w:spacing w:after="120"/>
        <w:rPr>
          <w:b/>
          <w:lang w:val="nl-NL"/>
        </w:rPr>
      </w:pPr>
      <w:r w:rsidRPr="00DC4353">
        <w:rPr>
          <w:b/>
          <w:lang w:val="nl-NL"/>
        </w:rPr>
        <w:t>Bijzonderheden</w:t>
      </w:r>
    </w:p>
    <w:p w:rsidRPr="008F26C2" w:rsidR="00D309B7" w:rsidP="008F26C2" w:rsidRDefault="008631B1">
      <w:pPr>
        <w:ind w:left="360"/>
        <w:rPr>
          <w:b/>
          <w:lang w:val="nl-NL"/>
        </w:rPr>
      </w:pPr>
      <w:r>
        <w:rPr>
          <w:lang w:val="nl-NL"/>
        </w:rPr>
        <w:t xml:space="preserve">IFAD heeft zich </w:t>
      </w:r>
      <w:r w:rsidRPr="00F369FF">
        <w:rPr>
          <w:lang w:val="nl-NL"/>
        </w:rPr>
        <w:t xml:space="preserve">in de afgelopen jaren </w:t>
      </w:r>
      <w:r>
        <w:rPr>
          <w:lang w:val="nl-NL"/>
        </w:rPr>
        <w:t xml:space="preserve">ontwikkeld tot </w:t>
      </w:r>
      <w:r w:rsidRPr="00F369FF">
        <w:rPr>
          <w:lang w:val="nl-NL"/>
        </w:rPr>
        <w:t xml:space="preserve">een </w:t>
      </w:r>
      <w:r>
        <w:rPr>
          <w:lang w:val="nl-NL"/>
        </w:rPr>
        <w:t xml:space="preserve">belangrijke </w:t>
      </w:r>
      <w:r w:rsidRPr="00F369FF">
        <w:rPr>
          <w:lang w:val="nl-NL"/>
        </w:rPr>
        <w:t>nichespeler op het gebied van landbouwontwikkeling en voedselzekerheid</w:t>
      </w:r>
      <w:r>
        <w:rPr>
          <w:lang w:val="nl-NL"/>
        </w:rPr>
        <w:t>.</w:t>
      </w:r>
      <w:r w:rsidRPr="00F369FF">
        <w:rPr>
          <w:lang w:val="nl-NL"/>
        </w:rPr>
        <w:t xml:space="preserve"> </w:t>
      </w:r>
      <w:r w:rsidRPr="000F5F33">
        <w:rPr>
          <w:lang w:val="nl-NL"/>
        </w:rPr>
        <w:t>Een belangrijke meerwaarde van IFAD is de bereidheid lange</w:t>
      </w:r>
      <w:r>
        <w:rPr>
          <w:lang w:val="nl-NL"/>
        </w:rPr>
        <w:t xml:space="preserve"> </w:t>
      </w:r>
      <w:r w:rsidRPr="000F5F33">
        <w:rPr>
          <w:lang w:val="nl-NL"/>
        </w:rPr>
        <w:t>termijn</w:t>
      </w:r>
      <w:r>
        <w:rPr>
          <w:lang w:val="nl-NL"/>
        </w:rPr>
        <w:t xml:space="preserve"> </w:t>
      </w:r>
      <w:r w:rsidRPr="000F5F33">
        <w:rPr>
          <w:lang w:val="nl-NL"/>
        </w:rPr>
        <w:t>verbintenissen aan te gaan in de meest afgelegen plattelandsgebieden in ontwikkelingslanden</w:t>
      </w:r>
      <w:r>
        <w:rPr>
          <w:lang w:val="nl-NL"/>
        </w:rPr>
        <w:t xml:space="preserve"> </w:t>
      </w:r>
      <w:r w:rsidRPr="000F5F33">
        <w:rPr>
          <w:lang w:val="nl-NL"/>
        </w:rPr>
        <w:t>waar andere organisaties, zoals de Wereldbank, veelal (nog) niet komen.</w:t>
      </w:r>
      <w:r>
        <w:rPr>
          <w:lang w:val="nl-NL"/>
        </w:rPr>
        <w:t xml:space="preserve"> De focus is exclusief gericht op kleine boeren. </w:t>
      </w:r>
    </w:p>
    <w:sectPr w:rsidRPr="008F26C2" w:rsidR="00D309B7" w:rsidSect="005C2DEF">
      <w:pgSz w:w="11907" w:h="16839" w:code="9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D8C"/>
    <w:multiLevelType w:val="hybridMultilevel"/>
    <w:tmpl w:val="8CC879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B1"/>
    <w:rsid w:val="0014108B"/>
    <w:rsid w:val="003E35A0"/>
    <w:rsid w:val="005C2DEF"/>
    <w:rsid w:val="008631B1"/>
    <w:rsid w:val="00885152"/>
    <w:rsid w:val="008F26C2"/>
    <w:rsid w:val="00A91058"/>
    <w:rsid w:val="00AF22F9"/>
    <w:rsid w:val="00D309B7"/>
    <w:rsid w:val="00D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31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31B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E35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3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31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31B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E35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3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hart" Target="charts/chart2.xml" Id="rId8" /><Relationship Type="http://schemas.openxmlformats.org/officeDocument/2006/relationships/styles" Target="styles.xml" Id="rId3" /><Relationship Type="http://schemas.openxmlformats.org/officeDocument/2006/relationships/chart" Target="charts/chart1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werkblad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werkblad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IFAD!$B$4</c:f>
              <c:strCache>
                <c:ptCount val="1"/>
                <c:pt idx="0">
                  <c:v>score</c:v>
                </c:pt>
              </c:strCache>
            </c:strRef>
          </c:tx>
          <c:marker>
            <c:symbol val="none"/>
          </c:marker>
          <c:cat>
            <c:strRef>
              <c:f>IFAD!$A$5:$A$14</c:f>
              <c:strCache>
                <c:ptCount val="10"/>
                <c:pt idx="0">
                  <c:v>Focus kernmandaat</c:v>
                </c:pt>
                <c:pt idx="1">
                  <c:v>Strategie</c:v>
                </c:pt>
                <c:pt idx="2">
                  <c:v>Effectiviteit bestuur</c:v>
                </c:pt>
                <c:pt idx="3">
                  <c:v>Personeelsbeleid</c:v>
                </c:pt>
                <c:pt idx="4">
                  <c:v>Financiele beheer</c:v>
                </c:pt>
                <c:pt idx="5">
                  <c:v>Corruptiebestr. intern</c:v>
                </c:pt>
                <c:pt idx="6">
                  <c:v>Samenwerking multibi</c:v>
                </c:pt>
                <c:pt idx="7">
                  <c:v>Uitvoering landenniveau</c:v>
                </c:pt>
                <c:pt idx="8">
                  <c:v>Normerende taken</c:v>
                </c:pt>
                <c:pt idx="9">
                  <c:v>Beleidsevaluaties</c:v>
                </c:pt>
              </c:strCache>
            </c:strRef>
          </c:cat>
          <c:val>
            <c:numRef>
              <c:f>IFAD!$B$5:$B$14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2317568"/>
        <c:axId val="92319104"/>
      </c:radarChart>
      <c:catAx>
        <c:axId val="92317568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92319104"/>
        <c:crosses val="autoZero"/>
        <c:auto val="1"/>
        <c:lblAlgn val="ctr"/>
        <c:lblOffset val="100"/>
        <c:noMultiLvlLbl val="0"/>
      </c:catAx>
      <c:valAx>
        <c:axId val="92319104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92317568"/>
        <c:crosses val="autoZero"/>
        <c:crossBetween val="between"/>
        <c:majorUnit val="1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nl-N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IFAD!$B$19</c:f>
              <c:strCache>
                <c:ptCount val="1"/>
                <c:pt idx="0">
                  <c:v>score</c:v>
                </c:pt>
              </c:strCache>
            </c:strRef>
          </c:tx>
          <c:marker>
            <c:symbol val="none"/>
          </c:marker>
          <c:cat>
            <c:strRef>
              <c:f>IFAD!$A$20:$A$29</c:f>
              <c:strCache>
                <c:ptCount val="10"/>
                <c:pt idx="0">
                  <c:v>Relevantie Int OS architectuur</c:v>
                </c:pt>
                <c:pt idx="1">
                  <c:v>Geografische relevantie</c:v>
                </c:pt>
                <c:pt idx="2">
                  <c:v>Focus voedselzekerheid</c:v>
                </c:pt>
                <c:pt idx="3">
                  <c:v>Focus water</c:v>
                </c:pt>
                <c:pt idx="4">
                  <c:v>Focus V&amp;R</c:v>
                </c:pt>
                <c:pt idx="5">
                  <c:v>Focus SRGR</c:v>
                </c:pt>
                <c:pt idx="6">
                  <c:v>Gender</c:v>
                </c:pt>
                <c:pt idx="7">
                  <c:v>Private sectorontw.</c:v>
                </c:pt>
                <c:pt idx="8">
                  <c:v>Duurzaamheid</c:v>
                </c:pt>
                <c:pt idx="9">
                  <c:v>Impact op NL</c:v>
                </c:pt>
              </c:strCache>
            </c:strRef>
          </c:cat>
          <c:val>
            <c:numRef>
              <c:f>IFAD!$B$20:$B$29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3545984"/>
        <c:axId val="93547520"/>
      </c:radarChart>
      <c:catAx>
        <c:axId val="93545984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93547520"/>
        <c:crosses val="autoZero"/>
        <c:auto val="1"/>
        <c:lblAlgn val="ctr"/>
        <c:lblOffset val="100"/>
        <c:noMultiLvlLbl val="0"/>
      </c:catAx>
      <c:valAx>
        <c:axId val="93547520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93545984"/>
        <c:crosses val="autoZero"/>
        <c:crossBetween val="between"/>
        <c:majorUnit val="1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nl-N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350</ap:Words>
  <ap:Characters>1929</ap:Characters>
  <ap:DocSecurity>4</ap:DocSecurity>
  <ap:Lines>16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2013-07-01T07:09:00.0000000Z</lastPrinted>
  <dcterms:created xsi:type="dcterms:W3CDTF">2014-09-25T17:31:00.0000000Z</dcterms:created>
  <dcterms:modified xsi:type="dcterms:W3CDTF">2014-09-25T17:31:00.0000000Z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0x0101004B30AFE3B9DE8F41A765454B4EFA0CA1</vt:lpwstr>
  </property>
</Properties>
</file>