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p14="http://schemas.microsoft.com/office/word/2010/wordprocessingDrawing" xmlns:wpc="http://schemas.microsoft.com/office/word/2010/wordprocessingCanva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68730976"/>
        <w:lock w:val="contentLocked"/>
        <w:placeholder>
          <w:docPart w:val="DefaultPlaceholder_1082065158"/>
        </w:placeholder>
        <w:group/>
      </w:sdtPr>
      <w:sdtContent>
        <w:p w:rsidR="00D2526B" w:rsidP="00D2526B" w:rsidRDefault="00176FB8">
          <w:pPr>
            <w:tabs>
              <w:tab w:val="left" w:pos="3686"/>
            </w:tabs>
          </w:pPr>
          <w:r>
            <w:rPr>
              <w:noProof/>
            </w:rPr>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w:r>
          <w:r w:rsidRPr="00831363" w:rsidR="00977969">
            <w:rPr>
              <w:noProof/>
            </w:rPr>
            <w:drawing>
              <wp:anchor distT="0" distB="0" distL="114300" distR="114300" simplePos="0" relativeHeight="251656704" behindDoc="1" locked="0" layoutInCell="1" allowOverlap="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val="0"/>
                            </a:ext>
                          </a:extLst>
                        </a:blip>
                        <a:srcRect/>
                        <a:stretch>
                          <a:fillRect/>
                        </a:stretch>
                      </pic:blipFill>
                      <pic:spPr bwMode="auto">
                        <a:xfrm>
                          <a:off x="0" y="0"/>
                          <a:ext cx="1174750" cy="768350"/>
                        </a:xfrm>
                        <a:prstGeom prst="rect">
                          <a:avLst/>
                        </a:prstGeom>
                        <a:noFill/>
                        <a:ln>
                          <a:noFill/>
                        </a:ln>
                      </pic:spPr>
                    </pic:pic>
                  </a:graphicData>
                </a:graphic>
              </wp:anchor>
            </w:drawing>
          </w:r>
          <w:r w:rsidRPr="00831363" w:rsidR="00907421">
            <w:t>No.</w:t>
          </w:r>
          <w:sdt>
            <w:sdtPr>
              <w:alias w:val="ZaakNummerPlus"/>
              <w:tag w:val="ZaakNummerPlus"/>
              <w:id w:val="-1666084793"/>
              <w:lock w:val="sdtContentLocked"/>
              <w:placeholder>
                <w:docPart w:val="D4CFDB6C696D4A60944E1E577854833F"/>
              </w:placeholder>
              <w:text/>
            </w:sdtPr>
            <w:sdtContent>
              <w:r w:rsidR="00977969">
                <w:rPr>
                  <w:caps/>
                </w:rPr>
                <w:t>W06.14.0184/III</w:t>
              </w:r>
            </w:sdtContent>
          </w:sdt>
          <w:r w:rsidR="00D2526B">
            <w:tab/>
            <w:t xml:space="preserve">'s-Gravenhage, </w:t>
          </w:r>
          <w:sdt>
            <w:sdtPr>
              <w:alias w:val="DatumAdvies"/>
              <w:tag w:val="DatumAdvies"/>
              <w:id w:val="-287518040"/>
              <w:lock w:val="sdtContentLocked"/>
              <w:placeholder>
                <w:docPart w:val="48FC23674C4A4B198BB982E556E53853"/>
              </w:placeholder>
              <w:text/>
            </w:sdtPr>
            <w:sdtContent>
              <w:r w:rsidR="00977969">
                <w:t>26 juni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Content>
            <w:p w:rsidR="00176FB8" w:rsidRDefault="00A124D4">
              <w:r>
                <w:t xml:space="preserve">Bij Kabinetsmissive van 16 juni 2014, no.2014001162, heeft Uwe Majesteit, op voordracht van de Staatssecretaris van Financiën, bij de Afdeling advisering van de Raad van State ter overweging aanhangig gemaakt het voorstel van wet  tot wijziging van enkele </w:t>
              </w:r>
              <w:r>
                <w:t>belastingwetten en enkele andere wetten ten behoeve van het vervangen van de Verklaring arbeidsrelatie door de Beschikking geen loonheffingen (Wet invoering Beschikking geen loonheffingen), met memorie van toelichting.</w:t>
              </w:r>
            </w:p>
          </w:sdtContent>
        </w:sdt>
        <w:p w:rsidRPr="00831363" w:rsidR="00CE4655" w:rsidP="003C7608" w:rsidRDefault="00CE4655"/>
        <w:sdt>
          <w:sdtPr>
            <w:alias w:val="VrijeTekst1"/>
            <w:tag w:val="VrijeTekst1"/>
            <w:id w:val="-437221631"/>
            <w:lock w:val="sdtLocked"/>
          </w:sdtPr>
          <w:sdtContent>
            <w:p w:rsidR="00B947CF" w:rsidP="00B947CF" w:rsidRDefault="00A124D4">
              <w:r>
                <w:t>Het voorstel kent een tweetal wett</w:t>
              </w:r>
              <w:r>
                <w:t>elijke maatregelen. De eerste maatregel betreft het vervangen van de huidige “Verklaring arbeidsrelatie” (VAR) die vier modaliteiten kent, door één verklaring “Beschikking geen loonheffingen” (BGL). De tweede maatregel betreft het medeverantwoordelijk make</w:t>
              </w:r>
              <w:r>
                <w:t>n van de opdrachtgever (tot het verrichten van arbeid) voor de juistheid van de door de opdrachtnemer aangevraagde BGL. Daarnaast kondigt de toelichting een webmodule aan voor de aanvraag van een BGL.</w:t>
              </w:r>
            </w:p>
            <w:p w:rsidR="00B947CF" w:rsidP="00B947CF" w:rsidRDefault="00A124D4"/>
            <w:p w:rsidR="003E4AFA" w:rsidP="00B947CF" w:rsidRDefault="00A124D4">
              <w:r w:rsidRPr="000E44BF">
                <w:t>De Afdeling advisering van de Raad van State maakt naa</w:t>
              </w:r>
              <w:r w:rsidRPr="000E44BF">
                <w:t>r aanleiding van het wetsvoorstel opmerkingen over</w:t>
              </w:r>
              <w:r>
                <w:t xml:space="preserve"> nut en noodzaak van het voorstel en over de webmodule</w:t>
              </w:r>
              <w:r w:rsidRPr="000E44BF">
                <w:t>.</w:t>
              </w:r>
            </w:p>
            <w:p w:rsidR="003E4AFA" w:rsidP="00B947CF" w:rsidRDefault="00A124D4"/>
            <w:p w:rsidR="000E6F28" w:rsidP="00B947CF" w:rsidRDefault="00A124D4">
              <w:r>
                <w:t>De Afdeling concludeert dat onduidelijk is welk probleem het voorstel beoogt op te lossen. Reden daarvoor is dat schijnzelfstandigheid met het oogmer</w:t>
              </w:r>
              <w:r>
                <w:t>k ondernemersfaciliteiten in de inkomstenbelasting deelachtig te worden door dit voorstel niet adequaat wordt bestreden. De aanzuigende werking van de voordelen van ondernemersfaciliteiten geldt net zo goed onder de voorgestelde regeling als onder de besta</w:t>
              </w:r>
              <w:r>
                <w:t xml:space="preserve">ande. </w:t>
              </w:r>
            </w:p>
            <w:p w:rsidR="000E6F28" w:rsidP="00B947CF" w:rsidRDefault="00A124D4">
              <w:r>
                <w:t xml:space="preserve">De omvang van het probleem is evenmin duidelijk, zo concludeert de Afdeling. Deze zou best eens veel kleiner kunnen zijn dan gedacht. Voorts gelden de argumenten van niet zo lang geleden om de opdrachtgever te vrijwaren van loonheffing, namelijk om </w:t>
              </w:r>
              <w:r>
                <w:t xml:space="preserve">werk voor zzp’ers te bevorderen, in de huidige moeilijke arbeidsmarkt eens te meer. Ten slotte komt in een thans lopend interdepartementaal beleidsonderzoek (IBO) onder meer de fiscale positie van werkenden op de arbeidsmarkt, waaronder zzp‘ers, integraal </w:t>
              </w:r>
              <w:r>
                <w:t>aan de orde. In dat licht is het voorstel prematuur.</w:t>
              </w:r>
            </w:p>
            <w:p w:rsidR="003E4AFA" w:rsidP="00B947CF" w:rsidRDefault="00A124D4">
              <w:r w:rsidRPr="003E4AFA">
                <w:t xml:space="preserve">De Afdeling merkt </w:t>
              </w:r>
              <w:r>
                <w:t xml:space="preserve">daarnaast </w:t>
              </w:r>
              <w:r w:rsidRPr="003E4AFA">
                <w:t xml:space="preserve">op dat een goede uitvoering en toepassing van de BGL alsmede zekerheid vooraf, staat en valt met </w:t>
              </w:r>
              <w:r>
                <w:t xml:space="preserve">het adequaat functioneren </w:t>
              </w:r>
              <w:r w:rsidRPr="003E4AFA">
                <w:t xml:space="preserve">van de webmodule. </w:t>
              </w:r>
              <w:r>
                <w:t xml:space="preserve">Zij betwijfelt echter of en zo ja </w:t>
              </w:r>
              <w:r>
                <w:t>in hoeverre voldoende zekerheid vooraf is te realiseren met de webmodule, aangezien niet duidelijk is of en in hoeverre de webmodule invulling zal geven aan de casuïstiek van het individuele geval.</w:t>
              </w:r>
            </w:p>
            <w:p w:rsidR="003E4AFA" w:rsidP="00B947CF" w:rsidRDefault="00A124D4"/>
            <w:p w:rsidR="00B947CF" w:rsidP="00B947CF" w:rsidRDefault="00A124D4">
              <w:r>
                <w:t>De Afdeling</w:t>
              </w:r>
              <w:r w:rsidRPr="000E44BF">
                <w:t xml:space="preserve"> is van oordeel dat het voorstel in verband </w:t>
              </w:r>
              <w:r>
                <w:t>me</w:t>
              </w:r>
              <w:r>
                <w:t xml:space="preserve">t het vorenstaande </w:t>
              </w:r>
              <w:r w:rsidRPr="000E44BF">
                <w:t>nader dient te worden overwogen.</w:t>
              </w:r>
            </w:p>
            <w:p w:rsidR="00B947CF" w:rsidP="00B947CF" w:rsidRDefault="00A124D4"/>
            <w:p w:rsidRPr="00230120" w:rsidR="00230120" w:rsidP="00230120" w:rsidRDefault="00A124D4">
              <w:pPr>
                <w:rPr>
                  <w:u w:val="single"/>
                </w:rPr>
              </w:pPr>
              <w:r w:rsidRPr="00230120">
                <w:t>1.</w:t>
              </w:r>
              <w:r w:rsidRPr="00230120">
                <w:tab/>
              </w:r>
              <w:r w:rsidRPr="00230120">
                <w:rPr>
                  <w:u w:val="single"/>
                </w:rPr>
                <w:t>Inleiding</w:t>
              </w:r>
            </w:p>
            <w:p w:rsidRPr="00230120" w:rsidR="00230120" w:rsidP="00230120" w:rsidRDefault="00A124D4"/>
            <w:p w:rsidRPr="00230120" w:rsidR="00230120" w:rsidP="00230120" w:rsidRDefault="00A124D4">
              <w:r w:rsidRPr="00230120">
                <w:t xml:space="preserve">Alvorens enkele opmerkingen te maken bij het voorstel geeft de Afdeling hieronder eerst een korte schets van de betekenis van de VAR/BGL alsmede van de inhoud van de huidige en van de </w:t>
              </w:r>
              <w:r w:rsidRPr="00230120">
                <w:t>voorgestelde regeling.</w:t>
              </w:r>
            </w:p>
            <w:p w:rsidRPr="00230120" w:rsidR="00230120" w:rsidP="00230120" w:rsidRDefault="00A124D4"/>
            <w:p w:rsidR="001E3565" w:rsidP="00230120" w:rsidRDefault="00A124D4">
              <w:pPr>
                <w:rPr>
                  <w:i/>
                </w:rPr>
              </w:pPr>
              <w:r>
                <w:rPr>
                  <w:i/>
                </w:rPr>
                <w:t>Huidige regeling</w:t>
              </w:r>
            </w:p>
            <w:p w:rsidRPr="00230120" w:rsidR="00230120" w:rsidP="00230120" w:rsidRDefault="00A124D4">
              <w:r w:rsidRPr="00230120">
                <w:t>Sinds 1 januari 2001 is het voor een belastingplichtige/opdrachtnemer mogelijk (het is geen verplichting) om in een voor bezwaar vatbare beschikking (de zogenoemde “Verklaring arbeidsrelatie” oftewel VAR) vooraf zek</w:t>
              </w:r>
              <w:r w:rsidRPr="00230120">
                <w:t>erheid te krijgen bij de Belastingdienst over de fiscale kwalificatie van het inkomen uit een arbeidsrelatie.</w:t>
              </w:r>
              <w:r w:rsidRPr="00230120">
                <w:rPr>
                  <w:vertAlign w:val="superscript"/>
                </w:rPr>
                <w:footnoteReference w:id="1"/>
              </w:r>
              <w:r w:rsidRPr="00230120">
                <w:t xml:space="preserve"> De van de Belastingdienst verkregen VAR-verklaring kan daartoe door de opdrachtnemer aan zijn opdrachtgever worden overhandigd. De VAR-kwalificat</w:t>
              </w:r>
              <w:r w:rsidRPr="00230120">
                <w:t>ie biedt de opdrachtgever met name duidelijkheid over de vraag of hij over de vergoeding die hij aan de opdrachtnemer verstrekt, loonbelasting/premie volksverzekeringen (hierna: loonheffing) en premies werknemersverzekeringen moet inhouden en afdragen.</w:t>
              </w:r>
              <w:r w:rsidRPr="00230120">
                <w:rPr>
                  <w:vertAlign w:val="superscript"/>
                </w:rPr>
                <w:footnoteReference w:id="2"/>
              </w:r>
              <w:r>
                <w:t xml:space="preserve"> Te</w:t>
              </w:r>
              <w:r>
                <w:t>gelijkertijd geeft de VAR-verklaring al een voorlopig oordeel over de wijze waarop de werkzaamheden voor de inkomstenbelasting moeten worden gekwalificeerd.</w:t>
              </w:r>
              <w:r w:rsidRPr="00230120">
                <w:t xml:space="preserve"> </w:t>
              </w:r>
            </w:p>
            <w:p w:rsidRPr="00230120" w:rsidR="00230120" w:rsidP="00230120" w:rsidRDefault="00A124D4">
              <w:r w:rsidRPr="00230120">
                <w:t xml:space="preserve">De VAR-verklaring kent </w:t>
              </w:r>
              <w:r>
                <w:t xml:space="preserve">thans </w:t>
              </w:r>
              <w:r w:rsidRPr="00230120">
                <w:t xml:space="preserve">vier modaliteiten, afhankelijk van de fiscale kwalificatie van de te </w:t>
              </w:r>
              <w:r w:rsidRPr="00230120">
                <w:t xml:space="preserve">verrichten arbeid: </w:t>
              </w:r>
            </w:p>
            <w:p w:rsidRPr="00230120" w:rsidR="00230120" w:rsidP="00230120" w:rsidRDefault="00A124D4">
              <w:r w:rsidRPr="00230120">
                <w:t>(1) loon uit (al dan niet fictieve) dienstbetrekking (VAR-loon);</w:t>
              </w:r>
            </w:p>
            <w:p w:rsidRPr="00230120" w:rsidR="00230120" w:rsidP="00230120" w:rsidRDefault="00A124D4">
              <w:r w:rsidRPr="00230120">
                <w:t>(2) winst uit onderneming (</w:t>
              </w:r>
              <w:r w:rsidRPr="00230120">
                <w:rPr>
                  <w:rFonts w:hint="eastAsia"/>
                </w:rPr>
                <w:t>VAR-wuo</w:t>
              </w:r>
              <w:r w:rsidRPr="00230120">
                <w:t>);</w:t>
              </w:r>
            </w:p>
            <w:p w:rsidRPr="00230120" w:rsidR="00230120" w:rsidP="00230120" w:rsidRDefault="00A124D4">
              <w:r w:rsidRPr="00230120">
                <w:t>(3) werkzaamheden voor rekening en risico van de vennootschap (VAR-dga);</w:t>
              </w:r>
            </w:p>
            <w:p w:rsidRPr="00230120" w:rsidR="00230120" w:rsidP="00230120" w:rsidRDefault="00A124D4">
              <w:r w:rsidRPr="00230120">
                <w:t>(4) resultaat uit overige werkzaamheden (</w:t>
              </w:r>
              <w:r w:rsidRPr="00230120">
                <w:rPr>
                  <w:rFonts w:hint="eastAsia"/>
                </w:rPr>
                <w:t>VAR-row</w:t>
              </w:r>
              <w:r w:rsidRPr="00230120">
                <w:t>) (</w:t>
              </w:r>
              <w:r>
                <w:t xml:space="preserve">die </w:t>
              </w:r>
              <w:r w:rsidRPr="00230120">
                <w:t xml:space="preserve">wordt </w:t>
              </w:r>
              <w:r w:rsidRPr="00230120">
                <w:t>verleend indien er geen sprake is van inkomsten uit een arbeidsrelatie als bedoeld onder 1, 2 of 3).</w:t>
              </w:r>
              <w:r w:rsidRPr="00230120">
                <w:rPr>
                  <w:rFonts w:hint="eastAsia"/>
                </w:rPr>
                <w:t xml:space="preserve"> </w:t>
              </w:r>
            </w:p>
            <w:p w:rsidRPr="00230120" w:rsidR="00230120" w:rsidP="00230120" w:rsidRDefault="00A124D4"/>
            <w:p w:rsidRPr="00230120" w:rsidR="00230120" w:rsidP="00230120" w:rsidRDefault="00A124D4">
              <w:r w:rsidRPr="00230120">
                <w:t xml:space="preserve">Bij de aanwezigheid van een VAR-wuo (2) en een VAR-dga (3) heeft de opdrachtgever de zekerheid dat hij geen loonheffing en premies werknemersverzekering </w:t>
              </w:r>
              <w:r w:rsidRPr="00230120">
                <w:t>hoeft in te houden. Bovendien is de opdrachtgever sinds 2005 gevrijwaard van de naheffing van loonbelasting/premies indien een dergelijke VAR-verklaring alsnog onjuist blijkt te zijn bij controle achteraf door de Belastingdienst.</w:t>
              </w:r>
              <w:r w:rsidRPr="00230120">
                <w:rPr>
                  <w:vertAlign w:val="superscript"/>
                </w:rPr>
                <w:footnoteReference w:id="3"/>
              </w:r>
              <w:r w:rsidRPr="00230120">
                <w:t xml:space="preserve"> De opdrachtgever – die ze</w:t>
              </w:r>
              <w:r w:rsidRPr="00230120">
                <w:t xml:space="preserve">lf niet betrokken is geweest bij de aanvraag van de VAR-verklaring door de opdrachtnemer – kan dus volledig vertrouwen op de hem door de opdrachtnemer </w:t>
              </w:r>
              <w:r>
                <w:t>over</w:t>
              </w:r>
              <w:r w:rsidRPr="00230120">
                <w:t>gelegde VAR-verklaring.</w:t>
              </w:r>
            </w:p>
            <w:p w:rsidR="00230120" w:rsidP="00230120" w:rsidRDefault="00A124D4">
              <w:r w:rsidRPr="00230120">
                <w:t>Bij een VAR-loon (1) of een VAR-row (4) is bedoelde zekerheid er niet en dien</w:t>
              </w:r>
              <w:r w:rsidRPr="00230120">
                <w:t>t de opdrachtgever zelf te toetsen of er sprake is van een (fictieve) dienstbetrekking (met inhouding van loonheffing en premies werknemersverzekeringen).</w:t>
              </w:r>
              <w:r w:rsidRPr="00230120">
                <w:rPr>
                  <w:vertAlign w:val="superscript"/>
                </w:rPr>
                <w:footnoteReference w:id="4"/>
              </w:r>
            </w:p>
            <w:p w:rsidR="001E3565" w:rsidP="00230120" w:rsidRDefault="00A124D4"/>
            <w:p w:rsidRPr="001E3565" w:rsidR="001E3565" w:rsidP="00230120" w:rsidRDefault="00A124D4">
              <w:pPr>
                <w:rPr>
                  <w:i/>
                </w:rPr>
              </w:pPr>
              <w:r>
                <w:rPr>
                  <w:i/>
                </w:rPr>
                <w:t>Voorgestelde regeling</w:t>
              </w:r>
            </w:p>
            <w:p w:rsidR="001E3565" w:rsidP="00230120" w:rsidRDefault="00A124D4">
              <w:r w:rsidRPr="001E3565">
                <w:t xml:space="preserve">De eerste maatregel die in dit wetsvoorstel </w:t>
              </w:r>
              <w:r>
                <w:t>is opgenomen</w:t>
              </w:r>
              <w:r w:rsidRPr="001E3565">
                <w:t xml:space="preserve"> richt zich op de reikwijdte van</w:t>
              </w:r>
              <w:r>
                <w:t xml:space="preserve"> de verklaringen</w:t>
              </w:r>
              <w:r w:rsidRPr="001E3565">
                <w:t xml:space="preserve">. </w:t>
              </w:r>
              <w:r>
                <w:t>De voorgestelde “Beschikking geen loonheffingen” (</w:t>
              </w:r>
              <w:r w:rsidRPr="001E3565">
                <w:t>BGL</w:t>
              </w:r>
              <w:r>
                <w:t>)</w:t>
              </w:r>
              <w:r w:rsidRPr="001E3565">
                <w:t xml:space="preserve"> beperkt zich voortaan tot een oordeel of voor de arbeidsverhouding onder de Wet op de loonbelasting 1964 (Wet LB 1964) geen inhoudingsplicht bestaat, i</w:t>
              </w:r>
              <w:r w:rsidRPr="001E3565">
                <w:t>ndien aan de daarvoor geldende voorwaarden wordt voldaan.</w:t>
              </w:r>
              <w:r>
                <w:rPr>
                  <w:rStyle w:val="Voetnootmarkering"/>
                </w:rPr>
                <w:footnoteReference w:id="5"/>
              </w:r>
              <w:r w:rsidRPr="001E3565">
                <w:t xml:space="preserve"> Tevens beperkt de Belastingdienst zich bij de aanvraag van een BGL tot toekenni</w:t>
              </w:r>
              <w:r>
                <w:t>ng of afwijzing van het verzoek, en doet zij geen uitspraak meer over de vraag of de arbeidsinkomsten voor de inkomste</w:t>
              </w:r>
              <w:r>
                <w:t xml:space="preserve">nbelasting als winst uit onderneming (zie onder 2 hiervoor), als </w:t>
              </w:r>
              <w:r w:rsidRPr="00230120">
                <w:t>werkzaamheden voor rekenin</w:t>
              </w:r>
              <w:r>
                <w:t xml:space="preserve">g en risico van de vennootschap (zie onder 3 hiervoor) of als </w:t>
              </w:r>
              <w:r w:rsidRPr="00230120">
                <w:t xml:space="preserve">resultaat uit overige werkzaamheden </w:t>
              </w:r>
              <w:r>
                <w:t>(zie onder 4 hiervoor) zouden kwalificeren.</w:t>
              </w:r>
            </w:p>
            <w:p w:rsidR="001E3565" w:rsidP="00230120" w:rsidRDefault="00A124D4"/>
            <w:p w:rsidRPr="00AF55AF" w:rsidR="00AF55AF" w:rsidP="00AF55AF" w:rsidRDefault="00A124D4">
              <w:r>
                <w:t>De tweede maatregel be</w:t>
              </w:r>
              <w:r>
                <w:t>treft</w:t>
              </w:r>
              <w:r w:rsidRPr="00AF55AF">
                <w:t xml:space="preserve"> de introductie van medeverantwoordelijkheid van de opdrachtgever voor de controle op de juistheid van de BGL</w:t>
              </w:r>
              <w:r>
                <w:t xml:space="preserve">. </w:t>
              </w:r>
              <w:r w:rsidRPr="00AF55AF">
                <w:t>De medeverantwoordelijkheid wordt zo vormgegeven dat slechts dan zekerheid met betrekking tot de loonheffingen wordt verkregen, indien naast</w:t>
              </w:r>
              <w:r w:rsidRPr="00AF55AF">
                <w:t xml:space="preserve"> het soort werkzaamheden dat wordt verricht, ook de wijze waarop en condities waaronder gewerkt wordt, overeenkomen met de wijze en condities die op de </w:t>
              </w:r>
              <w:r>
                <w:t>BGL</w:t>
              </w:r>
              <w:r w:rsidRPr="00AF55AF">
                <w:t xml:space="preserve"> staan vermeld. Deze wijze en condities hebben betrekking op hetgeen de opdrachtnemer aan de Belastin</w:t>
              </w:r>
              <w:r w:rsidRPr="00AF55AF">
                <w:t>gdienst heeft gemeld bij de aanvraag van de BGL</w:t>
              </w:r>
              <w:r>
                <w:t>. Het betreft</w:t>
              </w:r>
              <w:r w:rsidRPr="00AF55AF">
                <w:t xml:space="preserve"> alleen de wijze en condities waarop opdrachtgevers z</w:t>
              </w:r>
              <w:r>
                <w:t>é</w:t>
              </w:r>
              <w:r w:rsidRPr="00AF55AF">
                <w:t>lf beslissende invloed kunnen uitoefenen</w:t>
              </w:r>
              <w:r>
                <w:t>.</w:t>
              </w:r>
              <w:r>
                <w:rPr>
                  <w:rStyle w:val="Voetnootmarkering"/>
                </w:rPr>
                <w:footnoteReference w:id="6"/>
              </w:r>
            </w:p>
            <w:p w:rsidRPr="00AF55AF" w:rsidR="00AF55AF" w:rsidP="00AF55AF" w:rsidRDefault="00A124D4">
              <w:r>
                <w:t>Indien</w:t>
              </w:r>
              <w:r w:rsidRPr="00AF55AF">
                <w:t xml:space="preserve"> beide partijen handelen overeenkomstig hetgeen is opgenomen in de </w:t>
              </w:r>
              <w:r>
                <w:t>BGL</w:t>
              </w:r>
              <w:r w:rsidRPr="00AF55AF">
                <w:t>, zijn er voor de opdra</w:t>
              </w:r>
              <w:r w:rsidRPr="00AF55AF">
                <w:t xml:space="preserve">chtgever geen andere gevolgen in de sfeer van de loonheffingen dan uit de </w:t>
              </w:r>
              <w:r>
                <w:t>BGL</w:t>
              </w:r>
              <w:r w:rsidRPr="00AF55AF">
                <w:t xml:space="preserve"> volgt. Als gevolg van de medeverantwoordelijkheid van de opdrachtgever kan deze zich echter niet meer automatisch op de BGL beroepen</w:t>
              </w:r>
              <w:r>
                <w:t xml:space="preserve">: de thans bestaande vrijwaring vervalt zodat </w:t>
              </w:r>
              <w:r>
                <w:t>volgens de toelichting op het voorstel zogenoemde schijnzelfstandigheid</w:t>
              </w:r>
              <w:r w:rsidRPr="00230120">
                <w:rPr>
                  <w:vertAlign w:val="superscript"/>
                </w:rPr>
                <w:footnoteReference w:id="7"/>
              </w:r>
              <w:r>
                <w:t xml:space="preserve"> minder aantrekkelijk wordt. </w:t>
              </w:r>
            </w:p>
            <w:p w:rsidR="00AF55AF" w:rsidP="00AF55AF" w:rsidRDefault="00A124D4">
              <w:r w:rsidRPr="00AF55AF">
                <w:t xml:space="preserve">Ingeval de Belastingdienst bij controle </w:t>
              </w:r>
              <w:r>
                <w:t xml:space="preserve">achteraf </w:t>
              </w:r>
              <w:r w:rsidRPr="00AF55AF">
                <w:t xml:space="preserve">constateert dat de arbeidsrelatie </w:t>
              </w:r>
              <w:r>
                <w:t xml:space="preserve">toch </w:t>
              </w:r>
              <w:r w:rsidRPr="00AF55AF">
                <w:t xml:space="preserve">voldoet aan de maatstaven die leiden tot inhoudingsplicht voor de </w:t>
              </w:r>
              <w:r w:rsidRPr="00AF55AF">
                <w:t>loonbelasting</w:t>
              </w:r>
              <w:r>
                <w:t xml:space="preserve"> (en de BGL dus ten onrechte blijkt te zijn afgegeven)</w:t>
              </w:r>
              <w:r w:rsidRPr="00AF55AF">
                <w:t xml:space="preserve">, </w:t>
              </w:r>
              <w:r>
                <w:t>zal</w:t>
              </w:r>
              <w:r w:rsidRPr="00AF55AF">
                <w:t xml:space="preserve"> de Belastingdienst </w:t>
              </w:r>
              <w:r>
                <w:t xml:space="preserve">overgaan tot </w:t>
              </w:r>
              <w:r w:rsidRPr="00AF55AF">
                <w:t>het opleggen van een correctieverplichting of een naheffingsaanslag b</w:t>
              </w:r>
              <w:r>
                <w:t xml:space="preserve">ij de betreffende opdrachtgever. </w:t>
              </w:r>
              <w:r w:rsidRPr="00AF55AF">
                <w:t xml:space="preserve">De bewijslast hiervoor ligt </w:t>
              </w:r>
              <w:r>
                <w:t>b</w:t>
              </w:r>
              <w:r w:rsidRPr="00AF55AF">
                <w:t>ij de Belastingdiens</w:t>
              </w:r>
              <w:r w:rsidRPr="00AF55AF">
                <w:t>t.</w:t>
              </w:r>
            </w:p>
            <w:p w:rsidR="00F31306" w:rsidP="00AF55AF" w:rsidRDefault="00A124D4"/>
            <w:p w:rsidRPr="00AF55AF" w:rsidR="00F31306" w:rsidP="00AF55AF" w:rsidRDefault="00A124D4">
              <w:r>
                <w:t xml:space="preserve">Ten behoeve van een </w:t>
              </w:r>
              <w:r w:rsidRPr="00F31306">
                <w:t xml:space="preserve">aanvraag van de BGL </w:t>
              </w:r>
              <w:r>
                <w:t xml:space="preserve">zal </w:t>
              </w:r>
              <w:r w:rsidRPr="00F31306">
                <w:t xml:space="preserve">een webmodule operationeel zijn. Deze maakt het proces van afgifte van de </w:t>
              </w:r>
              <w:r>
                <w:t>BGL</w:t>
              </w:r>
              <w:r w:rsidRPr="00F31306">
                <w:t xml:space="preserve"> transparant. De webmodule biedt een oordeel over de inhoudingsplicht aan de hand van een serie vragen die </w:t>
              </w:r>
              <w:r>
                <w:t>is</w:t>
              </w:r>
              <w:r w:rsidRPr="00F31306">
                <w:t xml:space="preserve"> gebaseerd op </w:t>
              </w:r>
              <w:r>
                <w:t>wetgevin</w:t>
              </w:r>
              <w:r>
                <w:t xml:space="preserve">g en </w:t>
              </w:r>
              <w:r w:rsidRPr="00F31306">
                <w:t xml:space="preserve">jurisprudentie. Direct na het invullen van de vragenlijst wordt zichtbaar of de aanvraag wordt gehonoreerd. Het is vervolgens aan de opdrachtnemer om te beslissen of de BGL daadwerkelijk wordt aangevraagd. </w:t>
              </w:r>
            </w:p>
            <w:p w:rsidRPr="00230120" w:rsidR="00230120" w:rsidP="00230120" w:rsidRDefault="00A124D4"/>
            <w:p w:rsidR="00B947CF" w:rsidP="00230120" w:rsidRDefault="00A124D4">
              <w:r w:rsidRPr="00230120">
                <w:t xml:space="preserve">De Afdeling maakt de volgende opmerkingen </w:t>
              </w:r>
              <w:r w:rsidRPr="00230120">
                <w:t>over het voorstel.</w:t>
              </w:r>
            </w:p>
            <w:p w:rsidR="00230120" w:rsidP="00230120" w:rsidRDefault="00A124D4"/>
            <w:p w:rsidRPr="00230120" w:rsidR="00230120" w:rsidP="00230120" w:rsidRDefault="00A124D4">
              <w:r w:rsidRPr="00230120">
                <w:t>2.</w:t>
              </w:r>
              <w:r w:rsidRPr="00230120">
                <w:tab/>
              </w:r>
              <w:r>
                <w:rPr>
                  <w:u w:val="single"/>
                </w:rPr>
                <w:t>Nut en noodzaak</w:t>
              </w:r>
            </w:p>
            <w:p w:rsidRPr="00230120" w:rsidR="00230120" w:rsidP="00230120" w:rsidRDefault="00A124D4"/>
            <w:p w:rsidRPr="00230120" w:rsidR="00230120" w:rsidP="00230120" w:rsidRDefault="00A124D4">
              <w:r w:rsidRPr="00230120">
                <w:t>Zoals hiervoor is aange</w:t>
              </w:r>
              <w:r>
                <w:t>duid</w:t>
              </w:r>
              <w:r w:rsidRPr="00230120">
                <w:t xml:space="preserve"> introduceert het voorstel </w:t>
              </w:r>
              <w:r>
                <w:t xml:space="preserve">een </w:t>
              </w:r>
              <w:r w:rsidRPr="00230120">
                <w:t xml:space="preserve">medeverantwoordelijkheid van de opdrachtgever voor de juistheid van een BGL-verklaring en komt de vrijwaring van de opdrachtgever van de naheffing van loonbelasting/premies </w:t>
              </w:r>
              <w:r>
                <w:t xml:space="preserve">te vervallen </w:t>
              </w:r>
              <w:r>
                <w:t>mocht</w:t>
              </w:r>
              <w:r w:rsidRPr="00230120">
                <w:t xml:space="preserve"> </w:t>
              </w:r>
              <w:r w:rsidRPr="00230120">
                <w:t>een VAR-verklaring alsnog onjuist blijk</w:t>
              </w:r>
              <w:r>
                <w:t>en</w:t>
              </w:r>
              <w:r w:rsidRPr="00230120">
                <w:t xml:space="preserve"> te zijn (bij controle </w:t>
              </w:r>
              <w:r w:rsidRPr="00230120">
                <w:t>achteraf door de Belastingdienst)</w:t>
              </w:r>
              <w:r>
                <w:t>.</w:t>
              </w:r>
              <w:r w:rsidRPr="00230120">
                <w:t xml:space="preserve"> </w:t>
              </w:r>
            </w:p>
            <w:p w:rsidRPr="00230120" w:rsidR="00230120" w:rsidP="00230120" w:rsidRDefault="00A124D4"/>
            <w:p w:rsidRPr="00230120" w:rsidR="00230120" w:rsidP="00230120" w:rsidRDefault="00A124D4">
              <w:r w:rsidRPr="00230120">
                <w:t xml:space="preserve">De Afdeling </w:t>
              </w:r>
              <w:r>
                <w:t>merkt het volgende op</w:t>
              </w:r>
              <w:r w:rsidRPr="00230120">
                <w:t>.</w:t>
              </w:r>
            </w:p>
            <w:p w:rsidRPr="00230120" w:rsidR="00230120" w:rsidP="00230120" w:rsidRDefault="00A124D4"/>
            <w:p w:rsidRPr="00C24D89" w:rsidR="00230120" w:rsidP="00230120" w:rsidRDefault="00A124D4">
              <w:pPr>
                <w:rPr>
                  <w:i/>
                </w:rPr>
              </w:pPr>
              <w:r w:rsidRPr="00C24D89">
                <w:rPr>
                  <w:i/>
                </w:rPr>
                <w:t xml:space="preserve">a. </w:t>
              </w:r>
              <w:r w:rsidRPr="00C24D89">
                <w:rPr>
                  <w:i/>
                </w:rPr>
                <w:tab/>
                <w:t>Aard van het probleem</w:t>
              </w:r>
            </w:p>
            <w:p w:rsidRPr="00230120" w:rsidR="00230120" w:rsidP="00230120" w:rsidRDefault="00A124D4">
              <w:r w:rsidRPr="00230120">
                <w:t xml:space="preserve">De toelichting </w:t>
              </w:r>
              <w:r>
                <w:t>somt</w:t>
              </w:r>
              <w:r w:rsidRPr="00230120">
                <w:t xml:space="preserve"> een aantal bezwaren </w:t>
              </w:r>
              <w:r>
                <w:t>op</w:t>
              </w:r>
              <w:r w:rsidRPr="00230120">
                <w:t xml:space="preserve"> tegen de huidige VAR-regeling</w:t>
              </w:r>
              <w:r>
                <w:t>,</w:t>
              </w:r>
              <w:r w:rsidRPr="00230120">
                <w:t xml:space="preserve"> die noodzaken tot het introduceren van medeverantwoordelijkheid voor de opdrachtgev</w:t>
              </w:r>
              <w:r w:rsidRPr="00230120">
                <w:t>er. De toelichting stelt</w:t>
              </w:r>
              <w:r w:rsidRPr="00C24D89">
                <w:rPr>
                  <w:szCs w:val="22"/>
                </w:rPr>
                <w:t>: “In de huidige VAR-systematiek is het voor zowel opdrachtgevers als opdrachtnemers financieel voordelig om een arbeidsrelatie aan te gaan op basis van een VAR-wuo of VAR-dga. De opdrachtnemer zal daardoor geneigd zijn de VAR-aanvr</w:t>
              </w:r>
              <w:r w:rsidRPr="00C24D89">
                <w:rPr>
                  <w:szCs w:val="22"/>
                </w:rPr>
                <w:t>aag zodanig in te vullen dat deze leidt tot een VAR-wuo of VAR-dga, waarbij de feitelijke omstandigheden van de arbeidsrelatie geheel of gedeeltelijk worden genegeerd. Oneigenlijke constructies kunnen leiden tot concurrentieverstoring op de arbeidsmarkt en</w:t>
              </w:r>
              <w:r w:rsidRPr="00C24D89">
                <w:rPr>
                  <w:szCs w:val="22"/>
                </w:rPr>
                <w:t xml:space="preserve"> ondermijnen de solidariteitsgedachte achter het stelsel van werknemersverzekeringen. Schijnzelfstandigen (met of zonder VAR) doen bovendien ten onrechte een beroep op ondernemersfaciliteiten. Tot slot leidt de VAR-systematiek ertoe dat de effecten van han</w:t>
              </w:r>
              <w:r w:rsidRPr="00C24D89">
                <w:rPr>
                  <w:szCs w:val="22"/>
                </w:rPr>
                <w:t>dhaving uitsluitend neerslaan bij de schijnzelfstandigen en niet bij de opdrachtgevers [zij zijn immers gevrijwaard van naheffing], terwijl schijnzelfstandigheid over het algemeen het gevolg is van de wijze waarop beide partijen samen hun arbeidsverhouding</w:t>
              </w:r>
              <w:r w:rsidRPr="00C24D89">
                <w:rPr>
                  <w:szCs w:val="22"/>
                </w:rPr>
                <w:t xml:space="preserve"> vormgeven. Dan ligt het voor de hand dat beide partijen kunnen worden aangesproken op hun handelen, naar de mate waarin zij daar zelf invloed op hebben gehad.”</w:t>
              </w:r>
              <w:r w:rsidRPr="00230120">
                <w:rPr>
                  <w:vertAlign w:val="superscript"/>
                </w:rPr>
                <w:footnoteReference w:id="8"/>
              </w:r>
            </w:p>
            <w:p w:rsidRPr="00230120" w:rsidR="00230120" w:rsidP="00230120" w:rsidRDefault="00A124D4"/>
            <w:p w:rsidRPr="00230120" w:rsidR="00230120" w:rsidP="00230120" w:rsidRDefault="00A124D4">
              <w:r w:rsidRPr="00230120">
                <w:t>De Afdeling merkt op dat het eerstgenoemde bezwaar (de neiging om over een VAR-wuo of een VAR</w:t>
              </w:r>
              <w:r w:rsidRPr="00230120">
                <w:t xml:space="preserve">-dga te willen beschikken vanwege de ondernemersfaciliteiten) net zo goed geldt onder het voorgestelde regime van medeverantwoordelijkheid voor de opdrachtgever. Zolang </w:t>
              </w:r>
              <w:r>
                <w:t>de</w:t>
              </w:r>
              <w:r w:rsidRPr="00230120">
                <w:t xml:space="preserve"> aanzuigende werking van de voordelen van ondernemersfaciliteiten</w:t>
              </w:r>
              <w:r>
                <w:t xml:space="preserve"> in de inkomstenbela</w:t>
              </w:r>
              <w:r>
                <w:t>sting bestaat</w:t>
              </w:r>
              <w:r w:rsidRPr="00230120">
                <w:t xml:space="preserve">, zal een opdrachtnemer er baat bij hebben om een BGL aan te vragen en </w:t>
              </w:r>
              <w:r>
                <w:t xml:space="preserve">om </w:t>
              </w:r>
              <w:r w:rsidRPr="00230120">
                <w:t>de aanvraag BGL (al dan niet in samenspraak met de opdracht</w:t>
              </w:r>
              <w:r>
                <w:t>gever</w:t>
              </w:r>
              <w:r w:rsidRPr="00230120">
                <w:t>) zodanig in te vullen dat hij die ook verkrijgt.</w:t>
              </w:r>
              <w:r w:rsidRPr="00230120">
                <w:rPr>
                  <w:vertAlign w:val="superscript"/>
                </w:rPr>
                <w:footnoteReference w:id="9"/>
              </w:r>
              <w:r w:rsidRPr="00230120">
                <w:t xml:space="preserve"> Een dergelijk oneigenlijk gebruik is alleen te voorkom</w:t>
              </w:r>
              <w:r w:rsidRPr="00230120">
                <w:t>en door de controle – vooraf maar ook achteraf – te intensiveren. De Afdeling merkt daarover op dat die controle thans zeer beperkt is: steekproefsgewijs worden elk jaar circa 1500 ondernemers met een VAR-verklaring gecontroleerd door middel van een boeken</w:t>
              </w:r>
              <w:r w:rsidRPr="00230120">
                <w:t xml:space="preserve">onderzoek, terwijl er in 2013 ruim 504 000 VAR-verklaringen in omloop waren, waarvan circa 50% automatisch </w:t>
              </w:r>
              <w:r>
                <w:t>werden</w:t>
              </w:r>
              <w:r w:rsidRPr="00230120">
                <w:t xml:space="preserve"> gecontinueerd.</w:t>
              </w:r>
              <w:r w:rsidRPr="00230120">
                <w:rPr>
                  <w:vertAlign w:val="superscript"/>
                </w:rPr>
                <w:footnoteReference w:id="10"/>
              </w:r>
              <w:r w:rsidRPr="00230120">
                <w:t xml:space="preserve"> De toelichting spreekt zich niet uit over een intensivering van de controle maar spreekt een groot vertrouwen uit in de aangek</w:t>
              </w:r>
              <w:r w:rsidRPr="00230120">
                <w:t xml:space="preserve">ondigde webmodule (controle vooraf) (zie nader daarover onder punt 3 hierna). </w:t>
              </w:r>
            </w:p>
            <w:p w:rsidRPr="00230120" w:rsidR="00230120" w:rsidP="00230120" w:rsidRDefault="00A124D4">
              <w:r w:rsidRPr="00230120">
                <w:t xml:space="preserve"> </w:t>
              </w:r>
            </w:p>
            <w:p w:rsidRPr="00230120" w:rsidR="00230120" w:rsidP="00230120" w:rsidRDefault="00A124D4">
              <w:r w:rsidRPr="00230120">
                <w:t xml:space="preserve">Met betrekking tot het bezwaar </w:t>
              </w:r>
              <w:r>
                <w:t xml:space="preserve">van de handhaving die uitsluitend bij de aanvrager terecht komt, </w:t>
              </w:r>
              <w:r w:rsidRPr="00230120">
                <w:t xml:space="preserve">merkt de Afdeling op dat de gedachte om een opdrachtgever medeverantwoordelijk </w:t>
              </w:r>
              <w:r w:rsidRPr="00230120">
                <w:t xml:space="preserve">te maken voor de juistheid van de fiscale kwalificatie van de </w:t>
              </w:r>
              <w:r>
                <w:t>onderlinge verhouding</w:t>
              </w:r>
              <w:r w:rsidRPr="00230120">
                <w:t>, op zich een voor de hand liggende gedachte is. De opdrachtgever is immers – met de opdrachtnemer – bij uitstek degene die de inhoud van de verhouding vorm geeft en zich da</w:t>
              </w:r>
              <w:r w:rsidRPr="00230120">
                <w:t xml:space="preserve">arbij bewust is (en moet zijn) van de fiscale kwalificatie ervan. </w:t>
              </w:r>
              <w:r>
                <w:t xml:space="preserve">De toelichting stelt in dit verband </w:t>
              </w:r>
              <w:r w:rsidRPr="00230120">
                <w:t>dat het kabinet met het meer in balans brengen van de verantwoordelijkheden tussen opdrachtgevers en zzp’ers/opdrachtnemers “de te hoge druk op de handhav</w:t>
              </w:r>
              <w:r w:rsidRPr="00230120">
                <w:t>ingscapaciteit van de Belastingdienst wil verminderen”.</w:t>
              </w:r>
              <w:r>
                <w:t xml:space="preserve"> Of dat juist is, is nog maar de vraag. Vermoedelijk zal de huiver om zzp’ers in te schakelen, zoals die voor 2005 bestond, terugkeren (zie hieronder punt c)</w:t>
              </w:r>
            </w:p>
            <w:p w:rsidRPr="00230120" w:rsidR="00230120" w:rsidP="00230120" w:rsidRDefault="00A124D4"/>
            <w:p w:rsidRPr="00230120" w:rsidR="00230120" w:rsidP="00230120" w:rsidRDefault="00A124D4">
              <w:r w:rsidRPr="00230120">
                <w:t xml:space="preserve">In dit verband merkt de Afdeling </w:t>
              </w:r>
              <w:r>
                <w:t>voorts</w:t>
              </w:r>
              <w:r w:rsidRPr="00230120">
                <w:t xml:space="preserve"> op</w:t>
              </w:r>
              <w:r w:rsidRPr="00230120">
                <w:t xml:space="preserve"> dat het voorstel er (blijkens het hiervoor eerstgenoemde bezwaar tegen de huidige VAR-systematiek) mede op is gericht om oneigenlijk gebruik tegen te gaan. Niettemin heeft het wetsvoorstel volgens de toelichting geen budgettaire gevolgen. Een onderb</w:t>
              </w:r>
              <w:r>
                <w:t>ouwing</w:t>
              </w:r>
              <w:r>
                <w:t xml:space="preserve"> daarvan ontbreekt. O</w:t>
              </w:r>
              <w:r w:rsidRPr="00230120">
                <w:t xml:space="preserve">pdrachtgevers </w:t>
              </w:r>
              <w:r>
                <w:t xml:space="preserve">worden echter </w:t>
              </w:r>
              <w:r w:rsidRPr="00230120">
                <w:t xml:space="preserve">wel </w:t>
              </w:r>
              <w:r>
                <w:t xml:space="preserve">geconfronteerd met </w:t>
              </w:r>
              <w:r w:rsidRPr="00230120">
                <w:t>een behoorlijke structurele toename van de administratieve lasten.</w:t>
              </w:r>
            </w:p>
            <w:p w:rsidRPr="00230120" w:rsidR="00230120" w:rsidP="00230120" w:rsidRDefault="00A124D4"/>
            <w:p w:rsidRPr="00C24D89" w:rsidR="00230120" w:rsidP="00230120" w:rsidRDefault="00A124D4">
              <w:pPr>
                <w:rPr>
                  <w:i/>
                </w:rPr>
              </w:pPr>
              <w:r w:rsidRPr="00C24D89">
                <w:rPr>
                  <w:i/>
                </w:rPr>
                <w:t>b.</w:t>
              </w:r>
              <w:r w:rsidRPr="00C24D89">
                <w:rPr>
                  <w:i/>
                </w:rPr>
                <w:tab/>
                <w:t>Omvang van het probleem</w:t>
              </w:r>
            </w:p>
            <w:p w:rsidRPr="00230120" w:rsidR="00230120" w:rsidP="00230120" w:rsidRDefault="00A124D4">
              <w:r w:rsidRPr="00230120">
                <w:t xml:space="preserve">De Afdeling mist in de toelichting een cijfermatige onderbouwing van de omvang van het probleem. </w:t>
              </w:r>
            </w:p>
            <w:p w:rsidRPr="00230120" w:rsidR="00230120" w:rsidP="00230120" w:rsidRDefault="00A124D4">
              <w:pPr>
                <w:rPr>
                  <w:b/>
                </w:rPr>
              </w:pPr>
            </w:p>
            <w:p w:rsidRPr="00C24D89" w:rsidR="00230120" w:rsidP="00230120" w:rsidRDefault="00A124D4">
              <w:pPr>
                <w:rPr>
                  <w:b/>
                  <w:szCs w:val="22"/>
                </w:rPr>
              </w:pPr>
              <w:r w:rsidRPr="00230120">
                <w:t xml:space="preserve">In </w:t>
              </w:r>
              <w:r>
                <w:t xml:space="preserve">zijn </w:t>
              </w:r>
              <w:r w:rsidRPr="00230120">
                <w:t xml:space="preserve">advies van 25 februari 2014 merkt Actal </w:t>
              </w:r>
              <w:r>
                <w:t xml:space="preserve">over de omvang van het probleem het volgende </w:t>
              </w:r>
              <w:r w:rsidRPr="00230120">
                <w:t>op</w:t>
              </w:r>
              <w:r w:rsidRPr="00230120">
                <w:rPr>
                  <w:vertAlign w:val="superscript"/>
                </w:rPr>
                <w:footnoteReference w:id="11"/>
              </w:r>
              <w:r w:rsidRPr="00C24D89">
                <w:rPr>
                  <w:szCs w:val="22"/>
                </w:rPr>
                <w:t>: “Het blijkt in de praktijk niet goed mogelijk om een scherp</w:t>
              </w:r>
              <w:r w:rsidRPr="00C24D89">
                <w:rPr>
                  <w:szCs w:val="22"/>
                </w:rPr>
                <w:t xml:space="preserve">e scheidslijn te trekken tussen arbeidsrelaties die wel en die geen dienstbetrekking vormen. Hierdoor bestaat er een grijs gebied tussen de twee vormen van arbeidsrelaties. Als in dat grijze gebied opdrachtnemers en opdrachtgevers een overeenkomst aangaan </w:t>
              </w:r>
              <w:r w:rsidRPr="00C24D89">
                <w:rPr>
                  <w:szCs w:val="22"/>
                </w:rPr>
                <w:t>die aan de kenmerken van een dienstbetrekking voldoet, maar waarbij voor die opdrachtnemer niet de bijbehorende fiscale en sociale consequenties gelden, noemt het Kabinet dat ‘schijnzelfstandigheid’. Het is de wetgever tot nu toe niet gelukt om deze schijn</w:t>
              </w:r>
              <w:r w:rsidRPr="00C24D89">
                <w:rPr>
                  <w:szCs w:val="22"/>
                </w:rPr>
                <w:t>zelfstandigheid scherp af te bakenen en in beeld te brengen. Een onderzoek dat in opdracht van het Ministerie van Economische zaken is uitgevoerd naar schijnzelfstandigheid, concludeert: “Het op structurele basis in een schijnconstructie werkzaam zijn, kom</w:t>
              </w:r>
              <w:r w:rsidRPr="00C24D89">
                <w:rPr>
                  <w:szCs w:val="22"/>
                </w:rPr>
                <w:t>t slechts incidenteel voor in onze onderzoekspopulatie. [..] De omvang van schijnzelfstandigheid is om die reden niet nauwkeurig vast te stellen.”</w:t>
              </w:r>
              <w:r w:rsidRPr="00C24D89">
                <w:rPr>
                  <w:szCs w:val="22"/>
                  <w:vertAlign w:val="superscript"/>
                </w:rPr>
                <w:footnoteReference w:id="12"/>
              </w:r>
              <w:r w:rsidRPr="00C24D89">
                <w:rPr>
                  <w:szCs w:val="22"/>
                </w:rPr>
                <w:t xml:space="preserve"> De onderzoekers schatten deze omvang op 2% tot 14%, afhankelijk van de economische sector en van de criteria</w:t>
              </w:r>
              <w:r w:rsidRPr="00C24D89">
                <w:rPr>
                  <w:szCs w:val="22"/>
                </w:rPr>
                <w:t xml:space="preserve"> die worden gehanteerd. Daarmee blijft onduidelijk óf het probleem van de schijnzelfstandigheid zo groot is dat het een interventie door de overheid rechtvaardigt.”</w:t>
              </w:r>
              <w:r w:rsidRPr="00C24D89">
                <w:rPr>
                  <w:b/>
                  <w:szCs w:val="22"/>
                </w:rPr>
                <w:t xml:space="preserve"> </w:t>
              </w:r>
            </w:p>
            <w:p w:rsidRPr="00230120" w:rsidR="00230120" w:rsidP="00230120" w:rsidRDefault="00A124D4">
              <w:r w:rsidRPr="00230120">
                <w:t xml:space="preserve">Actal </w:t>
              </w:r>
              <w:r>
                <w:t xml:space="preserve">adviseerde </w:t>
              </w:r>
              <w:r w:rsidRPr="00230120">
                <w:t>om de medeverantwoordelijkheid voor de opdrachtgever niet in te voeren.</w:t>
              </w:r>
            </w:p>
            <w:p w:rsidRPr="00230120" w:rsidR="00230120" w:rsidP="00230120" w:rsidRDefault="00A124D4"/>
            <w:p w:rsidRPr="00230120" w:rsidR="00230120" w:rsidP="00230120" w:rsidRDefault="00A124D4">
              <w:r w:rsidRPr="00230120">
                <w:t>Over het advies van Actal heeft de Staatssecretaris van Financiën de Tweede Kamer vervolgens gemeld dat dit deel van het advies niet zal worden overgenomen en dat het advies nog van een afzonderlijke reactie zal worden voorzien.</w:t>
              </w:r>
              <w:r w:rsidRPr="00230120">
                <w:rPr>
                  <w:vertAlign w:val="superscript"/>
                </w:rPr>
                <w:footnoteReference w:id="13"/>
              </w:r>
              <w:r w:rsidRPr="00230120">
                <w:t xml:space="preserve"> Deze reactie is op het mom</w:t>
              </w:r>
              <w:r w:rsidRPr="00230120">
                <w:t>ent van het uitbrengen van onderhavig advies van de Afdeling niet bekend</w:t>
              </w:r>
              <w:r>
                <w:t>.</w:t>
              </w:r>
              <w:r w:rsidRPr="00230120">
                <w:t xml:space="preserve"> De toelichting gaat ook niet in op het advies van Actal.</w:t>
              </w:r>
            </w:p>
            <w:p w:rsidRPr="00230120" w:rsidR="00230120" w:rsidP="00230120" w:rsidRDefault="00A124D4"/>
            <w:p w:rsidR="00230120" w:rsidP="00230120" w:rsidRDefault="00A124D4">
              <w:r>
                <w:t>Specifiek wat de zorg betreft</w:t>
              </w:r>
              <w:r w:rsidRPr="00230120">
                <w:t xml:space="preserve"> wijst de Afdeling op de opmerking van de Staatssecretaris van Financiën dat met betrekking tot</w:t>
              </w:r>
              <w:r w:rsidRPr="00230120">
                <w:t xml:space="preserve"> de ongeveer 150 000 individuele zorgverleners (AWBZ-zorg in natura) 97% is verloond, zodat de problematiek van zzp’ers die al dan niet recht hebben op een VAR-wuo (in het voorstel BGL) slechts 3% bedraagt.</w:t>
              </w:r>
              <w:r w:rsidRPr="00230120">
                <w:rPr>
                  <w:vertAlign w:val="superscript"/>
                </w:rPr>
                <w:footnoteReference w:id="14"/>
              </w:r>
            </w:p>
            <w:p w:rsidR="00230120" w:rsidP="00230120" w:rsidRDefault="00A124D4"/>
            <w:p w:rsidRPr="00C24D89" w:rsidR="001C3706" w:rsidP="001C3706" w:rsidRDefault="00A124D4">
              <w:pPr>
                <w:rPr>
                  <w:i/>
                </w:rPr>
              </w:pPr>
              <w:r w:rsidRPr="00C24D89">
                <w:rPr>
                  <w:i/>
                </w:rPr>
                <w:t>c.</w:t>
              </w:r>
              <w:r w:rsidRPr="00C24D89">
                <w:rPr>
                  <w:i/>
                </w:rPr>
                <w:tab/>
                <w:t>Vervallen vrijwaring; positie zzp’ers</w:t>
              </w:r>
              <w:r w:rsidRPr="00C24D89">
                <w:rPr>
                  <w:i/>
                </w:rPr>
                <w:tab/>
              </w:r>
            </w:p>
            <w:p w:rsidR="001C3706" w:rsidP="001C3706" w:rsidRDefault="00A124D4">
              <w:r>
                <w:t>De vr</w:t>
              </w:r>
              <w:r>
                <w:t>ijwaring van de opdrachtgever is in 2005 ingevoerd omdat opdrachtgevers terughoudend waren met het inschakelen van zzp’ers vanwege de twijfel of de Belastingdienst de arbeidsrelatie ook achteraf als ondernemerschap zou aanmerken of juist niet (en in dat la</w:t>
              </w:r>
              <w:r>
                <w:t xml:space="preserve">atste geval alsnog bij die opdrachtgever loonbelasting en premies zou gaan naheffen). </w:t>
              </w:r>
            </w:p>
            <w:p w:rsidR="001C3706" w:rsidP="001C3706" w:rsidRDefault="00A124D4"/>
            <w:p w:rsidR="001C3706" w:rsidP="001C3706" w:rsidRDefault="00A124D4">
              <w:r>
                <w:t xml:space="preserve">De Afdeling merkt op dat </w:t>
              </w:r>
              <w:r>
                <w:t xml:space="preserve">thans </w:t>
              </w:r>
              <w:r>
                <w:t>met het vervallen van de vrijwaring en de introductie van de medeaansprakelijkheid van de opdrachtgever, die terughoudendheid vermoedelij</w:t>
              </w:r>
              <w:r>
                <w:t xml:space="preserve">k terugkeert. </w:t>
              </w:r>
              <w:r w:rsidRPr="00ED42F6">
                <w:t xml:space="preserve">De toelichting </w:t>
              </w:r>
              <w:r>
                <w:t>maakt niet duidelijk</w:t>
              </w:r>
              <w:r w:rsidRPr="00ED42F6">
                <w:t xml:space="preserve"> waarom de argumenten di</w:t>
              </w:r>
              <w:r>
                <w:t xml:space="preserve">e nog niet lang geleden bij de invoering van de vrijwaring golden, thans bij </w:t>
              </w:r>
              <w:r w:rsidRPr="00ED42F6">
                <w:t>het vervallen ervan niet meer gelden.</w:t>
              </w:r>
              <w:r>
                <w:t xml:space="preserve"> In de huidige arbeidsmarkt zouden de mogelijkheden voor werk door zz</w:t>
              </w:r>
              <w:r>
                <w:t>p’ers niet belemmerd moeten worden. Daarbij wijst de Afdeling voorts nog op het volgende.</w:t>
              </w:r>
            </w:p>
            <w:p w:rsidR="001C3706" w:rsidP="001C3706" w:rsidRDefault="00A124D4"/>
            <w:p w:rsidR="00620A00" w:rsidP="001C3706" w:rsidRDefault="00A124D4">
              <w:pPr>
                <w:rPr>
                  <w:i/>
                </w:rPr>
              </w:pPr>
            </w:p>
            <w:p w:rsidR="00620A00" w:rsidP="001C3706" w:rsidRDefault="00A124D4">
              <w:pPr>
                <w:rPr>
                  <w:i/>
                </w:rPr>
              </w:pPr>
            </w:p>
            <w:p w:rsidR="00620A00" w:rsidP="001C3706" w:rsidRDefault="00A124D4">
              <w:pPr>
                <w:rPr>
                  <w:i/>
                </w:rPr>
              </w:pPr>
            </w:p>
            <w:p w:rsidRPr="00C24D89" w:rsidR="001C3706" w:rsidP="001C3706" w:rsidRDefault="00A124D4">
              <w:pPr>
                <w:rPr>
                  <w:i/>
                </w:rPr>
              </w:pPr>
              <w:r w:rsidRPr="00C24D89">
                <w:rPr>
                  <w:i/>
                </w:rPr>
                <w:t>d.</w:t>
              </w:r>
              <w:r w:rsidRPr="00C24D89">
                <w:rPr>
                  <w:i/>
                </w:rPr>
                <w:tab/>
                <w:t>IBO ZZP</w:t>
              </w:r>
            </w:p>
            <w:p w:rsidR="000D151A" w:rsidP="001C3706" w:rsidRDefault="00A124D4">
              <w:r>
                <w:t>U</w:t>
              </w:r>
              <w:r w:rsidRPr="000D151A">
                <w:t xml:space="preserve">it recente gegevens van het Centraal Bureau voor de Statistiek (CBS) </w:t>
              </w:r>
              <w:r>
                <w:t xml:space="preserve">komt naar voren </w:t>
              </w:r>
              <w:r w:rsidRPr="000D151A">
                <w:t xml:space="preserve">dat het aandeel flexibele arbeidsrelaties op de arbeidsmarkt </w:t>
              </w:r>
              <w:r w:rsidRPr="000D151A">
                <w:t>toeneemt.</w:t>
              </w:r>
              <w:r w:rsidRPr="000D151A">
                <w:rPr>
                  <w:vertAlign w:val="superscript"/>
                </w:rPr>
                <w:footnoteReference w:id="15"/>
              </w:r>
              <w:r w:rsidRPr="000D151A">
                <w:t xml:space="preserve"> Vooral onder jongeren is dit het geval: sinds 2010 zijn er meer jongeren met een flexibele dan </w:t>
              </w:r>
              <w:r>
                <w:t xml:space="preserve">met </w:t>
              </w:r>
              <w:r w:rsidRPr="000D151A">
                <w:t>een vaste arbeidsrelatie. De vaste arbeidsrelatie is steeds meer een aangelegenheid van ouderen. In dit verband neemt ook, zoals ook uit de toelic</w:t>
              </w:r>
              <w:r w:rsidRPr="000D151A">
                <w:t>hting bij het voorstel naar voren komt, het aantal z</w:t>
              </w:r>
              <w:r>
                <w:t>zp’ers</w:t>
              </w:r>
              <w:r w:rsidRPr="000D151A">
                <w:t xml:space="preserve"> toe.</w:t>
              </w:r>
              <w:r w:rsidRPr="000D151A">
                <w:rPr>
                  <w:vertAlign w:val="superscript"/>
                </w:rPr>
                <w:footnoteReference w:id="16"/>
              </w:r>
              <w:r w:rsidRPr="000D151A">
                <w:t xml:space="preserve"> De verwachting is dat dit aantal in de toekomst verder zal stijgen.</w:t>
              </w:r>
              <w:r w:rsidRPr="000D151A">
                <w:rPr>
                  <w:vertAlign w:val="superscript"/>
                </w:rPr>
                <w:footnoteReference w:id="17"/>
              </w:r>
              <w:r w:rsidRPr="000D151A">
                <w:t xml:space="preserve"> Met het ontstaan van allerlei nieuwe, meer flexibele, vormen voor het verrichten van economische activiteiten is er </w:t>
              </w:r>
              <w:r w:rsidRPr="00230120">
                <w:t>–</w:t>
              </w:r>
              <w:r w:rsidRPr="000D151A">
                <w:t xml:space="preserve"> naas</w:t>
              </w:r>
              <w:r w:rsidRPr="000D151A">
                <w:t>t de traditionele arbeidsovereenkomst enerzijds (geen BGL) en het ondernemerschap anderzijds</w:t>
              </w:r>
              <w:r>
                <w:t xml:space="preserve"> </w:t>
              </w:r>
              <w:r w:rsidRPr="000D151A">
                <w:t>(BGL) – sprake van allerlei tussenvormen die steeds moeilijker zullen zijn te rangschikken voor de toepassing van de fiscale en de socialezekerheidswetgeving.</w:t>
              </w:r>
            </w:p>
            <w:p w:rsidR="000D151A" w:rsidP="001C3706" w:rsidRDefault="00A124D4"/>
            <w:p w:rsidR="00DC6CD3" w:rsidP="00DC6CD3" w:rsidRDefault="00A124D4">
              <w:r>
                <w:t xml:space="preserve">In </w:t>
              </w:r>
              <w:r>
                <w:t>dit verband wijst de Afdeling op de Taakopdracht van het Interdepartementaal Beleidsonderzoek Zelfstandigen zonder personeel (IBO ZZP), die op 21 mei 2014 aan de Tweede Kamer is aangeboden.</w:t>
              </w:r>
              <w:r>
                <w:rPr>
                  <w:rStyle w:val="Voetnootmarkering"/>
                </w:rPr>
                <w:footnoteReference w:id="18"/>
              </w:r>
              <w:r>
                <w:t xml:space="preserve"> Daarin wordt aangegeven dat de groei van het aantal zzp’ers “noop</w:t>
              </w:r>
              <w:r>
                <w:t xml:space="preserve">t tot nadenken over de vormgeving van voorzieningen </w:t>
              </w:r>
              <w:r w:rsidRPr="00DC6CD3">
                <w:t>en verzekeringen, de regels op de arbeidsmarkt, de fiscale wetgeving omtrent werkenden, de belemmeringen tot in dienst nemen van personeel en de (huishouden)inkomens- en vermogensposities van de zzp-popul</w:t>
              </w:r>
              <w:r w:rsidRPr="00DC6CD3">
                <w:t>atie</w:t>
              </w:r>
              <w:r>
                <w:t>”. Opdracht van de werkgroep is onder meer “het a</w:t>
              </w:r>
              <w:r w:rsidRPr="00D63B3B">
                <w:t>nalyseren van de oorzaken en motieven achter het toenemend aantal zzp’ers, waarbij in ieder geval de samenhang met werkgeverslasten, arbeidsrecht, fiscale (ondernemers)faci</w:t>
              </w:r>
              <w:r>
                <w:t>liteiten, sociale zekerheidswet</w:t>
              </w:r>
              <w:r w:rsidRPr="00D63B3B">
                <w:t>geving en premie- en lastendruk wordt bezien</w:t>
              </w:r>
              <w:r>
                <w:t>” en “het f</w:t>
              </w:r>
              <w:r w:rsidRPr="00DC6CD3">
                <w:t>ormuleren van beleidsvarianten om de effectiviteit en efficiëntie van het instrumentarium rondom zzp’ers te verhogen, de houdbaarheid van het sociale zekerheidsstelsel en d</w:t>
              </w:r>
              <w:r>
                <w:t>e overheidsfinanciën te garan</w:t>
              </w:r>
              <w:r>
                <w:t>de</w:t>
              </w:r>
              <w:r w:rsidRPr="00DC6CD3">
                <w:t xml:space="preserve">ren, waarbij zowel oog is voor de baten als de </w:t>
              </w:r>
              <w:r>
                <w:t>kosten van de instru</w:t>
              </w:r>
              <w:r w:rsidRPr="00DC6CD3">
                <w:t>menten en het gelijke speelveld tussen zzp’ers, zelfstandigen met personeel en werknemers in ogenschouw wordt genomen</w:t>
              </w:r>
              <w:r>
                <w:t xml:space="preserve">”. Het </w:t>
              </w:r>
              <w:r w:rsidRPr="00DC6CD3">
                <w:t xml:space="preserve">IBO streeft ernaar </w:t>
              </w:r>
              <w:r>
                <w:t>“</w:t>
              </w:r>
              <w:r w:rsidRPr="00DC6CD3">
                <w:t>om een dergelijke analyse, inventarisatie e</w:t>
              </w:r>
              <w:r w:rsidRPr="00DC6CD3">
                <w:t>n beleidsopties beschikbaar te maken voor publieke discussie over de inkomens- en vermogensposities van zzp</w:t>
              </w:r>
              <w:r>
                <w:t>’ers, hun positie op de arbeids</w:t>
              </w:r>
              <w:r w:rsidRPr="00DC6CD3">
                <w:t>markt, de voor- en nadelen van hun fiscale behandeling, de verhouding tot andere groepen werkenden en de aansluiting v</w:t>
              </w:r>
              <w:r w:rsidRPr="00DC6CD3">
                <w:t>an het stelsel van sociale voorzieningen en verzekeringen</w:t>
              </w:r>
              <w:r>
                <w:t xml:space="preserve">”. Volgens de taakopdracht gaat de werkgroep in mei 2014 van start en zal zij uiterlijk 1 december 2014 het eindrapport afronden. </w:t>
              </w:r>
            </w:p>
            <w:p w:rsidR="00D66242" w:rsidP="00DC6CD3" w:rsidRDefault="00A124D4"/>
            <w:p w:rsidR="00D66242" w:rsidP="00DC6CD3" w:rsidRDefault="00A124D4">
              <w:r>
                <w:t>De Afdeling merkt op dat onderhavig voorstel vooruitloopt op de doo</w:t>
              </w:r>
              <w:r>
                <w:t xml:space="preserve">r de werkgroep op te stellen beleidsopties en dat het meer in de rede ligt eerst die opties af te wachten alvorens tot maatregelen over te gaan. In die zin acht zij onderhavig voorstel prematuur. </w:t>
              </w:r>
            </w:p>
            <w:p w:rsidR="001C3706" w:rsidP="00D66242" w:rsidRDefault="00A124D4"/>
            <w:p w:rsidRPr="00C24D89" w:rsidR="001C3706" w:rsidP="001C3706" w:rsidRDefault="00A124D4">
              <w:pPr>
                <w:rPr>
                  <w:i/>
                </w:rPr>
              </w:pPr>
              <w:r w:rsidRPr="00C24D89">
                <w:rPr>
                  <w:i/>
                </w:rPr>
                <w:t>e.</w:t>
              </w:r>
              <w:r w:rsidRPr="00C24D89">
                <w:rPr>
                  <w:i/>
                </w:rPr>
                <w:tab/>
                <w:t>Conclusie</w:t>
              </w:r>
            </w:p>
            <w:p w:rsidRPr="00C6242C" w:rsidR="00C6242C" w:rsidP="001C3706" w:rsidRDefault="00A124D4">
              <w:r>
                <w:t>De Afdeling concludeert dat onduidelijk is we</w:t>
              </w:r>
              <w:r>
                <w:t>lk probleem dit voorstel beoogt op te lossen. Reden daarvoor is dat schijnzelfstandigheid met het oogmerk ondernemersfaciliteiten deelachtig te worden door dit voorstel niet adequaat wordt bestreden. De aanzuigende werking van de voordelen van ondernemersf</w:t>
              </w:r>
              <w:r>
                <w:t>aciliteiten blijft. De omvang van het probleem is evenmin duidelijk. Deze zou best eens veel kleiner kunnen zijn dan gedacht. Voorts gelden de argumenten van niet zo lang geleden om de opdrachtgever te vrijwaren van loonheffing, namelijk om werk voor zzp’e</w:t>
              </w:r>
              <w:r>
                <w:t>rs te bevorderen, in de huidige moeilijke arbeidsmarkt eens te meer. Ten slotte komt in een thans lopend IBO onder meer de fiscale positie van werkenden op de arbeidsmarkt, waaronder zzp‘ers, integraal aan de orde. In dat licht is het voorstel prematuur. G</w:t>
              </w:r>
              <w:r>
                <w:t>elet op al het voorgaande adviseert de Afdeling het voorstel nader te bezien.</w:t>
              </w:r>
            </w:p>
            <w:p w:rsidR="001C3706" w:rsidP="001C3706" w:rsidRDefault="00A124D4"/>
            <w:p w:rsidR="001C3706" w:rsidP="001C3706" w:rsidRDefault="00A124D4">
              <w:r>
                <w:t>3.</w:t>
              </w:r>
              <w:r>
                <w:tab/>
              </w:r>
              <w:r>
                <w:rPr>
                  <w:u w:val="single"/>
                </w:rPr>
                <w:t>Webmodule</w:t>
              </w:r>
            </w:p>
            <w:p w:rsidR="003F63E7" w:rsidP="00183521" w:rsidRDefault="00A124D4">
              <w:pPr>
                <w:rPr>
                  <w:i/>
                </w:rPr>
              </w:pPr>
            </w:p>
            <w:p w:rsidR="00C84F96" w:rsidP="00183521" w:rsidRDefault="00A124D4">
              <w:r>
                <w:t>Volgens een brief aan de Tweede Kamer van 17 september 2012 waarin de webmodule ter vervanging van de bestaande VAR-procedure al wordt aangekondigd, kunnen partije</w:t>
              </w:r>
              <w:r>
                <w:t>n zelf de beoordeling van de arbeidsrelatie toetsen en biedt de module daarmee transparantie en “zekerheid over de uitleg van de Belastingdienst van de jurisprudentie over de kwalificatie van de arbeidsrelatie”.</w:t>
              </w:r>
              <w:r>
                <w:rPr>
                  <w:rStyle w:val="Voetnootmarkering"/>
                </w:rPr>
                <w:footnoteReference w:id="19"/>
              </w:r>
              <w:r>
                <w:t xml:space="preserve"> Ook de toelichting op het voorstel gaat uit van het verkrijgen van rechtszekerheid die “essentieel wordt geacht en daarmee ook de basis blijft van de nieuwe systematiek”.</w:t>
              </w:r>
              <w:r>
                <w:rPr>
                  <w:rStyle w:val="Voetnootmarkering"/>
                </w:rPr>
                <w:footnoteReference w:id="20"/>
              </w:r>
              <w:r>
                <w:t xml:space="preserve"> “</w:t>
              </w:r>
              <w:r w:rsidRPr="00C84F96">
                <w:t>Als beide partijen handelen overeenkomstig hetgeen is opgenomen in de beschikking,</w:t>
              </w:r>
              <w:r w:rsidRPr="00C84F96">
                <w:t xml:space="preserve"> zijn er voor de opdrachtgever geen andere gevolgen in de sfeer van de loonheffingen dan uit de beschikking volgt. Hiermee blijft het voor bonafide opdrachtgevers mogelijk om de voor hen wenselijke rechtszekerheid te behouden, zodat geen risico op correcti</w:t>
              </w:r>
              <w:r w:rsidRPr="00C84F96">
                <w:t xml:space="preserve">es en eventuele </w:t>
              </w:r>
              <w:r>
                <w:t>naheffingen wordt gelopen”, aldus de toelichting.</w:t>
              </w:r>
            </w:p>
            <w:p w:rsidR="00C84F96" w:rsidP="00183521" w:rsidRDefault="00A124D4"/>
            <w:p w:rsidR="00361BE2" w:rsidP="00183521" w:rsidRDefault="00A124D4">
              <w:r>
                <w:t xml:space="preserve">De Afdeling merkt op dat een goede </w:t>
              </w:r>
              <w:r w:rsidRPr="00183521">
                <w:t xml:space="preserve">uitvoering </w:t>
              </w:r>
              <w:r>
                <w:t xml:space="preserve">en </w:t>
              </w:r>
              <w:r w:rsidRPr="00183521">
                <w:t xml:space="preserve">toepassing </w:t>
              </w:r>
              <w:r>
                <w:t xml:space="preserve">van de BGL alsmede </w:t>
              </w:r>
              <w:r w:rsidRPr="00183521">
                <w:t>zekerheid vooraf</w:t>
              </w:r>
              <w:r>
                <w:t>,</w:t>
              </w:r>
              <w:r w:rsidRPr="00183521">
                <w:t xml:space="preserve"> staat en valt </w:t>
              </w:r>
              <w:r>
                <w:t>met het adequaat functioneren</w:t>
              </w:r>
              <w:r w:rsidRPr="00183521">
                <w:t xml:space="preserve"> van de webmodule.</w:t>
              </w:r>
              <w:r>
                <w:t xml:space="preserve"> T</w:t>
              </w:r>
              <w:r w:rsidRPr="00183521">
                <w:t xml:space="preserve">wijfels over de vraag hoe de </w:t>
              </w:r>
              <w:r w:rsidRPr="00183521">
                <w:t xml:space="preserve">Belastingdienst bij controle achteraf de arbeidsrelatie beoordeelt (dienstbetrekking of niet) </w:t>
              </w:r>
              <w:r>
                <w:t xml:space="preserve">zullen </w:t>
              </w:r>
              <w:r w:rsidRPr="00183521">
                <w:t>er alleen dan niet zijn indien tevoren vaststaat dat in de arbeidsrelatie geen loonheffing aan de orde is (en dus terecht een BGL-verklaring wordt verkrege</w:t>
              </w:r>
              <w:r w:rsidRPr="00183521">
                <w:t>n) of dat er juist wél loonheffing aan de orde is (en er dus terecht geen BGL-verklaring wordt verkregen).</w:t>
              </w:r>
            </w:p>
            <w:p w:rsidR="00361BE2" w:rsidP="00183521" w:rsidRDefault="00A124D4"/>
            <w:p w:rsidR="00C84F96" w:rsidP="00183521" w:rsidRDefault="00A124D4">
              <w:r>
                <w:t>Uit de geciteerde passages komt naar voren dat het vertrouwen in de uitkomst van de webmodule groot is. De Afdeling betwijfelt of en zo ja in hoever</w:t>
              </w:r>
              <w:r>
                <w:t>re zekerheid vooraf altijd is te realiseren met de webmodule. Zij wijst bij wijze van voorbeeld op de hiervoor genoemde brief van 17 september 2012 waaruit blijkt dat de grens tussen zelfstandige arbeid en werknemerschap soms diffuus kan zijn en dat een af</w:t>
              </w:r>
              <w:r>
                <w:t>weging van feiten en omstandigheden in het individuele geval daarom doorslaggevend is. Niet duidelijk is of en in hoeverre de webmodule invulling zal geven aan die casuïstiek van het individuele geval. De toelichting op het voorstel suggereert dat het de b</w:t>
              </w:r>
              <w:r>
                <w:t>edoeling van de webmodule is om daarin meer algemene vragen op te nemen.</w:t>
              </w:r>
              <w:r>
                <w:rPr>
                  <w:rStyle w:val="Voetnootmarkering"/>
                </w:rPr>
                <w:footnoteReference w:id="21"/>
              </w:r>
              <w:r>
                <w:t xml:space="preserve"> Daarmee kan betwijfeld worden of zekerheid vooraf altijd te realiseren valt. </w:t>
              </w:r>
            </w:p>
            <w:p w:rsidR="00183521" w:rsidP="00183521" w:rsidRDefault="00A124D4">
              <w:r>
                <w:t xml:space="preserve">Het is de wetgever </w:t>
              </w:r>
              <w:r w:rsidRPr="00230120">
                <w:t>tot nu toe niet</w:t>
              </w:r>
              <w:r>
                <w:t xml:space="preserve"> </w:t>
              </w:r>
              <w:r w:rsidRPr="00230120">
                <w:t xml:space="preserve">gelukt om </w:t>
              </w:r>
              <w:r>
                <w:t xml:space="preserve">in het grijze gebied van overeenkomsten die </w:t>
              </w:r>
              <w:r w:rsidRPr="00230120">
                <w:t xml:space="preserve">opdrachtnemers </w:t>
              </w:r>
              <w:r w:rsidRPr="00230120">
                <w:t>en opdrachtgevers</w:t>
              </w:r>
              <w:r>
                <w:t xml:space="preserve"> aangaan, een </w:t>
              </w:r>
              <w:r w:rsidRPr="00230120">
                <w:t>scherp</w:t>
              </w:r>
              <w:r>
                <w:t>e</w:t>
              </w:r>
              <w:r w:rsidRPr="00230120">
                <w:t xml:space="preserve"> af</w:t>
              </w:r>
              <w:r>
                <w:t xml:space="preserve">bakening </w:t>
              </w:r>
              <w:r w:rsidRPr="00230120">
                <w:t>in beeld te brengen</w:t>
              </w:r>
              <w:r>
                <w:t>.</w:t>
              </w:r>
              <w:r>
                <w:rPr>
                  <w:rStyle w:val="Voetnootmarkering"/>
                </w:rPr>
                <w:footnoteReference w:id="22"/>
              </w:r>
              <w:r>
                <w:t xml:space="preserve"> Het betreft hier een grijs gebied dat, gelet op de arbeidsmarktontwikkelingen zoals die hiervoor onder 2d zijn geduid, voortdurend in beweging is.</w:t>
              </w:r>
            </w:p>
            <w:p w:rsidR="00361BE2" w:rsidP="00183521" w:rsidRDefault="00A124D4"/>
            <w:p w:rsidRPr="00183521" w:rsidR="00361BE2" w:rsidP="00183521" w:rsidRDefault="00A124D4">
              <w:r>
                <w:t>De Afdeling adviseert in de toelicht</w:t>
              </w:r>
              <w:r>
                <w:t>ing op het vorenstaande in te gaan.</w:t>
              </w:r>
            </w:p>
            <w:p w:rsidRPr="00183521" w:rsidR="00183521" w:rsidP="00183521" w:rsidRDefault="00A124D4"/>
            <w:p w:rsidRPr="00183521" w:rsidR="00183521" w:rsidP="00183521" w:rsidRDefault="00A124D4">
              <w:r w:rsidRPr="00183521">
                <w:t>4.</w:t>
              </w:r>
              <w:r w:rsidRPr="00183521">
                <w:tab/>
              </w:r>
              <w:r w:rsidRPr="00183521">
                <w:rPr>
                  <w:u w:val="single"/>
                </w:rPr>
                <w:t>Overgangsrecht</w:t>
              </w:r>
              <w:r w:rsidRPr="00183521">
                <w:t xml:space="preserve"> </w:t>
              </w:r>
            </w:p>
            <w:p w:rsidRPr="00183521" w:rsidR="00183521" w:rsidP="00183521" w:rsidRDefault="00A124D4"/>
            <w:p w:rsidR="00703B84" w:rsidP="00891BB0" w:rsidRDefault="00A124D4">
              <w:r w:rsidRPr="00274F7E">
                <w:t xml:space="preserve">Volgens de toelichting is het de bedoeling </w:t>
              </w:r>
              <w:r>
                <w:t>dat de BGL al wordt afgegeven voorafgaand aan het kalenderjaar waarop deze betrekking heeft.</w:t>
              </w:r>
              <w:r>
                <w:rPr>
                  <w:rStyle w:val="Voetnootmarkering"/>
                </w:rPr>
                <w:footnoteReference w:id="23"/>
              </w:r>
              <w:r>
                <w:t xml:space="preserve"> Terecht geeft de toelichting daarbij aan dat afgifte niet kan plaatsvinden voordat het artikel dat deze afgifte regelt, in werking is getreden.</w:t>
              </w:r>
              <w:r>
                <w:rPr>
                  <w:rStyle w:val="Voetnootmarkering"/>
                </w:rPr>
                <w:footnoteReference w:id="24"/>
              </w:r>
              <w:r w:rsidRPr="00C24D89">
                <w:t xml:space="preserve"> </w:t>
              </w:r>
            </w:p>
            <w:p w:rsidR="00703B84" w:rsidP="00891BB0" w:rsidRDefault="00A124D4"/>
            <w:p w:rsidR="00703B84" w:rsidP="00891BB0" w:rsidRDefault="00A124D4">
              <w:r>
                <w:t>De Afdeling merkt op dat artikel VII en artikel IX, tweede lid, het vorenstaande in het voorstel echter zoda</w:t>
              </w:r>
              <w:r>
                <w:t>nig beogen te regelen dat een BGL kan worden afgegeven op basis van een artikel dat nog niet in werking is getreden.</w:t>
              </w:r>
              <w:r>
                <w:rPr>
                  <w:rStyle w:val="Voetnootmarkering"/>
                </w:rPr>
                <w:footnoteReference w:id="25"/>
              </w:r>
              <w:r>
                <w:t xml:space="preserve"> Naar het de Afdeling voorkomt is dit te voorkomen door het artikellid (artikel 8b, derde lid, van de Wet LB 1964) dat voorziet in afgifte </w:t>
              </w:r>
              <w:r>
                <w:t>van de BGL met terugwerkende kracht in werking te laten treden. Dan kan in een periode voorafgaande aan de inwerkingtreding van de wet een BGL worden afgegeven die zijn gevolgen heeft vanaf de inwerkingtreding van de wet.</w:t>
              </w:r>
            </w:p>
            <w:p w:rsidR="00703B84" w:rsidP="00891BB0" w:rsidRDefault="00A124D4"/>
            <w:p w:rsidR="00891BB0" w:rsidP="00891BB0" w:rsidRDefault="00A124D4">
              <w:r>
                <w:t>De Afdeling adviseert het voorste</w:t>
              </w:r>
              <w:r>
                <w:t>l 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Content>
            <w:p w:rsidR="00A034FA" w:rsidP="00891BB0" w:rsidRDefault="00A124D4"/>
            <w:p w:rsidR="007212F1" w:rsidP="00891BB0" w:rsidRDefault="00A124D4">
              <w:r>
                <w:t>5.</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Content>
            <w:p w:rsidR="00176FB8" w:rsidRDefault="00A124D4">
              <w:r>
                <w:t>De Afdeling advisering van de Raad van State geeft U in overweging het voorstel van wet niet te zenden aan de Tweede Kamer der Staten-Generaal dan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placeholder>
                <w:docPart w:val="3CE88AE5A3AB4308BA7DCA8058A38D15"/>
              </w:placeholder>
              <w:text/>
            </w:sdtPr>
            <w:sdtContent/>
          </w:sdt>
          <w:r w:rsidRPr="00831363">
            <w:t>betreffende no.</w:t>
          </w:r>
          <w:sdt>
            <w:sdtPr>
              <w:alias w:val="ZaakNummer"/>
              <w:tag w:val="ZaakNummer"/>
              <w:id w:val="809745491"/>
              <w:lock w:val="sdtContentLocked"/>
              <w:placeholder>
                <w:docPart w:val="D10883FDE47A4B5184FB25F7A2C50263"/>
              </w:placeholder>
              <w:text/>
            </w:sdtPr>
            <w:sdtContent>
              <w:r>
                <w:t>W06.14.0184</w:t>
              </w:r>
            </w:sdtContent>
          </w:sdt>
          <w:r w:rsidRPr="00831363">
            <w:t>/</w:t>
          </w:r>
          <w:sdt>
            <w:sdtPr>
              <w:alias w:val="Sectie"/>
              <w:tag w:val="Sectie"/>
              <w:id w:val="743463611"/>
              <w:lock w:val="sdtContentLocked"/>
              <w:placeholder>
                <w:docPart w:val="D10883FDE47A4B5184FB25F7A2C50263"/>
              </w:placeholder>
              <w:text/>
            </w:sdtPr>
            <w:sdtContent>
              <w:r>
                <w:t>III</w:t>
              </w:r>
            </w:sdtContent>
          </w:sdt>
        </w:p>
        <w:p w:rsidRPr="00831363" w:rsidR="001410FD" w:rsidRDefault="001410FD"/>
        <w:sdt>
          <w:sdtPr>
            <w:alias w:val="VrijeTekst3"/>
            <w:tag w:val="VrijeTekst3"/>
            <w:id w:val="2141764690"/>
            <w:lock w:val="sdtLocked"/>
          </w:sdtPr>
          <w:sdtContent>
            <w:p w:rsidRPr="00EA6980" w:rsidR="00EA6980" w:rsidP="00EA6980" w:rsidRDefault="00A124D4">
              <w:pPr>
                <w:numPr>
                  <w:ilvl w:val="0"/>
                  <w:numId w:val="1"/>
                </w:numPr>
              </w:pPr>
              <w:r w:rsidRPr="00EA6980">
                <w:t xml:space="preserve">In de voorgestelde artikelen 5a, eerste lid, onderdeel a, en 8b, vierde lid, </w:t>
              </w:r>
              <w:r w:rsidRPr="00EA6980">
                <w:t>van de Wet LB 1964 (artikel II, onderdeel A respectievelijk onderdeel C),</w:t>
              </w:r>
              <w:r>
                <w:t xml:space="preserve"> </w:t>
              </w:r>
              <w:r w:rsidRPr="00EA6980">
                <w:t xml:space="preserve">en in </w:t>
              </w:r>
              <w:r>
                <w:t>het voorgestelde VII,</w:t>
              </w:r>
              <w:r w:rsidRPr="00EA6980">
                <w:t xml:space="preserve"> de verwijzing naar (</w:t>
              </w:r>
              <w:r>
                <w:t>een</w:t>
              </w:r>
              <w:r w:rsidRPr="00EA6980">
                <w:t xml:space="preserve"> beschikking als bedoeld in) het eerste lid van artikel 8b van de Wet LB 1964 wijzigen in een verwijzing naar (</w:t>
              </w:r>
              <w:r>
                <w:t>een</w:t>
              </w:r>
              <w:r w:rsidRPr="00EA6980">
                <w:t xml:space="preserve"> beschikking als </w:t>
              </w:r>
              <w:r w:rsidRPr="00EA6980">
                <w:t xml:space="preserve">bedoeld in) het derde lid van dat artikel, in lijn ook met de </w:t>
              </w:r>
              <w:r>
                <w:t xml:space="preserve">op dit punt voorgestelde </w:t>
              </w:r>
              <w:r w:rsidRPr="00EA6980">
                <w:t>verwijzing in artikel 8b, eerste lid</w:t>
              </w:r>
              <w:r>
                <w:t>,</w:t>
              </w:r>
              <w:r w:rsidRPr="00EA6980">
                <w:t xml:space="preserve"> naar het derde lid van </w:t>
              </w:r>
              <w:r>
                <w:t xml:space="preserve">dat </w:t>
              </w:r>
              <w:r w:rsidRPr="00EA6980">
                <w:t>artikel.</w:t>
              </w:r>
            </w:p>
            <w:p w:rsidR="00EA6980" w:rsidP="00EA6980" w:rsidRDefault="00A124D4">
              <w:pPr>
                <w:numPr>
                  <w:ilvl w:val="0"/>
                  <w:numId w:val="1"/>
                </w:numPr>
              </w:pPr>
              <w:r w:rsidRPr="00EA6980">
                <w:t xml:space="preserve">In het voorgestelde artikel 8b, eerste lid, onderdeel b, en tweede lid, van de Wet LB 1964 </w:t>
              </w:r>
              <w:r>
                <w:t>(art</w:t>
              </w:r>
              <w:r>
                <w:t xml:space="preserve">ikel II, onderdeel C), </w:t>
              </w:r>
              <w:r w:rsidRPr="00EA6980">
                <w:t>“de werkzaamheden vallen” wijzigen in “de werkzaamheden worden verricht”, in lijn met de formulering in onder meer de onderdelen a en c (</w:t>
              </w:r>
              <w:r>
                <w:t>aanhef) van genoemd eerste lid.</w:t>
              </w:r>
            </w:p>
            <w:p w:rsidR="00EA6980" w:rsidP="00EA6980" w:rsidRDefault="00A124D4">
              <w:pPr>
                <w:numPr>
                  <w:ilvl w:val="0"/>
                  <w:numId w:val="1"/>
                </w:numPr>
              </w:pPr>
              <w:r>
                <w:t xml:space="preserve">Deel I (Algemeen) van de toelichting voorzien van een indeling </w:t>
              </w:r>
              <w:r>
                <w:t>in paragrafen.</w:t>
              </w:r>
            </w:p>
          </w:sdtContent>
        </w:sdt>
        <w:p w:rsidR="00C50D4F" w:rsidP="005841EA" w:rsidRDefault="00176FB8">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4D4" w:rsidRDefault="00A124D4" w:rsidP="001410FD">
      <w:r>
        <w:separator/>
      </w:r>
    </w:p>
  </w:endnote>
  <w:endnote w:type="continuationSeparator" w:id="0">
    <w:p w:rsidR="00A124D4" w:rsidRDefault="00A124D4" w:rsidP="0014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7C1C" w:rsidRDefault="00176FB8">
    <w:pPr>
      <w:pStyle w:val="Voettekst"/>
    </w:pPr>
    <w:r>
      <w:rPr>
        <w:noProof/>
        <w:lang w:val="nl-NL" w:eastAsia="nl-NL"/>
      </w:rPr>
      <w:pict>
        <v:shapetype id="_x0000_t202" coordsize="21600,21600" o:spt="202" path="m,l,21600r21600,l21600,xe">
          <v:stroke joinstyle="miter"/>
          <v:path gradientshapeok="t" o:connecttype="rect"/>
        </v:shapetype>
        <v:shape id="Text Box 5" o:spid="_x0000_s2049"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4D4" w:rsidRDefault="00A124D4" w:rsidP="001410FD">
      <w:r>
        <w:separator/>
      </w:r>
    </w:p>
  </w:footnote>
  <w:footnote w:type="continuationSeparator" w:id="0">
    <w:p w:rsidR="00A124D4" w:rsidRDefault="00A124D4" w:rsidP="001410FD">
      <w:r>
        <w:continuationSeparator/>
      </w:r>
    </w:p>
  </w:footnote>
  <w:footnote w:id="1">
    <w:p w:rsidR="00230120" w:rsidRDefault="00A124D4" w:rsidP="00230120">
      <w:pPr>
        <w:pStyle w:val="Voetnoottekst"/>
      </w:pPr>
      <w:r>
        <w:rPr>
          <w:rStyle w:val="Voetnootmarkering"/>
        </w:rPr>
        <w:footnoteRef/>
      </w:r>
      <w:r>
        <w:tab/>
        <w:t>Artikelen 3.156 en 3.157 van de Wet IB 2001.</w:t>
      </w:r>
    </w:p>
  </w:footnote>
  <w:footnote w:id="2">
    <w:p w:rsidR="00C24D89" w:rsidRDefault="00A124D4" w:rsidP="00C24D89">
      <w:pPr>
        <w:pStyle w:val="Voetnoottekst"/>
      </w:pPr>
      <w:r>
        <w:rPr>
          <w:rStyle w:val="Voetnootmarkering"/>
        </w:rPr>
        <w:footnoteRef/>
      </w:r>
      <w:r>
        <w:tab/>
      </w:r>
      <w:r w:rsidRPr="00FD763F">
        <w:t xml:space="preserve">Voor de premieheffing werknemersverzekeringen is in de </w:t>
      </w:r>
      <w:r>
        <w:t>desbetreffende wetten</w:t>
      </w:r>
      <w:r w:rsidRPr="00FD763F">
        <w:rPr>
          <w:vanish/>
        </w:rPr>
        <w:t>artikelen 4</w:t>
      </w:r>
      <w:r>
        <w:t xml:space="preserve"> </w:t>
      </w:r>
      <w:r w:rsidRPr="00FD763F">
        <w:t xml:space="preserve">een koppeling </w:t>
      </w:r>
      <w:r>
        <w:tab/>
        <w:t>m</w:t>
      </w:r>
      <w:r w:rsidRPr="00FD763F">
        <w:t>et de VAR gemaakt.</w:t>
      </w:r>
    </w:p>
  </w:footnote>
  <w:footnote w:id="3">
    <w:p w:rsidR="00C24D89" w:rsidRDefault="00A124D4" w:rsidP="00C24D89">
      <w:pPr>
        <w:pStyle w:val="Voetnoottekst"/>
      </w:pPr>
      <w:r>
        <w:rPr>
          <w:rStyle w:val="Voetnootmarkering"/>
        </w:rPr>
        <w:footnoteRef/>
      </w:r>
      <w:r>
        <w:tab/>
        <w:t>Wet uitbreiding rechtsgevolgen VAR.</w:t>
      </w:r>
    </w:p>
  </w:footnote>
  <w:footnote w:id="4">
    <w:p w:rsidR="00230120" w:rsidRDefault="00A124D4" w:rsidP="00230120">
      <w:pPr>
        <w:pStyle w:val="Voetnoottekst"/>
      </w:pPr>
      <w:r>
        <w:rPr>
          <w:rStyle w:val="Voetnootmarkering"/>
        </w:rPr>
        <w:footnoteRef/>
      </w:r>
      <w:r>
        <w:tab/>
        <w:t>www.bela</w:t>
      </w:r>
      <w:r>
        <w:t>stingdienst.nl.</w:t>
      </w:r>
    </w:p>
  </w:footnote>
  <w:footnote w:id="5">
    <w:p w:rsidR="00C24D89" w:rsidRDefault="00A124D4" w:rsidP="00C24D89">
      <w:pPr>
        <w:pStyle w:val="Voetnoottekst"/>
      </w:pPr>
      <w:r>
        <w:rPr>
          <w:rStyle w:val="Voetnootmarkering"/>
        </w:rPr>
        <w:footnoteRef/>
      </w:r>
      <w:r>
        <w:tab/>
        <w:t>H</w:t>
      </w:r>
      <w:r w:rsidRPr="001E3565">
        <w:t xml:space="preserve">etgeen ook doorwerkt in de inhoudingsplicht voor de premie volksverzekeringen en de </w:t>
      </w:r>
      <w:r>
        <w:tab/>
      </w:r>
      <w:r w:rsidRPr="001E3565">
        <w:t>verschuldigdheid van premies werknemersverzekeringen en inkomensafhankelijke bijdrage Zvw</w:t>
      </w:r>
      <w:r>
        <w:t>.</w:t>
      </w:r>
    </w:p>
  </w:footnote>
  <w:footnote w:id="6">
    <w:p w:rsidR="00F31306" w:rsidRDefault="00A124D4">
      <w:pPr>
        <w:pStyle w:val="Voetnoottekst"/>
      </w:pPr>
      <w:r>
        <w:rPr>
          <w:rStyle w:val="Voetnootmarkering"/>
        </w:rPr>
        <w:footnoteRef/>
      </w:r>
      <w:r>
        <w:tab/>
        <w:t>Z</w:t>
      </w:r>
      <w:r w:rsidRPr="00AF55AF">
        <w:t>oals</w:t>
      </w:r>
      <w:r>
        <w:t>:</w:t>
      </w:r>
      <w:r w:rsidRPr="00AF55AF">
        <w:t xml:space="preserve"> of de opdrachtnemer zich mag laten vervangen voor de uitvoering van de werkzaamheden, </w:t>
      </w:r>
      <w:r>
        <w:tab/>
      </w:r>
      <w:r w:rsidRPr="00AF55AF">
        <w:t xml:space="preserve">wie het risico draagt voor schade bij de uitvoering van de werkzaamheden en of de </w:t>
      </w:r>
      <w:r>
        <w:tab/>
      </w:r>
      <w:r w:rsidRPr="00AF55AF">
        <w:t>opdrachtnemer zelf zijn werktijden mag bepalen</w:t>
      </w:r>
      <w:r>
        <w:t>.</w:t>
      </w:r>
    </w:p>
  </w:footnote>
  <w:footnote w:id="7">
    <w:p w:rsidR="00F31306" w:rsidRDefault="00A124D4" w:rsidP="00F31306">
      <w:pPr>
        <w:pStyle w:val="Voetnoottekst"/>
      </w:pPr>
      <w:r>
        <w:rPr>
          <w:rStyle w:val="Voetnootmarkering"/>
        </w:rPr>
        <w:footnoteRef/>
      </w:r>
      <w:r>
        <w:tab/>
        <w:t>A</w:t>
      </w:r>
      <w:r w:rsidRPr="002E75AF">
        <w:t>rbeidskrachten die in naam zelfsta</w:t>
      </w:r>
      <w:r w:rsidRPr="002E75AF">
        <w:t>ndige</w:t>
      </w:r>
      <w:r>
        <w:t xml:space="preserve"> zijn</w:t>
      </w:r>
      <w:r w:rsidRPr="002E75AF">
        <w:t xml:space="preserve"> maar waarvan de arbeidsrelatie op grond van de </w:t>
      </w:r>
      <w:r>
        <w:tab/>
      </w:r>
      <w:r w:rsidRPr="002E75AF">
        <w:t xml:space="preserve">fiscale wet- en regelgeving en de fiscale jurisprudentie feitelijk als dienstbetrekking zou moeten </w:t>
      </w:r>
      <w:r>
        <w:tab/>
      </w:r>
      <w:r w:rsidRPr="002E75AF">
        <w:t>worden gekwalificeerd.</w:t>
      </w:r>
    </w:p>
  </w:footnote>
  <w:footnote w:id="8">
    <w:p w:rsidR="00870CC5" w:rsidRDefault="00A124D4" w:rsidP="00870CC5">
      <w:pPr>
        <w:pStyle w:val="Voetnoottekst"/>
      </w:pPr>
      <w:r>
        <w:rPr>
          <w:rStyle w:val="Voetnootmarkering"/>
        </w:rPr>
        <w:footnoteRef/>
      </w:r>
      <w:r>
        <w:t xml:space="preserve"> </w:t>
      </w:r>
      <w:r>
        <w:tab/>
        <w:t>Toelichting, I. Algemeen, vierde tekstblok.</w:t>
      </w:r>
    </w:p>
  </w:footnote>
  <w:footnote w:id="9">
    <w:p w:rsidR="00C24D89" w:rsidRDefault="00A124D4" w:rsidP="00C24D89">
      <w:pPr>
        <w:pStyle w:val="Voetnoottekst"/>
      </w:pPr>
      <w:r>
        <w:rPr>
          <w:rStyle w:val="Voetnootmarkering"/>
        </w:rPr>
        <w:footnoteRef/>
      </w:r>
      <w:r>
        <w:tab/>
        <w:t>Het rapport van de Commis</w:t>
      </w:r>
      <w:r>
        <w:t xml:space="preserve">sie Van Dijkhuizen bevat voorstellen die deze aanzuigende werking </w:t>
      </w:r>
      <w:r>
        <w:tab/>
        <w:t xml:space="preserve">inperken. Een regeringsstandpunt over dit rapport is verschillende keren uitgesteld en is nu na de </w:t>
      </w:r>
      <w:r>
        <w:tab/>
        <w:t>zomer te verwachten (brief van 6 juni 2014 van de Staatssecretaris van Financiën aan de T</w:t>
      </w:r>
      <w:r>
        <w:t xml:space="preserve">weede </w:t>
      </w:r>
      <w:r>
        <w:tab/>
        <w:t xml:space="preserve">Kamer, Kamerstukken II 2013/14, 32 740, nr. 18, blz. 2, laatste tekstblok). </w:t>
      </w:r>
    </w:p>
  </w:footnote>
  <w:footnote w:id="10">
    <w:p w:rsidR="00230120" w:rsidRDefault="00A124D4" w:rsidP="00230120">
      <w:pPr>
        <w:pStyle w:val="Voetnoottekst"/>
      </w:pPr>
      <w:r>
        <w:rPr>
          <w:rStyle w:val="Voetnootmarkering"/>
        </w:rPr>
        <w:footnoteRef/>
      </w:r>
      <w:r>
        <w:tab/>
        <w:t>Antwoord op vraag 73 van de vaste commissie voor Financiën inzake de 13</w:t>
      </w:r>
      <w:r w:rsidRPr="00274F7E">
        <w:rPr>
          <w:vertAlign w:val="superscript"/>
        </w:rPr>
        <w:t>e</w:t>
      </w:r>
      <w:r>
        <w:t xml:space="preserve"> h</w:t>
      </w:r>
      <w:r w:rsidRPr="0051158A">
        <w:t>alfjaar</w:t>
      </w:r>
      <w:r>
        <w:t xml:space="preserve">srapportage </w:t>
      </w:r>
      <w:r>
        <w:tab/>
        <w:t>B</w:t>
      </w:r>
      <w:r w:rsidRPr="0051158A">
        <w:t>elastingdienst</w:t>
      </w:r>
      <w:r>
        <w:t xml:space="preserve"> (Kamerstukken II 2013/14, </w:t>
      </w:r>
      <w:r w:rsidRPr="0051158A">
        <w:t>31 066</w:t>
      </w:r>
      <w:r>
        <w:t>,</w:t>
      </w:r>
      <w:r w:rsidRPr="0051158A">
        <w:t xml:space="preserve"> nr. 200</w:t>
      </w:r>
      <w:r>
        <w:t>).</w:t>
      </w:r>
    </w:p>
  </w:footnote>
  <w:footnote w:id="11">
    <w:p w:rsidR="00C24D89" w:rsidRDefault="00A124D4" w:rsidP="00C24D89">
      <w:pPr>
        <w:pStyle w:val="Voetnoottekst"/>
      </w:pPr>
      <w:r>
        <w:rPr>
          <w:rStyle w:val="Voetnootmarkering"/>
        </w:rPr>
        <w:footnoteRef/>
      </w:r>
      <w:r>
        <w:tab/>
        <w:t xml:space="preserve">Op 5 december </w:t>
      </w:r>
      <w:r>
        <w:t xml:space="preserve">2013 is Actal om advies gevraagd over “de beleidsvoornemens van het Kabinet </w:t>
      </w:r>
      <w:r>
        <w:tab/>
        <w:t xml:space="preserve">rond de Verklaring arbeidsrelatie (VAR)”. Dit advies is gegeven op 25 februari 2014 en is </w:t>
      </w:r>
      <w:r>
        <w:tab/>
        <w:t xml:space="preserve">vervolgens bij brief van 23 april 2014 aangeboden aan de Tweede Kamer (zie bijlage bij </w:t>
      </w:r>
      <w:r>
        <w:tab/>
      </w:r>
      <w:r>
        <w:t>Kamerstukken II 2013/14, 31 311, nr. 107).</w:t>
      </w:r>
    </w:p>
  </w:footnote>
  <w:footnote w:id="12">
    <w:p w:rsidR="00230120" w:rsidRDefault="00A124D4" w:rsidP="00230120">
      <w:pPr>
        <w:pStyle w:val="Voetnoottekst"/>
      </w:pPr>
      <w:r>
        <w:rPr>
          <w:rStyle w:val="Voetnootmarkering"/>
        </w:rPr>
        <w:footnoteRef/>
      </w:r>
      <w:r>
        <w:tab/>
        <w:t xml:space="preserve">“SEOR (2013) “ZZP tussen werknemer en ondernemer”(p 51) Rapport in opdracht van het </w:t>
      </w:r>
      <w:r>
        <w:tab/>
        <w:t>ministerie van Economische Zaken, Rotterdam.”</w:t>
      </w:r>
    </w:p>
  </w:footnote>
  <w:footnote w:id="13">
    <w:p w:rsidR="00230120" w:rsidRPr="00752100" w:rsidRDefault="00A124D4" w:rsidP="00230120">
      <w:pPr>
        <w:pStyle w:val="Voetnoottekst"/>
      </w:pPr>
      <w:r>
        <w:rPr>
          <w:rStyle w:val="Voetnootmarkering"/>
        </w:rPr>
        <w:footnoteRef/>
      </w:r>
      <w:r>
        <w:tab/>
      </w:r>
      <w:r w:rsidRPr="00752100">
        <w:t>Kamerstukken II 2013/</w:t>
      </w:r>
      <w:r>
        <w:t>14</w:t>
      </w:r>
      <w:r w:rsidRPr="00752100">
        <w:t>, 31 311, nr. 107</w:t>
      </w:r>
      <w:r>
        <w:t>, blz. 4, laatste tekstblok.</w:t>
      </w:r>
    </w:p>
  </w:footnote>
  <w:footnote w:id="14">
    <w:p w:rsidR="00230120" w:rsidRDefault="00A124D4" w:rsidP="00230120">
      <w:pPr>
        <w:pStyle w:val="Voetnoottekst"/>
      </w:pPr>
      <w:r>
        <w:rPr>
          <w:rStyle w:val="Voetnootmarkering"/>
        </w:rPr>
        <w:footnoteRef/>
      </w:r>
      <w:r>
        <w:tab/>
        <w:t>Concept</w:t>
      </w:r>
      <w:r>
        <w:t xml:space="preserve">verslag van een Algemeen Overleg over VAR-verklaringen voor zzp’ers d.d. 23 april 2014, </w:t>
      </w:r>
      <w:r>
        <w:tab/>
        <w:t>blz. 23, eerste tekstblok.</w:t>
      </w:r>
    </w:p>
  </w:footnote>
  <w:footnote w:id="15">
    <w:p w:rsidR="000D151A" w:rsidRDefault="00A124D4" w:rsidP="000D151A">
      <w:pPr>
        <w:pStyle w:val="Voetnoottekst"/>
      </w:pPr>
      <w:r>
        <w:rPr>
          <w:rStyle w:val="Voetnootmarkering"/>
        </w:rPr>
        <w:footnoteRef/>
      </w:r>
      <w:r>
        <w:t xml:space="preserve"> </w:t>
      </w:r>
      <w:r>
        <w:tab/>
        <w:t xml:space="preserve">CBS, Webmagazine, dinsdag 10 juni 2014. </w:t>
      </w:r>
    </w:p>
  </w:footnote>
  <w:footnote w:id="16">
    <w:p w:rsidR="000D151A" w:rsidRDefault="00A124D4" w:rsidP="000D151A">
      <w:pPr>
        <w:pStyle w:val="Voetnoottekst"/>
      </w:pPr>
      <w:r>
        <w:rPr>
          <w:rStyle w:val="Voetnootmarkering"/>
        </w:rPr>
        <w:footnoteRef/>
      </w:r>
      <w:r>
        <w:t xml:space="preserve"> </w:t>
      </w:r>
      <w:r>
        <w:tab/>
        <w:t xml:space="preserve">Zie ook UWV, Arbeidsmarktprognose 2014-2015. </w:t>
      </w:r>
    </w:p>
  </w:footnote>
  <w:footnote w:id="17">
    <w:p w:rsidR="000D151A" w:rsidRDefault="00A124D4" w:rsidP="000D151A">
      <w:pPr>
        <w:pStyle w:val="Voetnoottekst"/>
      </w:pPr>
      <w:r>
        <w:rPr>
          <w:rStyle w:val="Voetnootmarkering"/>
        </w:rPr>
        <w:footnoteRef/>
      </w:r>
      <w:r>
        <w:tab/>
      </w:r>
      <w:r>
        <w:t xml:space="preserve">Centraal Planbureau, De huidige en toekomstige groei van het aandeel zzp’ers in de werkzame </w:t>
      </w:r>
      <w:r>
        <w:tab/>
        <w:t xml:space="preserve">beroepsbevolking, CPB Achtergronddocument 19 december 2012. </w:t>
      </w:r>
    </w:p>
  </w:footnote>
  <w:footnote w:id="18">
    <w:p w:rsidR="00D63B3B" w:rsidRDefault="00A124D4">
      <w:pPr>
        <w:pStyle w:val="Voetnoottekst"/>
      </w:pPr>
      <w:r>
        <w:rPr>
          <w:rStyle w:val="Voetnootmarkering"/>
        </w:rPr>
        <w:footnoteRef/>
      </w:r>
      <w:r>
        <w:tab/>
        <w:t>Kamerstukken II 2013/14, 31 311, nr. 120, blz. 2, onder “Inleiding”.</w:t>
      </w:r>
    </w:p>
  </w:footnote>
  <w:footnote w:id="19">
    <w:p w:rsidR="003F63E7" w:rsidRDefault="00A124D4">
      <w:pPr>
        <w:pStyle w:val="Voetnoottekst"/>
      </w:pPr>
      <w:r>
        <w:rPr>
          <w:rStyle w:val="Voetnootmarkering"/>
        </w:rPr>
        <w:footnoteRef/>
      </w:r>
      <w:r>
        <w:tab/>
        <w:t xml:space="preserve">Kamerstukken II 2011/12, 31 </w:t>
      </w:r>
      <w:r>
        <w:t>311, nr. 91, blz. 1, tweede tekstblok.</w:t>
      </w:r>
    </w:p>
  </w:footnote>
  <w:footnote w:id="20">
    <w:p w:rsidR="003F63E7" w:rsidRDefault="00A124D4">
      <w:pPr>
        <w:pStyle w:val="Voetnoottekst"/>
      </w:pPr>
      <w:r>
        <w:rPr>
          <w:rStyle w:val="Voetnootmarkering"/>
        </w:rPr>
        <w:footnoteRef/>
      </w:r>
      <w:r>
        <w:t xml:space="preserve"> </w:t>
      </w:r>
      <w:r>
        <w:tab/>
        <w:t>Toelichting, I. Algemeen, halverwege het zevende tekstblok.</w:t>
      </w:r>
    </w:p>
  </w:footnote>
  <w:footnote w:id="21">
    <w:p w:rsidR="00C84F96" w:rsidRPr="00274F7E" w:rsidRDefault="00A124D4">
      <w:pPr>
        <w:pStyle w:val="Voetnoottekst"/>
      </w:pPr>
      <w:r>
        <w:rPr>
          <w:rStyle w:val="Voetnootmarkering"/>
        </w:rPr>
        <w:footnoteRef/>
      </w:r>
      <w:r>
        <w:tab/>
        <w:t>De toelichting noemt de vraag of de opdrach</w:t>
      </w:r>
      <w:r w:rsidRPr="00B47A2F">
        <w:t xml:space="preserve">tnemer zich mag laten vervangen voor de uitvoering </w:t>
      </w:r>
      <w:r>
        <w:tab/>
      </w:r>
      <w:r w:rsidRPr="00B47A2F">
        <w:t>van de werkzaamheden, wie het risico draagt voor schade b</w:t>
      </w:r>
      <w:r w:rsidRPr="00B47A2F">
        <w:t xml:space="preserve">ij de uitvoering van de </w:t>
      </w:r>
      <w:r>
        <w:tab/>
      </w:r>
      <w:r w:rsidRPr="00B47A2F">
        <w:t>werkzaamheden en of de opdrachtnemer zelf zijn werktijden mag bepalen</w:t>
      </w:r>
      <w:r>
        <w:t xml:space="preserve"> (Toelichting, I. </w:t>
      </w:r>
      <w:r>
        <w:tab/>
        <w:t xml:space="preserve">Algemeen, zevende tekstblok, vierde volzin). </w:t>
      </w:r>
    </w:p>
  </w:footnote>
  <w:footnote w:id="22">
    <w:p w:rsidR="00F74672" w:rsidRDefault="00A124D4">
      <w:pPr>
        <w:pStyle w:val="Voetnoottekst"/>
      </w:pPr>
      <w:r>
        <w:rPr>
          <w:rStyle w:val="Voetnootmarkering"/>
        </w:rPr>
        <w:footnoteRef/>
      </w:r>
      <w:r>
        <w:t xml:space="preserve"> </w:t>
      </w:r>
      <w:r>
        <w:tab/>
        <w:t>Zie ook eerdergenoemd advies van Actal van 25 februari 2014.</w:t>
      </w:r>
    </w:p>
  </w:footnote>
  <w:footnote w:id="23">
    <w:p w:rsidR="00703B84" w:rsidRDefault="00A124D4">
      <w:pPr>
        <w:pStyle w:val="Voetnoottekst"/>
      </w:pPr>
      <w:r>
        <w:rPr>
          <w:rStyle w:val="Voetnootmarkering"/>
        </w:rPr>
        <w:footnoteRef/>
      </w:r>
      <w:r>
        <w:t xml:space="preserve"> </w:t>
      </w:r>
      <w:r>
        <w:tab/>
        <w:t>Toelichting op artikel VII, ee</w:t>
      </w:r>
      <w:r>
        <w:t>rste volzin.</w:t>
      </w:r>
    </w:p>
  </w:footnote>
  <w:footnote w:id="24">
    <w:p w:rsidR="00C24D89" w:rsidRDefault="00A124D4" w:rsidP="00C24D89">
      <w:pPr>
        <w:pStyle w:val="Voetnoottekst"/>
      </w:pPr>
      <w:r>
        <w:rPr>
          <w:rStyle w:val="Voetnootmarkering"/>
        </w:rPr>
        <w:footnoteRef/>
      </w:r>
      <w:r>
        <w:t xml:space="preserve"> </w:t>
      </w:r>
      <w:r>
        <w:tab/>
        <w:t xml:space="preserve">Het gaat daarbij om het voorgestelde artikel 8b, eerste lid (bedoeld zal zijn derde lid), van de Wet </w:t>
      </w:r>
      <w:r>
        <w:tab/>
        <w:t>LB 1964 (artikel II, onderdeel C).</w:t>
      </w:r>
    </w:p>
  </w:footnote>
  <w:footnote w:id="25">
    <w:p w:rsidR="00703B84" w:rsidRDefault="00A124D4">
      <w:pPr>
        <w:pStyle w:val="Voetnoottekst"/>
      </w:pPr>
      <w:r>
        <w:rPr>
          <w:rStyle w:val="Voetnootmarkering"/>
        </w:rPr>
        <w:footnoteRef/>
      </w:r>
      <w:r>
        <w:tab/>
        <w:t xml:space="preserve">Het voorgestelde artikel VII (dat beoogt deze eerdere afgifte te regelen) treedt (ingevolge artikel </w:t>
      </w:r>
      <w:r>
        <w:tab/>
      </w:r>
      <w:r>
        <w:t xml:space="preserve">IX, tweede lid, van het voorstel) weliswaar eerder in werking (namelijk op de dag na plaatsing in </w:t>
      </w:r>
      <w:r>
        <w:tab/>
        <w:t xml:space="preserve">het Staatsblad waarin onderhavige wet wordt geplaatst) dan het tijdstip van inwerkingtreding van </w:t>
      </w:r>
      <w:r>
        <w:tab/>
        <w:t xml:space="preserve">de wet (ingevolge artikel IX, eerste lid, van het voorstel </w:t>
      </w:r>
      <w:r>
        <w:t xml:space="preserve">is dat een bij koninklijk besluit te bepalen </w:t>
      </w:r>
      <w:r>
        <w:tab/>
        <w:t xml:space="preserve">– naar mag worden aangenomen – later tijdstip), maar dit neemt niet weg dat in de redactie van </w:t>
      </w:r>
      <w:r>
        <w:tab/>
        <w:t xml:space="preserve">artikel VII op het moment van inwerkingtreden ervan sprake is van een nog niet in werking </w:t>
      </w:r>
      <w:r>
        <w:tab/>
        <w:t>getreden artikel 8b, de</w:t>
      </w:r>
      <w:r>
        <w:t xml:space="preserve">rde lid (gelet ook op de formulering “zoals dat ingevolge artikel II, onderdeel </w:t>
      </w:r>
      <w:r>
        <w:tab/>
        <w:t>C, komt te luiden”).</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176FB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0C7C1C">
      <w:rPr>
        <w:rStyle w:val="Paginanummer"/>
        <w:noProof/>
      </w:rPr>
      <w:t>1</w:t>
    </w:r>
    <w:r>
      <w:rPr>
        <w:rStyle w:val="Paginanummer"/>
      </w:rPr>
      <w:fldChar w:fldCharType="end"/>
    </w:r>
  </w:p>
  <w:p w:rsidR="001410FD" w:rsidRDefault="001410FD">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479" w:rsidRDefault="00176FB8">
    <w:pPr>
      <w:pStyle w:val="Koptekst"/>
      <w:jc w:val="center"/>
    </w:pPr>
    <w:r>
      <w:rPr>
        <w:rStyle w:val="Paginanummer"/>
      </w:rPr>
      <w:fldChar w:fldCharType="begin"/>
    </w:r>
    <w:r w:rsidR="00796479">
      <w:rPr>
        <w:rStyle w:val="Paginanummer"/>
      </w:rPr>
      <w:instrText xml:space="preserve"> PAGE </w:instrText>
    </w:r>
    <w:r>
      <w:rPr>
        <w:rStyle w:val="Paginanummer"/>
      </w:rPr>
      <w:fldChar w:fldCharType="separate"/>
    </w:r>
    <w:r w:rsidR="00184218">
      <w:rPr>
        <w:rStyle w:val="Paginanummer"/>
        <w:noProof/>
      </w:rPr>
      <w:t>2</w:t>
    </w:r>
    <w:r>
      <w:rPr>
        <w:rStyle w:val="Paginanumm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FD" w:rsidRDefault="00176FB8" w:rsidP="00796479">
    <w:pPr>
      <w:pStyle w:val="Koptekst"/>
      <w:framePr w:wrap="around" w:vAnchor="text" w:hAnchor="margin" w:xAlign="center" w:y="1"/>
      <w:rPr>
        <w:rStyle w:val="Paginanummer"/>
      </w:rPr>
    </w:pPr>
    <w:r>
      <w:rPr>
        <w:rStyle w:val="Paginanummer"/>
      </w:rPr>
      <w:fldChar w:fldCharType="begin"/>
    </w:r>
    <w:r w:rsidR="001410FD">
      <w:rPr>
        <w:rStyle w:val="Paginanummer"/>
      </w:rPr>
      <w:instrText xml:space="preserve">PAGE  </w:instrText>
    </w:r>
    <w:r>
      <w:rPr>
        <w:rStyle w:val="Paginanummer"/>
      </w:rPr>
      <w:fldChar w:fldCharType="separate"/>
    </w:r>
    <w:r w:rsidR="00184218">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abstractNum w:abstractNumId="1">
    <w:nsid w:val="29E616A9"/>
    <w:multiLevelType w:val="hybridMultilevel"/>
    <w:tmpl w:val="94889B74"/>
    <w:lvl w:ilvl="0" w:tplc="0413000F">
      <w:start w:val="1"/>
      <w:numFmt w:val="decimal"/>
      <w:lvlText w:val="%1."/>
      <w:lvlJc w:val="left"/>
      <w:pPr>
        <w:ind w:left="720" w:hanging="360"/>
      </w:pPr>
      <w:rPr>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nsid w:val="4CFC2C36"/>
    <w:multiLevelType w:val="hybridMultilevel"/>
    <w:tmpl w:val="B326270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81"/>
  <w:proofState w:spelling="clean"/>
  <w:stylePaneFormatFilter w:val="3F01"/>
  <w:documentProtection w:edit="forms" w:enforcement="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76FB8"/>
    <w:rsid w:val="00184218"/>
    <w:rsid w:val="001E27B0"/>
    <w:rsid w:val="002276F4"/>
    <w:rsid w:val="002B7D8A"/>
    <w:rsid w:val="002F16D1"/>
    <w:rsid w:val="0031280A"/>
    <w:rsid w:val="00365EF8"/>
    <w:rsid w:val="003706AD"/>
    <w:rsid w:val="0037367E"/>
    <w:rsid w:val="003C7608"/>
    <w:rsid w:val="00411DBC"/>
    <w:rsid w:val="00554D49"/>
    <w:rsid w:val="005841EA"/>
    <w:rsid w:val="005E41CC"/>
    <w:rsid w:val="00635836"/>
    <w:rsid w:val="00636D17"/>
    <w:rsid w:val="00687984"/>
    <w:rsid w:val="006C5E3C"/>
    <w:rsid w:val="006D53BA"/>
    <w:rsid w:val="007009C5"/>
    <w:rsid w:val="00743072"/>
    <w:rsid w:val="00796479"/>
    <w:rsid w:val="008108EA"/>
    <w:rsid w:val="00831363"/>
    <w:rsid w:val="00883369"/>
    <w:rsid w:val="008C5EDD"/>
    <w:rsid w:val="00907421"/>
    <w:rsid w:val="00977969"/>
    <w:rsid w:val="009E537C"/>
    <w:rsid w:val="009E72D2"/>
    <w:rsid w:val="00A124D4"/>
    <w:rsid w:val="00A316AD"/>
    <w:rsid w:val="00A31DA9"/>
    <w:rsid w:val="00AC5AD9"/>
    <w:rsid w:val="00B15811"/>
    <w:rsid w:val="00B82659"/>
    <w:rsid w:val="00B97BA6"/>
    <w:rsid w:val="00C5066A"/>
    <w:rsid w:val="00C50D4F"/>
    <w:rsid w:val="00C5589A"/>
    <w:rsid w:val="00C93CC0"/>
    <w:rsid w:val="00C94D31"/>
    <w:rsid w:val="00CA109A"/>
    <w:rsid w:val="00CE4655"/>
    <w:rsid w:val="00D2526B"/>
    <w:rsid w:val="00D92754"/>
    <w:rsid w:val="00DB6AF4"/>
    <w:rsid w:val="00DE4E42"/>
    <w:rsid w:val="00E4090A"/>
    <w:rsid w:val="00F374C1"/>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176FB8"/>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uiPriority w:val="99"/>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uiPriority w:val="99"/>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uiPriority w:val="99"/>
    <w:unhideWhenUsed/>
    <w:rsid w:val="00230120"/>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2B7D8A"/>
    <w:pPr>
      <w:tabs>
        <w:tab w:val="left" w:pos="227"/>
      </w:tabs>
      <w:ind w:left="227" w:hanging="227"/>
    </w:pPr>
    <w:rPr>
      <w:sz w:val="18"/>
      <w:szCs w:val="20"/>
    </w:rPr>
  </w:style>
  <w:style w:type="character" w:customStyle="1" w:styleId="VoetnoottekstChar">
    <w:name w:val="Voetnoottekst Char"/>
    <w:link w:val="Voetnoottekst"/>
    <w:rsid w:val="002B7D8A"/>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character" w:customStyle="1" w:styleId="LogoKoninginnepapier">
    <w:name w:val="Logo Koninginnepapier"/>
    <w:rsid w:val="00636D17"/>
    <w:rPr>
      <w:rFonts w:ascii="Bembo" w:hAnsi="Bembo"/>
      <w:spacing w:val="0"/>
      <w:sz w:val="32"/>
      <w:szCs w:val="32"/>
    </w:rPr>
  </w:style>
  <w:style w:type="paragraph" w:styleId="Ballontekst">
    <w:name w:val="Balloon Text"/>
    <w:basedOn w:val="Standaard"/>
    <w:link w:val="BallontekstChar"/>
    <w:rsid w:val="003C7608"/>
    <w:rPr>
      <w:rFonts w:ascii="Tahoma" w:hAnsi="Tahoma" w:cs="Tahoma"/>
      <w:sz w:val="16"/>
      <w:szCs w:val="16"/>
    </w:rPr>
  </w:style>
  <w:style w:type="character" w:customStyle="1" w:styleId="BallontekstChar">
    <w:name w:val="Ballontekst Char"/>
    <w:basedOn w:val="Standaardalinea-lettertype"/>
    <w:link w:val="Ballontekst"/>
    <w:rsid w:val="003C7608"/>
    <w:rPr>
      <w:rFonts w:ascii="Tahoma" w:hAnsi="Tahoma" w:cs="Tahoma"/>
      <w:sz w:val="16"/>
      <w:szCs w:val="16"/>
    </w:rPr>
  </w:style>
  <w:style w:type="character" w:styleId="Tekstvantijdelijkeaanduiding">
    <w:name w:val="Placeholder Text"/>
    <w:basedOn w:val="Standaardalinea-lettertype"/>
    <w:uiPriority w:val="99"/>
    <w:semiHidden/>
    <w:rsid w:val="003C7608"/>
    <w:rPr>
      <w:color w:val="808080"/>
    </w:rPr>
  </w:style>
</w:styles>
</file>

<file path=word/webSettings.xml><?xml version="1.0" encoding="utf-8"?>
<w:webSettings xmlns:r="http://schemas.openxmlformats.org/officeDocument/2006/relationships" xmlns:w="http://schemas.openxmlformats.org/wordprocessingml/2006/main">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microsoft.com/office/2007/relationships/stylesWithEffects" Target="stylesWithEffects.xml" Id="rId17"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ntTable" Target="fontTable.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3CE88AE5A3AB4308BA7DCA8058A38D15"/>
        <w:category>
          <w:name w:val="Algemeen"/>
          <w:gallery w:val="placeholder"/>
        </w:category>
        <w:types>
          <w:type w:val="bbPlcHdr"/>
        </w:types>
        <w:behaviors>
          <w:behavior w:val="content"/>
        </w:behaviors>
        <w:guid w:val="{9DAB4DBC-7890-4D3C-BE53-F45FFA1F93DC}"/>
      </w:docPartPr>
      <w:docPartBody>
        <w:p w:rsidR="00AC4E03" w:rsidRDefault="008A560E" w:rsidP="008A560E">
          <w:pPr>
            <w:pStyle w:val="3CE88AE5A3AB4308BA7DCA8058A38D15"/>
          </w:pPr>
          <w:r w:rsidRPr="002C2E22">
            <w:rPr>
              <w:rStyle w:val="Tekstvantijdelijkeaanduiding"/>
            </w:rPr>
            <w:t>Klik hier als u tekst wilt invoeren.</w:t>
          </w:r>
        </w:p>
      </w:docPartBody>
    </w:docPart>
    <w:docPart>
      <w:docPartPr>
        <w:name w:val="D10883FDE47A4B5184FB25F7A2C50263"/>
        <w:category>
          <w:name w:val="Algemeen"/>
          <w:gallery w:val="placeholder"/>
        </w:category>
        <w:types>
          <w:type w:val="bbPlcHdr"/>
        </w:types>
        <w:behaviors>
          <w:behavior w:val="content"/>
        </w:behaviors>
        <w:guid w:val="{5E9004E7-3BEA-4AEB-8F65-BD2EF02A4FD1}"/>
      </w:docPartPr>
      <w:docPartBody>
        <w:p w:rsidR="00AC4E03" w:rsidRDefault="008A560E" w:rsidP="008A560E">
          <w:pPr>
            <w:pStyle w:val="D10883FDE47A4B5184FB25F7A2C5026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embo">
    <w:altName w:val="Georgia"/>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14296"/>
    <w:rsid w:val="00025DF2"/>
    <w:rsid w:val="00073CC8"/>
    <w:rsid w:val="00112371"/>
    <w:rsid w:val="002C2E73"/>
    <w:rsid w:val="00361A3B"/>
    <w:rsid w:val="00397005"/>
    <w:rsid w:val="00423278"/>
    <w:rsid w:val="004411E8"/>
    <w:rsid w:val="0056154F"/>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6154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3739</ap:Words>
  <ap:Characters>20566</ap:Characters>
  <ap:DocSecurity>0</ap:DocSecurity>
  <ap:Lines>171</ap:Lines>
  <ap:Paragraphs>48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2013-05-31T11:50:00.0000000Z</lastPrinted>
  <dcterms:created xsi:type="dcterms:W3CDTF">2013-05-08T08:42:00.0000000Z</dcterms:created>
  <dcterms:modified xsi:type="dcterms:W3CDTF">2013-12-03T10:35:00.0000000Z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0x010100C9E67EB05336E243ABD46779328857F6</vt:lpwstr>
  </property>
</Properties>
</file>