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89B" w:rsidRDefault="009D189B">
      <w:pPr>
        <w:ind w:left="720" w:right="720"/>
        <w:rPr>
          <w:rFonts w:ascii="Times New Roman" w:hAnsi="Times New Roman"/>
          <w:b/>
        </w:rPr>
      </w:pPr>
      <w:bookmarkStart w:name="_GoBack" w:id="0"/>
      <w:bookmarkEnd w:id="0"/>
      <w:r>
        <w:rPr>
          <w:rFonts w:ascii="Times New Roman" w:hAnsi="Times New Roman"/>
          <w:b/>
        </w:rPr>
        <w:t xml:space="preserve">Verdrag tussen </w:t>
      </w:r>
      <w:r w:rsidR="009203A1">
        <w:rPr>
          <w:rFonts w:ascii="Times New Roman" w:hAnsi="Times New Roman"/>
          <w:b/>
        </w:rPr>
        <w:t xml:space="preserve">de Regering van </w:t>
      </w:r>
      <w:r>
        <w:rPr>
          <w:rFonts w:ascii="Times New Roman" w:hAnsi="Times New Roman"/>
          <w:b/>
        </w:rPr>
        <w:t xml:space="preserve">het Koninkrijk der Nederlanden en de </w:t>
      </w:r>
      <w:r w:rsidR="009203A1">
        <w:rPr>
          <w:rFonts w:ascii="Times New Roman" w:hAnsi="Times New Roman"/>
          <w:b/>
        </w:rPr>
        <w:t xml:space="preserve">Regering van de </w:t>
      </w:r>
      <w:r>
        <w:rPr>
          <w:rFonts w:ascii="Times New Roman" w:hAnsi="Times New Roman"/>
          <w:b/>
        </w:rPr>
        <w:t xml:space="preserve">Republiek Letland </w:t>
      </w:r>
      <w:proofErr w:type="gramStart"/>
      <w:r>
        <w:rPr>
          <w:rFonts w:ascii="Times New Roman" w:hAnsi="Times New Roman"/>
          <w:b/>
        </w:rPr>
        <w:t>inzake</w:t>
      </w:r>
      <w:proofErr w:type="gramEnd"/>
      <w:r>
        <w:rPr>
          <w:rFonts w:ascii="Times New Roman" w:hAnsi="Times New Roman"/>
          <w:b/>
        </w:rPr>
        <w:t xml:space="preserve"> wederzijdse administratieve bijstand ten behoeve van de juiste toepassing van de douanewetgeving en de voorkoming, opsporing en bestrijding van inbreuken op de douanewetgeving; </w:t>
      </w:r>
      <w:r w:rsidR="009203A1">
        <w:rPr>
          <w:rFonts w:ascii="Times New Roman" w:hAnsi="Times New Roman"/>
          <w:b/>
        </w:rPr>
        <w:t>‘</w:t>
      </w:r>
      <w:r>
        <w:rPr>
          <w:rFonts w:ascii="Times New Roman" w:hAnsi="Times New Roman"/>
          <w:b/>
        </w:rPr>
        <w:t>s-Gravenhage, 8 oktober 1997 (Trb. 1997, 295</w:t>
      </w:r>
      <w:r w:rsidR="009203A1">
        <w:rPr>
          <w:rFonts w:ascii="Times New Roman" w:hAnsi="Times New Roman"/>
          <w:b/>
        </w:rPr>
        <w:t xml:space="preserve"> en Trb. 2014, </w:t>
      </w:r>
      <w:r w:rsidR="00827E00">
        <w:rPr>
          <w:rFonts w:ascii="Times New Roman" w:hAnsi="Times New Roman"/>
          <w:b/>
        </w:rPr>
        <w:t>103</w:t>
      </w:r>
      <w:r w:rsidR="00104957">
        <w:rPr>
          <w:rFonts w:ascii="Times New Roman" w:hAnsi="Times New Roman"/>
          <w:b/>
        </w:rPr>
        <w:t xml:space="preserve"> en 139</w:t>
      </w:r>
      <w:r>
        <w:rPr>
          <w:rFonts w:ascii="Times New Roman" w:hAnsi="Times New Roman"/>
          <w:b/>
        </w:rPr>
        <w:t>)</w:t>
      </w:r>
    </w:p>
    <w:p w:rsidR="009D189B" w:rsidRDefault="009D189B">
      <w:pPr>
        <w:ind w:left="720" w:right="720" w:hanging="720"/>
        <w:rPr>
          <w:rFonts w:ascii="Times New Roman" w:hAnsi="Times New Roman"/>
        </w:rPr>
      </w:pPr>
    </w:p>
    <w:p w:rsidR="009D189B" w:rsidRDefault="009D189B">
      <w:pPr>
        <w:ind w:left="720" w:right="720"/>
        <w:rPr>
          <w:rFonts w:ascii="Times New Roman" w:hAnsi="Times New Roman"/>
          <w:b/>
        </w:rPr>
      </w:pPr>
      <w:r>
        <w:rPr>
          <w:rFonts w:ascii="Times New Roman" w:hAnsi="Times New Roman"/>
          <w:b/>
        </w:rPr>
        <w:t>Toelichtende nota</w:t>
      </w:r>
    </w:p>
    <w:p w:rsidR="009D189B" w:rsidRDefault="009D189B">
      <w:pPr>
        <w:ind w:left="720" w:right="720" w:hanging="720"/>
        <w:rPr>
          <w:rFonts w:ascii="Times New Roman" w:hAnsi="Times New Roman"/>
          <w:b/>
        </w:rPr>
      </w:pPr>
    </w:p>
    <w:p w:rsidR="009D189B" w:rsidRDefault="009D189B">
      <w:pPr>
        <w:ind w:left="720" w:right="720"/>
        <w:rPr>
          <w:rFonts w:ascii="Times New Roman" w:hAnsi="Times New Roman"/>
          <w:b/>
          <w:u w:val="single"/>
        </w:rPr>
      </w:pPr>
      <w:r>
        <w:rPr>
          <w:rFonts w:ascii="Times New Roman" w:hAnsi="Times New Roman"/>
          <w:b/>
          <w:u w:val="single"/>
        </w:rPr>
        <w:t>Algemeen</w:t>
      </w:r>
    </w:p>
    <w:p w:rsidR="009D189B" w:rsidRDefault="009D189B">
      <w:pPr>
        <w:ind w:left="720" w:right="720"/>
        <w:rPr>
          <w:rFonts w:ascii="Times New Roman" w:hAnsi="Times New Roman"/>
        </w:rPr>
      </w:pPr>
      <w:r>
        <w:rPr>
          <w:rFonts w:ascii="Times New Roman" w:hAnsi="Times New Roman"/>
        </w:rPr>
        <w:t xml:space="preserve">Op 8 oktober 1997 is te Den Haag tot stand gekomen het Verdrag tussen het Koninkrijk der Nederlanden en de Republiek Letland </w:t>
      </w:r>
      <w:proofErr w:type="gramStart"/>
      <w:r>
        <w:rPr>
          <w:rFonts w:ascii="Times New Roman" w:hAnsi="Times New Roman"/>
        </w:rPr>
        <w:t>inzake</w:t>
      </w:r>
      <w:proofErr w:type="gramEnd"/>
      <w:r>
        <w:rPr>
          <w:rFonts w:ascii="Times New Roman" w:hAnsi="Times New Roman"/>
        </w:rPr>
        <w:t xml:space="preserve"> wederzijdse administratieve bijstand ten behoeve van de juiste toepassing van de douanewetgeving en de voorkoming, opsporing en bestrijding van inbreuken op de douanewetgeving (Trb. 1997,</w:t>
      </w:r>
      <w:r w:rsidR="00CF31CE">
        <w:rPr>
          <w:rFonts w:ascii="Times New Roman" w:hAnsi="Times New Roman"/>
        </w:rPr>
        <w:t xml:space="preserve"> </w:t>
      </w:r>
      <w:r>
        <w:rPr>
          <w:rFonts w:ascii="Times New Roman" w:hAnsi="Times New Roman"/>
        </w:rPr>
        <w:t>295; hierna het “Verdrag”). Het Verdrag is op 1 mei 1999 in de relatie tussen Europees Nederland en Letland in werking getreden (zie Trb. 1999,</w:t>
      </w:r>
      <w:r w:rsidR="00B56B17">
        <w:rPr>
          <w:rFonts w:ascii="Times New Roman" w:hAnsi="Times New Roman"/>
        </w:rPr>
        <w:t xml:space="preserve"> 5</w:t>
      </w:r>
      <w:r>
        <w:rPr>
          <w:rFonts w:ascii="Times New Roman" w:hAnsi="Times New Roman"/>
        </w:rPr>
        <w:t>9) en op 10 oktober 2010 van toepassing ge</w:t>
      </w:r>
      <w:r w:rsidR="00CF31CE">
        <w:rPr>
          <w:rFonts w:ascii="Times New Roman" w:hAnsi="Times New Roman"/>
        </w:rPr>
        <w:t>worden op Caribisch Nederland (</w:t>
      </w:r>
      <w:r>
        <w:rPr>
          <w:rFonts w:ascii="Times New Roman" w:hAnsi="Times New Roman"/>
        </w:rPr>
        <w:t>Trb. 2011,</w:t>
      </w:r>
      <w:r w:rsidR="006645F0">
        <w:rPr>
          <w:rFonts w:ascii="Times New Roman" w:hAnsi="Times New Roman"/>
        </w:rPr>
        <w:t xml:space="preserve"> </w:t>
      </w:r>
      <w:r>
        <w:rPr>
          <w:rFonts w:ascii="Times New Roman" w:hAnsi="Times New Roman"/>
        </w:rPr>
        <w:t xml:space="preserve">234). </w:t>
      </w:r>
    </w:p>
    <w:p w:rsidR="009D189B" w:rsidRDefault="009D189B">
      <w:pPr>
        <w:ind w:left="720" w:right="720"/>
        <w:rPr>
          <w:rFonts w:ascii="Times New Roman" w:hAnsi="Times New Roman"/>
        </w:rPr>
      </w:pPr>
    </w:p>
    <w:p w:rsidR="009D189B" w:rsidRDefault="009D189B">
      <w:pPr>
        <w:ind w:left="720" w:right="720"/>
        <w:rPr>
          <w:rFonts w:ascii="Times New Roman" w:hAnsi="Times New Roman"/>
        </w:rPr>
      </w:pPr>
      <w:r>
        <w:rPr>
          <w:rFonts w:ascii="Times New Roman" w:hAnsi="Times New Roman"/>
        </w:rPr>
        <w:t xml:space="preserve">Het Verdrag werd indertijd alleen voor Nederland goedgekeurd (zie Kamerstukken </w:t>
      </w:r>
      <w:r w:rsidR="003A17E8">
        <w:rPr>
          <w:rFonts w:ascii="Times New Roman" w:hAnsi="Times New Roman"/>
        </w:rPr>
        <w:t>I/II 1998/99</w:t>
      </w:r>
      <w:r>
        <w:rPr>
          <w:rFonts w:ascii="Times New Roman" w:hAnsi="Times New Roman"/>
        </w:rPr>
        <w:t>,</w:t>
      </w:r>
      <w:r w:rsidR="00CF31CE">
        <w:rPr>
          <w:rFonts w:ascii="Times New Roman" w:hAnsi="Times New Roman"/>
        </w:rPr>
        <w:t xml:space="preserve"> </w:t>
      </w:r>
      <w:r>
        <w:rPr>
          <w:rFonts w:ascii="Times New Roman" w:hAnsi="Times New Roman"/>
        </w:rPr>
        <w:t>26372 nr</w:t>
      </w:r>
      <w:r w:rsidR="003A17E8">
        <w:rPr>
          <w:rFonts w:ascii="Times New Roman" w:hAnsi="Times New Roman"/>
        </w:rPr>
        <w:t>s</w:t>
      </w:r>
      <w:r>
        <w:rPr>
          <w:rFonts w:ascii="Times New Roman" w:hAnsi="Times New Roman"/>
        </w:rPr>
        <w:t>.172</w:t>
      </w:r>
      <w:r w:rsidR="003A17E8">
        <w:rPr>
          <w:rFonts w:ascii="Times New Roman" w:hAnsi="Times New Roman"/>
        </w:rPr>
        <w:t xml:space="preserve"> en 1</w:t>
      </w:r>
      <w:r>
        <w:rPr>
          <w:rFonts w:ascii="Times New Roman" w:hAnsi="Times New Roman"/>
        </w:rPr>
        <w:t xml:space="preserve">). Aruba, </w:t>
      </w:r>
      <w:r w:rsidR="00D33F9D">
        <w:rPr>
          <w:rFonts w:ascii="Times New Roman" w:hAnsi="Times New Roman"/>
        </w:rPr>
        <w:t>Curaçao</w:t>
      </w:r>
      <w:r>
        <w:rPr>
          <w:rFonts w:ascii="Times New Roman" w:hAnsi="Times New Roman"/>
        </w:rPr>
        <w:t xml:space="preserve"> en Sint Maarten wensen medegelding; </w:t>
      </w:r>
      <w:proofErr w:type="gramStart"/>
      <w:r>
        <w:rPr>
          <w:rFonts w:ascii="Times New Roman" w:hAnsi="Times New Roman"/>
        </w:rPr>
        <w:t>derhalve</w:t>
      </w:r>
      <w:proofErr w:type="gramEnd"/>
      <w:r>
        <w:rPr>
          <w:rFonts w:ascii="Times New Roman" w:hAnsi="Times New Roman"/>
        </w:rPr>
        <w:t xml:space="preserve"> wordt thans de goedkeuring gevraagd voor Aruba, </w:t>
      </w:r>
      <w:r w:rsidR="00D33F9D">
        <w:rPr>
          <w:rFonts w:ascii="Times New Roman" w:hAnsi="Times New Roman"/>
        </w:rPr>
        <w:t>Curaçao</w:t>
      </w:r>
      <w:r>
        <w:rPr>
          <w:rFonts w:ascii="Times New Roman" w:hAnsi="Times New Roman"/>
        </w:rPr>
        <w:t xml:space="preserve"> en Sint Maarten van zowel het Verdrag als van </w:t>
      </w:r>
      <w:r w:rsidR="009203A1">
        <w:rPr>
          <w:rFonts w:ascii="Times New Roman" w:hAnsi="Times New Roman"/>
        </w:rPr>
        <w:t>de</w:t>
      </w:r>
      <w:r>
        <w:rPr>
          <w:rFonts w:ascii="Times New Roman" w:hAnsi="Times New Roman"/>
        </w:rPr>
        <w:t xml:space="preserve"> op </w:t>
      </w:r>
      <w:r w:rsidR="00B56B17">
        <w:rPr>
          <w:rFonts w:ascii="Times New Roman" w:hAnsi="Times New Roman"/>
        </w:rPr>
        <w:t>15 april 2014</w:t>
      </w:r>
      <w:r>
        <w:rPr>
          <w:rFonts w:ascii="Times New Roman" w:hAnsi="Times New Roman"/>
        </w:rPr>
        <w:t xml:space="preserve"> te</w:t>
      </w:r>
      <w:r w:rsidR="00B56B17">
        <w:rPr>
          <w:rFonts w:ascii="Times New Roman" w:hAnsi="Times New Roman"/>
        </w:rPr>
        <w:t xml:space="preserve"> Riga </w:t>
      </w:r>
      <w:r>
        <w:rPr>
          <w:rFonts w:ascii="Times New Roman" w:hAnsi="Times New Roman"/>
        </w:rPr>
        <w:t xml:space="preserve">tot stand gekomen notawisseling houdende een uitbreidingsverdrag (Trb. </w:t>
      </w:r>
      <w:r w:rsidR="00B56B17">
        <w:rPr>
          <w:rFonts w:ascii="Times New Roman" w:hAnsi="Times New Roman"/>
        </w:rPr>
        <w:t>2014</w:t>
      </w:r>
      <w:r>
        <w:rPr>
          <w:rFonts w:ascii="Times New Roman" w:hAnsi="Times New Roman"/>
        </w:rPr>
        <w:t>,</w:t>
      </w:r>
      <w:r w:rsidR="00B56B17">
        <w:rPr>
          <w:rFonts w:ascii="Times New Roman" w:hAnsi="Times New Roman"/>
        </w:rPr>
        <w:t xml:space="preserve"> </w:t>
      </w:r>
      <w:r w:rsidR="00181A70">
        <w:rPr>
          <w:rFonts w:ascii="Times New Roman" w:hAnsi="Times New Roman"/>
        </w:rPr>
        <w:t>103</w:t>
      </w:r>
      <w:r>
        <w:rPr>
          <w:rFonts w:ascii="Times New Roman" w:hAnsi="Times New Roman"/>
        </w:rPr>
        <w:t>)</w:t>
      </w:r>
      <w:r w:rsidR="00B56B17">
        <w:rPr>
          <w:rFonts w:ascii="Times New Roman" w:hAnsi="Times New Roman"/>
        </w:rPr>
        <w:t>.</w:t>
      </w:r>
    </w:p>
    <w:p w:rsidR="009D189B" w:rsidRDefault="009D189B">
      <w:pPr>
        <w:ind w:left="720" w:right="720"/>
        <w:rPr>
          <w:rFonts w:ascii="Times New Roman" w:hAnsi="Times New Roman"/>
        </w:rPr>
      </w:pPr>
    </w:p>
    <w:p w:rsidR="009D189B" w:rsidRDefault="009D189B">
      <w:pPr>
        <w:ind w:left="720" w:right="720"/>
        <w:rPr>
          <w:rFonts w:ascii="Times New Roman" w:hAnsi="Times New Roman"/>
        </w:rPr>
      </w:pPr>
      <w:r>
        <w:rPr>
          <w:rFonts w:ascii="Times New Roman" w:hAnsi="Times New Roman"/>
        </w:rPr>
        <w:t>Het Verdrag strekt tot het wederzijds verlenen van administratieve (bestuurlijke) bijstand:</w:t>
      </w:r>
    </w:p>
    <w:p w:rsidR="009D189B" w:rsidRDefault="009D189B">
      <w:pPr>
        <w:ind w:left="1080" w:right="720" w:hanging="360"/>
        <w:rPr>
          <w:rFonts w:ascii="Times New Roman" w:hAnsi="Times New Roman"/>
        </w:rPr>
      </w:pPr>
      <w:r>
        <w:rPr>
          <w:rFonts w:ascii="Times New Roman" w:hAnsi="Times New Roman"/>
        </w:rPr>
        <w:t>-</w:t>
      </w:r>
      <w:r>
        <w:rPr>
          <w:rFonts w:ascii="Times New Roman" w:hAnsi="Times New Roman"/>
        </w:rPr>
        <w:tab/>
        <w:t xml:space="preserve">ter verzekering van de juiste naleving van de wettelijke bepalingen en voorschriften </w:t>
      </w:r>
      <w:proofErr w:type="gramStart"/>
      <w:r>
        <w:rPr>
          <w:rFonts w:ascii="Times New Roman" w:hAnsi="Times New Roman"/>
        </w:rPr>
        <w:t>inzake</w:t>
      </w:r>
      <w:proofErr w:type="gramEnd"/>
      <w:r>
        <w:rPr>
          <w:rFonts w:ascii="Times New Roman" w:hAnsi="Times New Roman"/>
        </w:rPr>
        <w:t xml:space="preserve"> de in-, uit-, en doorvoer van goederen; en</w:t>
      </w:r>
    </w:p>
    <w:p w:rsidR="009D189B" w:rsidRDefault="009D189B">
      <w:pPr>
        <w:ind w:left="1080" w:right="720" w:hanging="360"/>
        <w:rPr>
          <w:rFonts w:ascii="Times New Roman" w:hAnsi="Times New Roman"/>
        </w:rPr>
      </w:pPr>
      <w:r>
        <w:rPr>
          <w:rFonts w:ascii="Times New Roman" w:hAnsi="Times New Roman"/>
        </w:rPr>
        <w:t>-</w:t>
      </w:r>
      <w:r>
        <w:rPr>
          <w:rFonts w:ascii="Times New Roman" w:hAnsi="Times New Roman"/>
        </w:rPr>
        <w:tab/>
        <w:t>in verband met de voorkoming, opsporing en bestrijding van inbreuken op de hiervoor bedoelde bepalingen en voorschriften.</w:t>
      </w:r>
    </w:p>
    <w:p w:rsidR="009D189B" w:rsidRDefault="009D189B">
      <w:pPr>
        <w:ind w:left="720" w:right="720" w:hanging="720"/>
        <w:rPr>
          <w:rFonts w:ascii="Times New Roman" w:hAnsi="Times New Roman"/>
        </w:rPr>
      </w:pPr>
    </w:p>
    <w:p w:rsidR="009D189B" w:rsidRDefault="009D189B">
      <w:pPr>
        <w:ind w:left="720" w:right="720"/>
        <w:rPr>
          <w:rFonts w:ascii="Times New Roman" w:hAnsi="Times New Roman"/>
        </w:rPr>
      </w:pPr>
      <w:r>
        <w:rPr>
          <w:rFonts w:ascii="Times New Roman" w:hAnsi="Times New Roman"/>
        </w:rPr>
        <w:t>Het Verdrag van 1997 regelt nauwkeurig hoever de samenwerking strekt en beperkt zich daarbij tot maatregelen die voor een doeltreffende samenwerking noodzakelijk zijn. Het ziet alleen op de administratieve samenwerking en bestrijkt niet het terrein van de tussen de gerechtelijke autoriteiten te verlenen internationale rechtshulp in strafzaken.</w:t>
      </w:r>
    </w:p>
    <w:p w:rsidR="009D189B" w:rsidRDefault="009D189B">
      <w:pPr>
        <w:ind w:left="720" w:right="720"/>
        <w:rPr>
          <w:rFonts w:ascii="Times New Roman" w:hAnsi="Times New Roman"/>
        </w:rPr>
      </w:pPr>
    </w:p>
    <w:p w:rsidR="009D189B" w:rsidRDefault="006A5ED4">
      <w:pPr>
        <w:ind w:left="720" w:right="720"/>
        <w:rPr>
          <w:rFonts w:ascii="Times New Roman" w:hAnsi="Times New Roman"/>
        </w:rPr>
      </w:pPr>
      <w:r>
        <w:rPr>
          <w:rFonts w:ascii="Times New Roman" w:hAnsi="Times New Roman"/>
        </w:rPr>
        <w:t xml:space="preserve">Uitbreiding van het Verdrag </w:t>
      </w:r>
      <w:r w:rsidR="009D189B">
        <w:rPr>
          <w:rFonts w:ascii="Times New Roman" w:hAnsi="Times New Roman"/>
        </w:rPr>
        <w:t xml:space="preserve">met Letland is wat betreft Aruba, </w:t>
      </w:r>
      <w:r w:rsidR="00D33F9D">
        <w:rPr>
          <w:rFonts w:ascii="Times New Roman" w:hAnsi="Times New Roman"/>
        </w:rPr>
        <w:t>Curaçao</w:t>
      </w:r>
      <w:r w:rsidR="009D189B">
        <w:rPr>
          <w:rFonts w:ascii="Times New Roman" w:hAnsi="Times New Roman"/>
        </w:rPr>
        <w:t xml:space="preserve"> en Sint Maarten een voortzetting van de beleidslijn om meer met andere douaneadministraties te gaan samenwerken. Partijen </w:t>
      </w:r>
      <w:proofErr w:type="gramStart"/>
      <w:r w:rsidR="009D189B">
        <w:rPr>
          <w:rFonts w:ascii="Times New Roman" w:hAnsi="Times New Roman"/>
        </w:rPr>
        <w:t>hebben</w:t>
      </w:r>
      <w:proofErr w:type="gramEnd"/>
      <w:r w:rsidR="009D189B">
        <w:rPr>
          <w:rFonts w:ascii="Times New Roman" w:hAnsi="Times New Roman"/>
        </w:rPr>
        <w:t xml:space="preserve"> er belang bij dat het toezicht op de naleving van de douanewetgeving zo effectief mogelijk geschiedt. Dit geldt evenzeer voor de voorkoming, opsporing en bestrijding van inbreuken op hun douanewetgeving.</w:t>
      </w:r>
    </w:p>
    <w:p w:rsidR="009D189B" w:rsidRDefault="009D189B">
      <w:pPr>
        <w:ind w:left="720" w:right="720"/>
        <w:rPr>
          <w:rFonts w:ascii="Times New Roman" w:hAnsi="Times New Roman"/>
        </w:rPr>
      </w:pPr>
    </w:p>
    <w:p w:rsidR="009D189B" w:rsidRDefault="009D189B">
      <w:pPr>
        <w:ind w:left="720" w:right="720"/>
        <w:rPr>
          <w:rFonts w:ascii="Times New Roman" w:hAnsi="Times New Roman"/>
        </w:rPr>
      </w:pPr>
      <w:r>
        <w:rPr>
          <w:rFonts w:ascii="Times New Roman" w:hAnsi="Times New Roman"/>
        </w:rPr>
        <w:t xml:space="preserve">Deze uitbreiding </w:t>
      </w:r>
      <w:r w:rsidR="00AB238F">
        <w:rPr>
          <w:rFonts w:ascii="Times New Roman" w:hAnsi="Times New Roman"/>
        </w:rPr>
        <w:t>is</w:t>
      </w:r>
      <w:r>
        <w:rPr>
          <w:rFonts w:ascii="Times New Roman" w:hAnsi="Times New Roman"/>
        </w:rPr>
        <w:t xml:space="preserve"> conform artikel 20, tweede en derde lid, van het V</w:t>
      </w:r>
      <w:r w:rsidR="00D33F9D">
        <w:rPr>
          <w:rFonts w:ascii="Times New Roman" w:hAnsi="Times New Roman"/>
        </w:rPr>
        <w:t xml:space="preserve">erdrag </w:t>
      </w:r>
      <w:r w:rsidR="00181A70">
        <w:rPr>
          <w:rFonts w:ascii="Times New Roman" w:hAnsi="Times New Roman"/>
        </w:rPr>
        <w:t xml:space="preserve">tot stand </w:t>
      </w:r>
      <w:r w:rsidR="00AB238F">
        <w:rPr>
          <w:rFonts w:ascii="Times New Roman" w:hAnsi="Times New Roman"/>
        </w:rPr>
        <w:t>gekomen</w:t>
      </w:r>
      <w:r w:rsidR="00181A70">
        <w:rPr>
          <w:rFonts w:ascii="Times New Roman" w:hAnsi="Times New Roman"/>
        </w:rPr>
        <w:t xml:space="preserve"> </w:t>
      </w:r>
      <w:r w:rsidR="00D33F9D">
        <w:rPr>
          <w:rFonts w:ascii="Times New Roman" w:hAnsi="Times New Roman"/>
        </w:rPr>
        <w:t xml:space="preserve">door de </w:t>
      </w:r>
      <w:r>
        <w:rPr>
          <w:rFonts w:ascii="Times New Roman" w:hAnsi="Times New Roman"/>
        </w:rPr>
        <w:t xml:space="preserve">bovengenoemde notawisseling terzake tussen het Koninkrijk der Nederlanden en de Republiek Letland, die een verdrag in de zin van de Grondwet vormt. </w:t>
      </w:r>
    </w:p>
    <w:p w:rsidR="009D189B" w:rsidRDefault="009D189B">
      <w:pPr>
        <w:ind w:left="720" w:right="720"/>
        <w:rPr>
          <w:rFonts w:ascii="Times New Roman" w:hAnsi="Times New Roman"/>
          <w:sz w:val="20"/>
        </w:rPr>
      </w:pPr>
    </w:p>
    <w:p w:rsidR="009D189B" w:rsidRDefault="009D189B">
      <w:pPr>
        <w:ind w:left="720" w:right="720"/>
        <w:rPr>
          <w:rFonts w:ascii="Times New Roman" w:hAnsi="Times New Roman"/>
        </w:rPr>
      </w:pPr>
      <w:r>
        <w:rPr>
          <w:rFonts w:ascii="Times New Roman" w:hAnsi="Times New Roman"/>
        </w:rPr>
        <w:t xml:space="preserve">In de notawisseling zijn de wijzigingen van het Verdrag vervat, die in de verdragsrelatie tussen Letland en Aruba, </w:t>
      </w:r>
      <w:r w:rsidR="00D33F9D">
        <w:rPr>
          <w:rFonts w:ascii="Times New Roman" w:hAnsi="Times New Roman"/>
        </w:rPr>
        <w:t>Curaçao</w:t>
      </w:r>
      <w:r>
        <w:rPr>
          <w:rFonts w:ascii="Times New Roman" w:hAnsi="Times New Roman"/>
        </w:rPr>
        <w:t xml:space="preserve"> en Sint Maarten zullen gelden. Deze wijzigingen zijn overigens van ondergeschikte aard.</w:t>
      </w:r>
    </w:p>
    <w:p w:rsidR="009D189B" w:rsidRDefault="009D189B">
      <w:pPr>
        <w:ind w:left="720" w:right="720"/>
        <w:rPr>
          <w:rFonts w:ascii="Times New Roman" w:hAnsi="Times New Roman"/>
        </w:rPr>
      </w:pPr>
    </w:p>
    <w:p w:rsidR="00B56B17" w:rsidRDefault="00B56B17">
      <w:pPr>
        <w:rPr>
          <w:rFonts w:ascii="Times New Roman" w:hAnsi="Times New Roman"/>
          <w:b/>
          <w:u w:val="single"/>
        </w:rPr>
      </w:pPr>
    </w:p>
    <w:p w:rsidR="009D189B" w:rsidRDefault="009D189B">
      <w:pPr>
        <w:ind w:left="720" w:right="720"/>
        <w:rPr>
          <w:rFonts w:ascii="Times New Roman" w:hAnsi="Times New Roman"/>
          <w:b/>
          <w:u w:val="single"/>
        </w:rPr>
      </w:pPr>
      <w:r>
        <w:rPr>
          <w:rFonts w:ascii="Times New Roman" w:hAnsi="Times New Roman"/>
          <w:b/>
          <w:u w:val="single"/>
        </w:rPr>
        <w:t>Puntsgewijze toelichting op het uitbreidingsverdrag van 20</w:t>
      </w:r>
      <w:r w:rsidR="00B56B17">
        <w:rPr>
          <w:rFonts w:ascii="Times New Roman" w:hAnsi="Times New Roman"/>
          <w:b/>
          <w:u w:val="single"/>
        </w:rPr>
        <w:t>14</w:t>
      </w:r>
    </w:p>
    <w:p w:rsidR="009D189B" w:rsidRDefault="009D189B">
      <w:pPr>
        <w:numPr>
          <w:ilvl w:val="0"/>
          <w:numId w:val="1"/>
        </w:numPr>
        <w:tabs>
          <w:tab w:val="clear" w:pos="360"/>
          <w:tab w:val="left" w:pos="960"/>
        </w:tabs>
        <w:ind w:left="960" w:right="720" w:hanging="240"/>
        <w:rPr>
          <w:rFonts w:ascii="Times New Roman" w:hAnsi="Times New Roman"/>
        </w:rPr>
      </w:pPr>
      <w:r>
        <w:rPr>
          <w:rFonts w:ascii="Times New Roman" w:hAnsi="Times New Roman"/>
        </w:rPr>
        <w:t xml:space="preserve">De term “douaneadministratie” heeft in het Verdrag een gekwalificeerde betekenis. Voor wat betreft Aruba, </w:t>
      </w:r>
      <w:r w:rsidR="00D33F9D">
        <w:rPr>
          <w:rFonts w:ascii="Times New Roman" w:hAnsi="Times New Roman"/>
        </w:rPr>
        <w:t>Curaçao</w:t>
      </w:r>
      <w:r>
        <w:rPr>
          <w:rFonts w:ascii="Times New Roman" w:hAnsi="Times New Roman"/>
        </w:rPr>
        <w:t xml:space="preserve"> en Sint Maarten wordt verwezen naar </w:t>
      </w:r>
      <w:r w:rsidR="006645F0">
        <w:rPr>
          <w:rFonts w:ascii="Times New Roman" w:hAnsi="Times New Roman"/>
        </w:rPr>
        <w:t xml:space="preserve">bevoegde </w:t>
      </w:r>
      <w:r>
        <w:rPr>
          <w:rFonts w:ascii="Times New Roman" w:hAnsi="Times New Roman"/>
        </w:rPr>
        <w:t xml:space="preserve">centrale autoriteiten. Dit is aldus geformuleerd, omdat de bevoegdheden met betrekking tot de </w:t>
      </w:r>
      <w:proofErr w:type="gramStart"/>
      <w:r>
        <w:rPr>
          <w:rFonts w:ascii="Times New Roman" w:hAnsi="Times New Roman"/>
        </w:rPr>
        <w:t>implementatie</w:t>
      </w:r>
      <w:proofErr w:type="gramEnd"/>
      <w:r>
        <w:rPr>
          <w:rFonts w:ascii="Times New Roman" w:hAnsi="Times New Roman"/>
        </w:rPr>
        <w:t xml:space="preserve"> van de douanewetgeving, met inbegrip van de heffing en inning van douanerechten (waaronder ook de omzetbelasting valt) aan verschillende organisatieonderdelen toekomen.</w:t>
      </w:r>
    </w:p>
    <w:p w:rsidR="009D189B" w:rsidRDefault="009D189B">
      <w:pPr>
        <w:tabs>
          <w:tab w:val="left" w:pos="960"/>
        </w:tabs>
        <w:ind w:left="960" w:right="720" w:hanging="240"/>
        <w:rPr>
          <w:rFonts w:ascii="Times New Roman" w:hAnsi="Times New Roman"/>
        </w:rPr>
      </w:pPr>
    </w:p>
    <w:p w:rsidR="009D189B" w:rsidRDefault="009D189B">
      <w:pPr>
        <w:numPr>
          <w:ilvl w:val="0"/>
          <w:numId w:val="1"/>
        </w:numPr>
        <w:tabs>
          <w:tab w:val="clear" w:pos="360"/>
          <w:tab w:val="left" w:pos="960"/>
        </w:tabs>
        <w:ind w:left="960" w:right="720" w:hanging="240"/>
        <w:rPr>
          <w:rFonts w:ascii="Times New Roman" w:hAnsi="Times New Roman"/>
        </w:rPr>
      </w:pPr>
      <w:r>
        <w:rPr>
          <w:rFonts w:ascii="Times New Roman" w:hAnsi="Times New Roman"/>
        </w:rPr>
        <w:t xml:space="preserve">Niet alle bilaterale en multilaterale verdragen </w:t>
      </w:r>
      <w:r w:rsidR="009203A1">
        <w:rPr>
          <w:rFonts w:ascii="Times New Roman" w:hAnsi="Times New Roman"/>
        </w:rPr>
        <w:t xml:space="preserve">die voor Nederland gelden </w:t>
      </w:r>
      <w:r>
        <w:rPr>
          <w:rFonts w:ascii="Times New Roman" w:hAnsi="Times New Roman"/>
        </w:rPr>
        <w:t xml:space="preserve">zijn eveneens van toepassing op Aruba, </w:t>
      </w:r>
      <w:r w:rsidR="00D33F9D">
        <w:rPr>
          <w:rFonts w:ascii="Times New Roman" w:hAnsi="Times New Roman"/>
        </w:rPr>
        <w:t>Curaçao</w:t>
      </w:r>
      <w:r>
        <w:rPr>
          <w:rFonts w:ascii="Times New Roman" w:hAnsi="Times New Roman"/>
        </w:rPr>
        <w:t xml:space="preserve"> en Sint Maarten; daarom wordt hier de uitbreiding van het Verdrag van 1997 beperkt tot de verdragen die van toepassing zijn verklaard op Aruba, </w:t>
      </w:r>
      <w:r w:rsidR="00D33F9D">
        <w:rPr>
          <w:rFonts w:ascii="Times New Roman" w:hAnsi="Times New Roman"/>
        </w:rPr>
        <w:t>Curaçao</w:t>
      </w:r>
      <w:r>
        <w:rPr>
          <w:rFonts w:ascii="Times New Roman" w:hAnsi="Times New Roman"/>
        </w:rPr>
        <w:t xml:space="preserve"> en Sint Maarten.</w:t>
      </w:r>
    </w:p>
    <w:p w:rsidR="009D189B" w:rsidRDefault="009D189B">
      <w:pPr>
        <w:tabs>
          <w:tab w:val="left" w:pos="960"/>
        </w:tabs>
        <w:ind w:left="960" w:right="720" w:hanging="240"/>
        <w:rPr>
          <w:rFonts w:ascii="Times New Roman" w:hAnsi="Times New Roman"/>
        </w:rPr>
      </w:pPr>
    </w:p>
    <w:p w:rsidR="009D189B" w:rsidRDefault="00CF31CE">
      <w:pPr>
        <w:numPr>
          <w:ilvl w:val="0"/>
          <w:numId w:val="1"/>
        </w:numPr>
        <w:tabs>
          <w:tab w:val="clear" w:pos="360"/>
          <w:tab w:val="left" w:pos="960"/>
        </w:tabs>
        <w:ind w:left="960" w:right="720" w:hanging="240"/>
        <w:rPr>
          <w:rFonts w:ascii="Times New Roman" w:hAnsi="Times New Roman"/>
        </w:rPr>
      </w:pPr>
      <w:r>
        <w:rPr>
          <w:rFonts w:ascii="Times New Roman" w:hAnsi="Times New Roman"/>
        </w:rPr>
        <w:t>In artikel 15 en 16</w:t>
      </w:r>
      <w:r w:rsidR="006B428C">
        <w:rPr>
          <w:rFonts w:ascii="Times New Roman" w:hAnsi="Times New Roman"/>
        </w:rPr>
        <w:t xml:space="preserve"> </w:t>
      </w:r>
      <w:r>
        <w:rPr>
          <w:rFonts w:ascii="Times New Roman" w:hAnsi="Times New Roman"/>
        </w:rPr>
        <w:t xml:space="preserve">en in de Bijlage </w:t>
      </w:r>
      <w:r w:rsidR="00B82930">
        <w:rPr>
          <w:rFonts w:ascii="Times New Roman" w:hAnsi="Times New Roman"/>
        </w:rPr>
        <w:t>van het Verdrag worden regels gegeven voor de bescherming van persoonsgegevens, waardoor de in het Verdrag bedoelde beginselen met betrekking tot de bescherming van persoonsgegevens worden gewaarborgd. Hoo</w:t>
      </w:r>
      <w:r>
        <w:rPr>
          <w:rFonts w:ascii="Times New Roman" w:hAnsi="Times New Roman"/>
        </w:rPr>
        <w:t xml:space="preserve">fdstuk 3 van de </w:t>
      </w:r>
      <w:r w:rsidR="00B82930">
        <w:rPr>
          <w:rFonts w:ascii="Times New Roman" w:hAnsi="Times New Roman"/>
        </w:rPr>
        <w:t>Rijkswet administratieve bijstand douane waarborg</w:t>
      </w:r>
      <w:r w:rsidR="009203A1">
        <w:rPr>
          <w:rFonts w:ascii="Times New Roman" w:hAnsi="Times New Roman"/>
        </w:rPr>
        <w:t>de</w:t>
      </w:r>
      <w:r w:rsidR="00B82930">
        <w:rPr>
          <w:rFonts w:ascii="Times New Roman" w:hAnsi="Times New Roman"/>
        </w:rPr>
        <w:t xml:space="preserve"> die bescherming op Aruba, </w:t>
      </w:r>
      <w:r w:rsidR="00D33F9D">
        <w:rPr>
          <w:rFonts w:ascii="Times New Roman" w:hAnsi="Times New Roman"/>
        </w:rPr>
        <w:t>Curaçao</w:t>
      </w:r>
      <w:r w:rsidR="00B82930">
        <w:rPr>
          <w:rFonts w:ascii="Times New Roman" w:hAnsi="Times New Roman"/>
        </w:rPr>
        <w:t xml:space="preserve"> en Sint Maarten, zolang er geen geldende Landsverordeningen </w:t>
      </w:r>
      <w:r w:rsidR="009203A1">
        <w:rPr>
          <w:rFonts w:ascii="Times New Roman" w:hAnsi="Times New Roman"/>
        </w:rPr>
        <w:t>waren</w:t>
      </w:r>
      <w:r w:rsidR="00B82930">
        <w:rPr>
          <w:rFonts w:ascii="Times New Roman" w:hAnsi="Times New Roman"/>
        </w:rPr>
        <w:t xml:space="preserve"> die dit onderwerp regelen. Voor Aruba geldt </w:t>
      </w:r>
      <w:r w:rsidR="009203A1">
        <w:rPr>
          <w:rFonts w:ascii="Times New Roman" w:hAnsi="Times New Roman"/>
        </w:rPr>
        <w:t xml:space="preserve">nu </w:t>
      </w:r>
      <w:r w:rsidR="00B82930">
        <w:rPr>
          <w:rFonts w:ascii="Times New Roman" w:hAnsi="Times New Roman"/>
        </w:rPr>
        <w:t xml:space="preserve">de Landsverordening persoonsregistratie (A.B. 2011, 37); voor </w:t>
      </w:r>
      <w:r w:rsidR="00D33F9D">
        <w:rPr>
          <w:rFonts w:ascii="Times New Roman" w:hAnsi="Times New Roman"/>
        </w:rPr>
        <w:t>Curaçao</w:t>
      </w:r>
      <w:r w:rsidR="00B82930">
        <w:rPr>
          <w:rFonts w:ascii="Times New Roman" w:hAnsi="Times New Roman"/>
        </w:rPr>
        <w:t xml:space="preserve"> (A.B. 2010,</w:t>
      </w:r>
      <w:r>
        <w:rPr>
          <w:rFonts w:ascii="Times New Roman" w:hAnsi="Times New Roman"/>
        </w:rPr>
        <w:t xml:space="preserve"> </w:t>
      </w:r>
      <w:r w:rsidR="00B82930">
        <w:rPr>
          <w:rFonts w:ascii="Times New Roman" w:hAnsi="Times New Roman"/>
        </w:rPr>
        <w:t>84) en Sint Maarten (A.B. 2010, GT no.</w:t>
      </w:r>
      <w:r>
        <w:rPr>
          <w:rFonts w:ascii="Times New Roman" w:hAnsi="Times New Roman"/>
        </w:rPr>
        <w:t xml:space="preserve"> </w:t>
      </w:r>
      <w:r w:rsidR="00B82930">
        <w:rPr>
          <w:rFonts w:ascii="Times New Roman" w:hAnsi="Times New Roman"/>
        </w:rPr>
        <w:t>2) is er de Landsverordening bescherming persoonsgegevens.</w:t>
      </w:r>
    </w:p>
    <w:p w:rsidR="009D189B" w:rsidRDefault="009D189B">
      <w:pPr>
        <w:ind w:left="720" w:right="720" w:hanging="720"/>
        <w:rPr>
          <w:rFonts w:ascii="Times New Roman" w:hAnsi="Times New Roman"/>
        </w:rPr>
      </w:pPr>
    </w:p>
    <w:p w:rsidR="009D189B" w:rsidRDefault="009D189B">
      <w:pPr>
        <w:ind w:left="720" w:right="720"/>
        <w:rPr>
          <w:rFonts w:ascii="Times New Roman" w:hAnsi="Times New Roman"/>
          <w:b/>
          <w:u w:val="single"/>
        </w:rPr>
      </w:pPr>
      <w:r>
        <w:rPr>
          <w:rFonts w:ascii="Times New Roman" w:hAnsi="Times New Roman"/>
          <w:b/>
          <w:u w:val="single"/>
        </w:rPr>
        <w:t xml:space="preserve">Koninkrijkspositie </w:t>
      </w:r>
    </w:p>
    <w:p w:rsidR="009D189B" w:rsidRDefault="009D189B">
      <w:pPr>
        <w:ind w:left="720" w:right="720"/>
        <w:rPr>
          <w:rFonts w:ascii="Times New Roman" w:hAnsi="Times New Roman"/>
        </w:rPr>
      </w:pPr>
      <w:r>
        <w:rPr>
          <w:rFonts w:ascii="Times New Roman" w:hAnsi="Times New Roman"/>
        </w:rPr>
        <w:t>Uit het bovenstaande volgt, dat de gelding van het Verdrag zal worden uitgebreid tot Aruba, Cura</w:t>
      </w:r>
      <w:r w:rsidRPr="00AC3FCA" w:rsidR="00AC3FCA">
        <w:rPr>
          <w:rFonts w:ascii="Times New Roman" w:hAnsi="Times New Roman"/>
        </w:rPr>
        <w:t>ç</w:t>
      </w:r>
      <w:r>
        <w:rPr>
          <w:rFonts w:ascii="Times New Roman" w:hAnsi="Times New Roman"/>
        </w:rPr>
        <w:t xml:space="preserve">ao en Sint Maarten met inachtneming van de wijzigingen, vervat in de notawisseling met Letland, die een verdrag ten behoeve van Aruba, </w:t>
      </w:r>
      <w:r w:rsidR="00D33F9D">
        <w:rPr>
          <w:rFonts w:ascii="Times New Roman" w:hAnsi="Times New Roman"/>
        </w:rPr>
        <w:t>Curaçao</w:t>
      </w:r>
      <w:r>
        <w:rPr>
          <w:rFonts w:ascii="Times New Roman" w:hAnsi="Times New Roman"/>
        </w:rPr>
        <w:t xml:space="preserve"> en Sint Maarten vormt.</w:t>
      </w:r>
    </w:p>
    <w:p w:rsidR="009D189B" w:rsidRDefault="009D189B">
      <w:pPr>
        <w:ind w:left="720" w:right="720"/>
        <w:rPr>
          <w:rFonts w:ascii="Times New Roman" w:hAnsi="Times New Roman"/>
        </w:rPr>
      </w:pPr>
    </w:p>
    <w:p w:rsidR="009D189B" w:rsidRDefault="009D189B">
      <w:pPr>
        <w:ind w:left="720" w:right="720"/>
        <w:rPr>
          <w:rFonts w:ascii="Times New Roman" w:hAnsi="Times New Roman"/>
        </w:rPr>
      </w:pPr>
    </w:p>
    <w:p w:rsidR="00B56B17" w:rsidRDefault="00B56B17">
      <w:pPr>
        <w:ind w:left="720" w:right="720"/>
        <w:rPr>
          <w:rFonts w:ascii="Times New Roman" w:hAnsi="Times New Roman"/>
        </w:rPr>
      </w:pPr>
    </w:p>
    <w:p w:rsidR="00B56B17" w:rsidRDefault="00B56B17">
      <w:pPr>
        <w:ind w:left="720" w:right="720"/>
        <w:rPr>
          <w:rFonts w:ascii="Times New Roman" w:hAnsi="Times New Roman"/>
        </w:rPr>
      </w:pPr>
    </w:p>
    <w:p w:rsidR="009D189B" w:rsidRDefault="009D189B">
      <w:pPr>
        <w:ind w:left="720" w:right="720"/>
        <w:rPr>
          <w:rFonts w:ascii="Times New Roman" w:hAnsi="Times New Roman"/>
        </w:rPr>
      </w:pPr>
      <w:r>
        <w:rPr>
          <w:rFonts w:ascii="Times New Roman" w:hAnsi="Times New Roman"/>
        </w:rPr>
        <w:t>De Minister van Buitenlandse Zaken,</w:t>
      </w:r>
    </w:p>
    <w:sectPr w:rsidR="009D189B" w:rsidSect="00346A5D">
      <w:headerReference w:type="even" r:id="rId8"/>
      <w:headerReference w:type="default" r:id="rId9"/>
      <w:footerReference w:type="even" r:id="rId10"/>
      <w:footerReference w:type="default" r:id="rId11"/>
      <w:headerReference w:type="first" r:id="rId12"/>
      <w:footerReference w:type="first" r:id="rId13"/>
      <w:pgSz w:w="12240" w:h="15840" w:code="1"/>
      <w:pgMar w:top="1134" w:right="720" w:bottom="851" w:left="720" w:header="720" w:footer="567"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E6D" w:rsidRDefault="00FF7E6D">
      <w:r>
        <w:separator/>
      </w:r>
    </w:p>
  </w:endnote>
  <w:endnote w:type="continuationSeparator" w:id="0">
    <w:p w:rsidR="00FF7E6D" w:rsidRDefault="00FF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9B" w:rsidRDefault="009D18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4957">
      <w:rPr>
        <w:rStyle w:val="PageNumber"/>
        <w:noProof/>
      </w:rPr>
      <w:t>1</w:t>
    </w:r>
    <w:r>
      <w:rPr>
        <w:rStyle w:val="PageNumber"/>
      </w:rPr>
      <w:fldChar w:fldCharType="end"/>
    </w:r>
  </w:p>
  <w:p w:rsidR="009D189B" w:rsidRDefault="009D18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9B" w:rsidRDefault="009D18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3910">
      <w:rPr>
        <w:rStyle w:val="PageNumber"/>
        <w:noProof/>
      </w:rPr>
      <w:t>2</w:t>
    </w:r>
    <w:r>
      <w:rPr>
        <w:rStyle w:val="PageNumber"/>
      </w:rPr>
      <w:fldChar w:fldCharType="end"/>
    </w:r>
  </w:p>
  <w:p w:rsidR="009D189B" w:rsidRDefault="009D189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A5D" w:rsidRDefault="00346A5D" w:rsidP="00346A5D">
    <w:pPr>
      <w:pStyle w:val="Footer"/>
      <w:pBdr>
        <w:bottom w:val="single" w:sz="12" w:space="1" w:color="auto"/>
      </w:pBdr>
      <w:ind w:left="709"/>
      <w:rPr>
        <w:rFonts w:ascii="Times New Roman" w:hAnsi="Times New Roman" w:cs="Times New Roman"/>
        <w:sz w:val="22"/>
        <w:szCs w:val="22"/>
      </w:rPr>
    </w:pPr>
  </w:p>
  <w:p w:rsidR="00346A5D" w:rsidRPr="00346A5D" w:rsidRDefault="00346A5D" w:rsidP="00346A5D">
    <w:pPr>
      <w:pStyle w:val="Footer"/>
      <w:ind w:left="709"/>
      <w:rPr>
        <w:rFonts w:ascii="Times New Roman" w:hAnsi="Times New Roman" w:cs="Times New Roman"/>
        <w:sz w:val="22"/>
        <w:szCs w:val="22"/>
      </w:rPr>
    </w:pPr>
    <w:r w:rsidRPr="00346A5D">
      <w:rPr>
        <w:rFonts w:ascii="Times New Roman" w:hAnsi="Times New Roman" w:cs="Times New Roman"/>
        <w:sz w:val="22"/>
        <w:szCs w:val="22"/>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E6D" w:rsidRDefault="00FF7E6D">
      <w:r>
        <w:separator/>
      </w:r>
    </w:p>
  </w:footnote>
  <w:footnote w:type="continuationSeparator" w:id="0">
    <w:p w:rsidR="00FF7E6D" w:rsidRDefault="00FF7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A5D" w:rsidRDefault="00346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A5D" w:rsidRDefault="00346A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A5D" w:rsidRDefault="00346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72B95"/>
    <w:multiLevelType w:val="hybridMultilevel"/>
    <w:tmpl w:val="9A3C5460"/>
    <w:lvl w:ilvl="0" w:tplc="5156AB2A">
      <w:start w:val="1"/>
      <w:numFmt w:val="decimal"/>
      <w:lvlText w:val="%1."/>
      <w:lvlJc w:val="left"/>
      <w:pPr>
        <w:tabs>
          <w:tab w:val="num" w:pos="1080"/>
        </w:tabs>
        <w:ind w:left="1080" w:hanging="360"/>
      </w:pPr>
    </w:lvl>
    <w:lvl w:ilvl="1" w:tplc="147086BA" w:tentative="1">
      <w:start w:val="1"/>
      <w:numFmt w:val="lowerLetter"/>
      <w:lvlText w:val="%2."/>
      <w:lvlJc w:val="left"/>
      <w:pPr>
        <w:tabs>
          <w:tab w:val="num" w:pos="1800"/>
        </w:tabs>
        <w:ind w:left="1800" w:hanging="360"/>
      </w:pPr>
    </w:lvl>
    <w:lvl w:ilvl="2" w:tplc="2CDC3C8A" w:tentative="1">
      <w:start w:val="1"/>
      <w:numFmt w:val="lowerRoman"/>
      <w:lvlText w:val="%3."/>
      <w:lvlJc w:val="right"/>
      <w:pPr>
        <w:tabs>
          <w:tab w:val="num" w:pos="2520"/>
        </w:tabs>
        <w:ind w:left="2520" w:hanging="180"/>
      </w:pPr>
    </w:lvl>
    <w:lvl w:ilvl="3" w:tplc="C4F80A24" w:tentative="1">
      <w:start w:val="1"/>
      <w:numFmt w:val="decimal"/>
      <w:lvlText w:val="%4."/>
      <w:lvlJc w:val="left"/>
      <w:pPr>
        <w:tabs>
          <w:tab w:val="num" w:pos="3240"/>
        </w:tabs>
        <w:ind w:left="3240" w:hanging="360"/>
      </w:pPr>
    </w:lvl>
    <w:lvl w:ilvl="4" w:tplc="7A0452E2" w:tentative="1">
      <w:start w:val="1"/>
      <w:numFmt w:val="lowerLetter"/>
      <w:lvlText w:val="%5."/>
      <w:lvlJc w:val="left"/>
      <w:pPr>
        <w:tabs>
          <w:tab w:val="num" w:pos="3960"/>
        </w:tabs>
        <w:ind w:left="3960" w:hanging="360"/>
      </w:pPr>
    </w:lvl>
    <w:lvl w:ilvl="5" w:tplc="089A4348" w:tentative="1">
      <w:start w:val="1"/>
      <w:numFmt w:val="lowerRoman"/>
      <w:lvlText w:val="%6."/>
      <w:lvlJc w:val="right"/>
      <w:pPr>
        <w:tabs>
          <w:tab w:val="num" w:pos="4680"/>
        </w:tabs>
        <w:ind w:left="4680" w:hanging="180"/>
      </w:pPr>
    </w:lvl>
    <w:lvl w:ilvl="6" w:tplc="73EA41B4" w:tentative="1">
      <w:start w:val="1"/>
      <w:numFmt w:val="decimal"/>
      <w:lvlText w:val="%7."/>
      <w:lvlJc w:val="left"/>
      <w:pPr>
        <w:tabs>
          <w:tab w:val="num" w:pos="5400"/>
        </w:tabs>
        <w:ind w:left="5400" w:hanging="360"/>
      </w:pPr>
    </w:lvl>
    <w:lvl w:ilvl="7" w:tplc="E95C16DC" w:tentative="1">
      <w:start w:val="1"/>
      <w:numFmt w:val="lowerLetter"/>
      <w:lvlText w:val="%8."/>
      <w:lvlJc w:val="left"/>
      <w:pPr>
        <w:tabs>
          <w:tab w:val="num" w:pos="6120"/>
        </w:tabs>
        <w:ind w:left="6120" w:hanging="360"/>
      </w:pPr>
    </w:lvl>
    <w:lvl w:ilvl="8" w:tplc="34B424DC" w:tentative="1">
      <w:start w:val="1"/>
      <w:numFmt w:val="lowerRoman"/>
      <w:lvlText w:val="%9."/>
      <w:lvlJc w:val="right"/>
      <w:pPr>
        <w:tabs>
          <w:tab w:val="num" w:pos="6840"/>
        </w:tabs>
        <w:ind w:left="6840" w:hanging="180"/>
      </w:pPr>
    </w:lvl>
  </w:abstractNum>
  <w:abstractNum w:abstractNumId="1">
    <w:nsid w:val="3B51519F"/>
    <w:multiLevelType w:val="hybridMultilevel"/>
    <w:tmpl w:val="79960CFE"/>
    <w:lvl w:ilvl="0" w:tplc="859C4E0C">
      <w:start w:val="1"/>
      <w:numFmt w:val="decimal"/>
      <w:lvlText w:val="%1."/>
      <w:lvlJc w:val="left"/>
      <w:pPr>
        <w:tabs>
          <w:tab w:val="num" w:pos="1440"/>
        </w:tabs>
        <w:ind w:left="1440" w:hanging="720"/>
      </w:pPr>
      <w:rPr>
        <w:rFonts w:hint="default"/>
      </w:rPr>
    </w:lvl>
    <w:lvl w:ilvl="1" w:tplc="9B34C1A8" w:tentative="1">
      <w:start w:val="1"/>
      <w:numFmt w:val="lowerLetter"/>
      <w:lvlText w:val="%2."/>
      <w:lvlJc w:val="left"/>
      <w:pPr>
        <w:tabs>
          <w:tab w:val="num" w:pos="1800"/>
        </w:tabs>
        <w:ind w:left="1800" w:hanging="360"/>
      </w:pPr>
    </w:lvl>
    <w:lvl w:ilvl="2" w:tplc="E9D42E5E" w:tentative="1">
      <w:start w:val="1"/>
      <w:numFmt w:val="lowerRoman"/>
      <w:lvlText w:val="%3."/>
      <w:lvlJc w:val="right"/>
      <w:pPr>
        <w:tabs>
          <w:tab w:val="num" w:pos="2520"/>
        </w:tabs>
        <w:ind w:left="2520" w:hanging="180"/>
      </w:pPr>
    </w:lvl>
    <w:lvl w:ilvl="3" w:tplc="35D20E76" w:tentative="1">
      <w:start w:val="1"/>
      <w:numFmt w:val="decimal"/>
      <w:lvlText w:val="%4."/>
      <w:lvlJc w:val="left"/>
      <w:pPr>
        <w:tabs>
          <w:tab w:val="num" w:pos="3240"/>
        </w:tabs>
        <w:ind w:left="3240" w:hanging="360"/>
      </w:pPr>
    </w:lvl>
    <w:lvl w:ilvl="4" w:tplc="2A7084CE" w:tentative="1">
      <w:start w:val="1"/>
      <w:numFmt w:val="lowerLetter"/>
      <w:lvlText w:val="%5."/>
      <w:lvlJc w:val="left"/>
      <w:pPr>
        <w:tabs>
          <w:tab w:val="num" w:pos="3960"/>
        </w:tabs>
        <w:ind w:left="3960" w:hanging="360"/>
      </w:pPr>
    </w:lvl>
    <w:lvl w:ilvl="5" w:tplc="3D82F092" w:tentative="1">
      <w:start w:val="1"/>
      <w:numFmt w:val="lowerRoman"/>
      <w:lvlText w:val="%6."/>
      <w:lvlJc w:val="right"/>
      <w:pPr>
        <w:tabs>
          <w:tab w:val="num" w:pos="4680"/>
        </w:tabs>
        <w:ind w:left="4680" w:hanging="180"/>
      </w:pPr>
    </w:lvl>
    <w:lvl w:ilvl="6" w:tplc="B1C4500C" w:tentative="1">
      <w:start w:val="1"/>
      <w:numFmt w:val="decimal"/>
      <w:lvlText w:val="%7."/>
      <w:lvlJc w:val="left"/>
      <w:pPr>
        <w:tabs>
          <w:tab w:val="num" w:pos="5400"/>
        </w:tabs>
        <w:ind w:left="5400" w:hanging="360"/>
      </w:pPr>
    </w:lvl>
    <w:lvl w:ilvl="7" w:tplc="5FF80E64" w:tentative="1">
      <w:start w:val="1"/>
      <w:numFmt w:val="lowerLetter"/>
      <w:lvlText w:val="%8."/>
      <w:lvlJc w:val="left"/>
      <w:pPr>
        <w:tabs>
          <w:tab w:val="num" w:pos="6120"/>
        </w:tabs>
        <w:ind w:left="6120" w:hanging="360"/>
      </w:pPr>
    </w:lvl>
    <w:lvl w:ilvl="8" w:tplc="6862167C" w:tentative="1">
      <w:start w:val="1"/>
      <w:numFmt w:val="lowerRoman"/>
      <w:lvlText w:val="%9."/>
      <w:lvlJc w:val="right"/>
      <w:pPr>
        <w:tabs>
          <w:tab w:val="num" w:pos="6840"/>
        </w:tabs>
        <w:ind w:left="6840" w:hanging="180"/>
      </w:pPr>
    </w:lvl>
  </w:abstractNum>
  <w:abstractNum w:abstractNumId="2">
    <w:nsid w:val="51317D90"/>
    <w:multiLevelType w:val="hybridMultilevel"/>
    <w:tmpl w:val="C3B0B10A"/>
    <w:lvl w:ilvl="0" w:tplc="2B04897A">
      <w:start w:val="1"/>
      <w:numFmt w:val="decimal"/>
      <w:lvlText w:val="%1."/>
      <w:lvlJc w:val="left"/>
      <w:pPr>
        <w:tabs>
          <w:tab w:val="num" w:pos="360"/>
        </w:tabs>
        <w:ind w:left="360" w:hanging="360"/>
      </w:pPr>
      <w:rPr>
        <w:rFonts w:hint="default"/>
      </w:rPr>
    </w:lvl>
    <w:lvl w:ilvl="1" w:tplc="741A64FA" w:tentative="1">
      <w:start w:val="1"/>
      <w:numFmt w:val="lowerLetter"/>
      <w:lvlText w:val="%2."/>
      <w:lvlJc w:val="left"/>
      <w:pPr>
        <w:tabs>
          <w:tab w:val="num" w:pos="1440"/>
        </w:tabs>
        <w:ind w:left="1440" w:hanging="360"/>
      </w:pPr>
    </w:lvl>
    <w:lvl w:ilvl="2" w:tplc="24E612F8" w:tentative="1">
      <w:start w:val="1"/>
      <w:numFmt w:val="lowerRoman"/>
      <w:lvlText w:val="%3."/>
      <w:lvlJc w:val="right"/>
      <w:pPr>
        <w:tabs>
          <w:tab w:val="num" w:pos="2160"/>
        </w:tabs>
        <w:ind w:left="2160" w:hanging="180"/>
      </w:pPr>
    </w:lvl>
    <w:lvl w:ilvl="3" w:tplc="1FEAB018" w:tentative="1">
      <w:start w:val="1"/>
      <w:numFmt w:val="decimal"/>
      <w:lvlText w:val="%4."/>
      <w:lvlJc w:val="left"/>
      <w:pPr>
        <w:tabs>
          <w:tab w:val="num" w:pos="2880"/>
        </w:tabs>
        <w:ind w:left="2880" w:hanging="360"/>
      </w:pPr>
    </w:lvl>
    <w:lvl w:ilvl="4" w:tplc="F3B6408E" w:tentative="1">
      <w:start w:val="1"/>
      <w:numFmt w:val="lowerLetter"/>
      <w:lvlText w:val="%5."/>
      <w:lvlJc w:val="left"/>
      <w:pPr>
        <w:tabs>
          <w:tab w:val="num" w:pos="3600"/>
        </w:tabs>
        <w:ind w:left="3600" w:hanging="360"/>
      </w:pPr>
    </w:lvl>
    <w:lvl w:ilvl="5" w:tplc="DEAC13FE" w:tentative="1">
      <w:start w:val="1"/>
      <w:numFmt w:val="lowerRoman"/>
      <w:lvlText w:val="%6."/>
      <w:lvlJc w:val="right"/>
      <w:pPr>
        <w:tabs>
          <w:tab w:val="num" w:pos="4320"/>
        </w:tabs>
        <w:ind w:left="4320" w:hanging="180"/>
      </w:pPr>
    </w:lvl>
    <w:lvl w:ilvl="6" w:tplc="399C7EC2" w:tentative="1">
      <w:start w:val="1"/>
      <w:numFmt w:val="decimal"/>
      <w:lvlText w:val="%7."/>
      <w:lvlJc w:val="left"/>
      <w:pPr>
        <w:tabs>
          <w:tab w:val="num" w:pos="5040"/>
        </w:tabs>
        <w:ind w:left="5040" w:hanging="360"/>
      </w:pPr>
    </w:lvl>
    <w:lvl w:ilvl="7" w:tplc="3954A2A8" w:tentative="1">
      <w:start w:val="1"/>
      <w:numFmt w:val="lowerLetter"/>
      <w:lvlText w:val="%8."/>
      <w:lvlJc w:val="left"/>
      <w:pPr>
        <w:tabs>
          <w:tab w:val="num" w:pos="5760"/>
        </w:tabs>
        <w:ind w:left="5760" w:hanging="360"/>
      </w:pPr>
    </w:lvl>
    <w:lvl w:ilvl="8" w:tplc="87CAD8E2"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87"/>
    <w:rsid w:val="000E7434"/>
    <w:rsid w:val="00104957"/>
    <w:rsid w:val="00181A70"/>
    <w:rsid w:val="001C3910"/>
    <w:rsid w:val="00274C19"/>
    <w:rsid w:val="0031588D"/>
    <w:rsid w:val="00346A5D"/>
    <w:rsid w:val="003550B5"/>
    <w:rsid w:val="003A17E8"/>
    <w:rsid w:val="006645F0"/>
    <w:rsid w:val="006A5ED4"/>
    <w:rsid w:val="006B428C"/>
    <w:rsid w:val="007B2BCB"/>
    <w:rsid w:val="00827E00"/>
    <w:rsid w:val="009203A1"/>
    <w:rsid w:val="00967B8F"/>
    <w:rsid w:val="009D189B"/>
    <w:rsid w:val="009F0B87"/>
    <w:rsid w:val="00A3794F"/>
    <w:rsid w:val="00AB238F"/>
    <w:rsid w:val="00AC3FCA"/>
    <w:rsid w:val="00B00610"/>
    <w:rsid w:val="00B56B17"/>
    <w:rsid w:val="00B82930"/>
    <w:rsid w:val="00C93420"/>
    <w:rsid w:val="00CF31CE"/>
    <w:rsid w:val="00D06CFB"/>
    <w:rsid w:val="00D33F9D"/>
    <w:rsid w:val="00E44D7E"/>
    <w:rsid w:val="00EE6B9B"/>
    <w:rsid w:val="00F171AC"/>
    <w:rsid w:val="00FF7E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682</ap:Words>
  <ap:Characters>3971</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Verdrag tussen het Koninkrijk der Nederlanden en de Republiek Chili inzake de wederzijdse administratieve bijstand ten behoeve van de juiste toepassing  van douanewetgeving en de voorkoming, opsporing en bestrijding van inbreuken op de douanewetgeving; ’</vt:lpstr>
    </vt:vector>
  </ap:TitlesOfParts>
  <ap:LinksUpToDate>false</ap:LinksUpToDate>
  <ap:CharactersWithSpaces>4644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2014-07-30T10:13:00.0000000Z</lastPrinted>
  <dcterms:created xsi:type="dcterms:W3CDTF">2014-09-03T13:13:00.0000000Z</dcterms:created>
  <dcterms:modified xsi:type="dcterms:W3CDTF">2014-09-03T13:13:00.0000000Z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0x010100E2D775C3D9C57241B153579E335D2DC9</vt:lpwstr>
  </property>
</Properties>
</file>