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0D9E3A4D" wp14:anchorId="11BCA8A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6BF6127" wp14:anchorId="0A2F619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W03.13.0401/II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januari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54E29" w:rsidRDefault="004B7207">
              <w:r>
                <w:t>Bij Kabinetsmissive van 13 november 2013, no.2013002322, heeft Uwe Majesteit, op voordracht van de Minister van Veiligheid en Justitie, bij de Afdeling advisering van de Raad van State ter overweging aanhangig gemaakt het voorstel van wet tot wijziging van de Faillissementswet in verband met de invoering van de mogelijkheid van een civielrechtelijk bestuursverbod (Wet civielrechtelijk bestuursverbod), met memorie van toelichting.</w:t>
              </w:r>
            </w:p>
          </w:sdtContent>
        </w:sdt>
        <w:p w:rsidRPr="00831363" w:rsidR="00CE4655" w:rsidP="003C7608" w:rsidRDefault="00CE4655"/>
        <w:sdt>
          <w:sdtPr>
            <w:alias w:val="VrijeTekst1"/>
            <w:tag w:val="VrijeTekst1"/>
            <w:id w:val="-1861418069"/>
            <w:lock w:val="sdtLocked"/>
          </w:sdtPr>
          <w:sdtEndPr/>
          <w:sdtContent>
            <w:p w:rsidR="00097216" w:rsidP="00B86D01" w:rsidRDefault="004B7207">
              <w:pPr>
                <w:pStyle w:val="Lijstalinea"/>
                <w:ind w:left="0"/>
              </w:pPr>
              <w:r>
                <w:t>Het voorstel voorziet in de introductie van een zogenoemd civielrechtelijk bestuursverbod in de Faillissementswet (Fw). Degene</w:t>
              </w:r>
              <w:r w:rsidRPr="001D4C95">
                <w:t xml:space="preserve"> aan wie een bestuursverbod is opgelegd</w:t>
              </w:r>
              <w:r>
                <w:t>,</w:t>
              </w:r>
              <w:r w:rsidRPr="001D4C95">
                <w:t xml:space="preserve"> kan ten hoogste vijf jaar niet tot bestuurder of commissaris van een rechtspersoon worden benoemd. Het </w:t>
              </w:r>
              <w:r>
                <w:t xml:space="preserve">eenmaal opgelegde </w:t>
              </w:r>
              <w:r w:rsidRPr="001D4C95">
                <w:t xml:space="preserve">bestuursverbod vormt tevens een beletsel voor de uitoefening van zijn functie als bestuurder of commissaris bij, kort gezegd, </w:t>
              </w:r>
              <w:r>
                <w:t xml:space="preserve">alle </w:t>
              </w:r>
              <w:r w:rsidRPr="001D4C95">
                <w:t xml:space="preserve">andere rechtspersonen waar de betrokkene een bestuursfunctie uitoefent op het moment van het verzoek of de vordering tot het opleggen van een bestuursverbod. Een </w:t>
              </w:r>
              <w:r>
                <w:t>bestuurs</w:t>
              </w:r>
              <w:r w:rsidRPr="001D4C95">
                <w:t xml:space="preserve">verbod kan tevens worden opgelegd aan een ‘feitelijk’ (niet statutair) bestuurder en behelst in dezelfde zin een verbod op ‘feitelijk bestuur’. </w:t>
              </w:r>
              <w:r>
                <w:t xml:space="preserve">Een bestuursverbod wordt opgelegd door de civiele rechter op verzoek van het openbaar ministerie of op vordering of verzoek van de curator in het kader van het faillissement van een rechtspersoon waar de betrokkene bestuurder was. </w:t>
              </w:r>
            </w:p>
            <w:p w:rsidR="00097216" w:rsidP="00B86D01" w:rsidRDefault="000F0AC5">
              <w:pPr>
                <w:pStyle w:val="Lijstalinea"/>
                <w:ind w:left="0"/>
              </w:pPr>
            </w:p>
            <w:p w:rsidR="00D1130D" w:rsidP="00B86D01" w:rsidRDefault="004B7207">
              <w:pPr>
                <w:pStyle w:val="Lijstalinea"/>
                <w:ind w:left="0"/>
              </w:pPr>
              <w:r w:rsidRPr="00ED4957">
                <w:t>De Afdeling advisering van de Raad van State maakt</w:t>
              </w:r>
              <w:r>
                <w:t xml:space="preserve"> </w:t>
              </w:r>
              <w:r w:rsidRPr="00ED4957">
                <w:t>opmerking</w:t>
              </w:r>
              <w:r>
                <w:t>en</w:t>
              </w:r>
              <w:r w:rsidRPr="00ED4957">
                <w:t xml:space="preserve"> over</w:t>
              </w:r>
              <w:r>
                <w:t xml:space="preserve"> de</w:t>
              </w:r>
              <w:r w:rsidRPr="00097216">
                <w:t xml:space="preserve"> discrepantie tussen de doelstelling van het voorstel</w:t>
              </w:r>
              <w:r>
                <w:t>,</w:t>
              </w:r>
              <w:r w:rsidRPr="00097216">
                <w:t xml:space="preserve"> zoals die in de memorie van toelichting is geformuleerd en de tekst van het voorstel</w:t>
              </w:r>
              <w:r>
                <w:t xml:space="preserve">. Voorts gaat de Afdeling in op </w:t>
              </w:r>
              <w:r w:rsidRPr="00097216">
                <w:t>de verbreding van de taak van de curator</w:t>
              </w:r>
              <w:r>
                <w:t>,</w:t>
              </w:r>
              <w:r w:rsidRPr="00097216">
                <w:t xml:space="preserve"> </w:t>
              </w:r>
              <w:r>
                <w:t>waarbij deze</w:t>
              </w:r>
              <w:r w:rsidRPr="00097216">
                <w:t xml:space="preserve"> met een taak wordt belast die het belang van de schuldeisers in het faillisse</w:t>
              </w:r>
              <w:r>
                <w:t xml:space="preserve">ment waarom het gaat niet dient. Tevens wijst de Afdeling erop dat noch uit het </w:t>
              </w:r>
              <w:r w:rsidRPr="00097216">
                <w:t xml:space="preserve">voorstel noch uit de toelichting blijkt welke criteria de rechter zou moeten hanteren bij de beantwoording van de vraag of een bestuursverbod gerechtvaardigd is. </w:t>
              </w:r>
              <w:r w:rsidRPr="00ED4957">
                <w:t>Zij is van oordeel dat in verband daarmee aanpassing van het wetsvoorstel wenselijk is.</w:t>
              </w:r>
            </w:p>
            <w:p w:rsidR="00D1130D" w:rsidP="00B86D01" w:rsidRDefault="000F0AC5">
              <w:pPr>
                <w:pStyle w:val="Lijstalinea"/>
                <w:ind w:left="0"/>
              </w:pPr>
            </w:p>
            <w:p w:rsidRPr="00AB5271" w:rsidR="00AB5271" w:rsidP="00AB5271" w:rsidRDefault="004B7207">
              <w:pPr>
                <w:pStyle w:val="Lijstalinea"/>
                <w:ind w:left="0"/>
              </w:pPr>
              <w:r>
                <w:t>1</w:t>
              </w:r>
              <w:r w:rsidRPr="00AB5271">
                <w:t xml:space="preserve">. </w:t>
              </w:r>
              <w:r>
                <w:tab/>
              </w:r>
              <w:r w:rsidRPr="00AF45C2">
                <w:rPr>
                  <w:u w:val="single"/>
                </w:rPr>
                <w:t>D</w:t>
              </w:r>
              <w:r>
                <w:rPr>
                  <w:u w:val="single"/>
                </w:rPr>
                <w:t>oel van het voorstel</w:t>
              </w:r>
            </w:p>
            <w:p w:rsidR="00AB5271" w:rsidP="00AB5271" w:rsidRDefault="000F0AC5">
              <w:pPr>
                <w:pStyle w:val="Lijstalinea"/>
                <w:ind w:left="0"/>
              </w:pPr>
            </w:p>
            <w:p w:rsidR="00AF45C2" w:rsidP="00AF45C2" w:rsidRDefault="004B7207">
              <w:pPr>
                <w:pStyle w:val="Lijstalinea"/>
                <w:ind w:left="0"/>
              </w:pPr>
              <w:r>
                <w:t>De toelichting vermeldt dat het met dit wetsvoorstel mogelijk wordt om bestuurders die zich bezig houden met faillissementsfraude of die zich schuldig hebben gemaakt aan wanbeheer in de aanloop naar een faillissement langs civielrechtelijke weg een bestuursverbod op te leggen. Het doel is om faillissementsfraude effectiever te kunnen bestrijden en om te voorkomen dat frauduleuze bestuurders hun activiteiten via allerlei omwegen en met nieuwe rechtspersonen ongehinderd kunnen voortzetten, aldus de toelichting.</w:t>
              </w:r>
              <w:r>
                <w:rPr>
                  <w:rStyle w:val="Voetnootmarkering"/>
                </w:rPr>
                <w:footnoteReference w:id="1"/>
              </w:r>
              <w:r>
                <w:t xml:space="preserve"> </w:t>
              </w:r>
              <w:r w:rsidRPr="00AE3C4E">
                <w:t>Afgaande op laatstgenoemde omschrijving lijkt de doelstelling van het wetsvoorstel vooral te zijn gericht op de bestrijding van faillissementsfraude.</w:t>
              </w:r>
            </w:p>
            <w:p w:rsidR="00AF45C2" w:rsidP="00AF45C2" w:rsidRDefault="000F0AC5">
              <w:pPr>
                <w:pStyle w:val="Lijstalinea"/>
                <w:ind w:left="0"/>
              </w:pPr>
            </w:p>
            <w:p w:rsidR="00257C34" w:rsidP="00257C34" w:rsidRDefault="004B7207">
              <w:pPr>
                <w:pStyle w:val="Lijstalinea"/>
                <w:ind w:left="0"/>
              </w:pPr>
              <w:r>
                <w:t xml:space="preserve">De Afdeling merkt op dat de gronden voor oplegging van een bestuursverbod in het voorgestelde artikel 106a, eerste lid, onderdeel a tot en met e, Fw divers zijn. Daarbij is </w:t>
              </w:r>
              <w:r>
                <w:lastRenderedPageBreak/>
                <w:t>niet vanzelfsprekend sprake van faillissementsfraude</w:t>
              </w:r>
              <w:r>
                <w:rPr>
                  <w:rStyle w:val="Voetnootmarkering"/>
                </w:rPr>
                <w:footnoteReference w:id="2"/>
              </w:r>
              <w:r>
                <w:t xml:space="preserve"> maar veeleer van kennelijk onbehoorlijke taakvervulling of wanbeheer</w:t>
              </w:r>
              <w:r>
                <w:rPr>
                  <w:rStyle w:val="Voetnootmarkering"/>
                </w:rPr>
                <w:footnoteReference w:id="3"/>
              </w:r>
              <w:r>
                <w:t xml:space="preserve"> in aanloop naar een faillissement. Dit blijkt ook uit de toelichting op de verschillende onderdelen.</w:t>
              </w:r>
              <w:r>
                <w:rPr>
                  <w:rStyle w:val="Voetnootmarkering"/>
                </w:rPr>
                <w:footnoteReference w:id="4"/>
              </w:r>
              <w:r>
                <w:t xml:space="preserve"> K</w:t>
              </w:r>
              <w:r w:rsidRPr="000F5A94">
                <w:t>ennelij</w:t>
              </w:r>
              <w:r>
                <w:t>ke onbehoorlijke taakvervulling</w:t>
              </w:r>
              <w:r w:rsidRPr="000F5A94">
                <w:t xml:space="preserve"> </w:t>
              </w:r>
              <w:r>
                <w:t xml:space="preserve">en faillissementsfraude zijn verschillende, elkaar niet volledig overlappende begrippen. Daardoor bestaat een discrepantie tussen de </w:t>
              </w:r>
              <w:r w:rsidRPr="00AF45C2">
                <w:t>doelstelling van het voorstel</w:t>
              </w:r>
              <w:r>
                <w:t xml:space="preserve"> zoals die in de memorie van toelichting is geformuleerd en de tekst van het voorstel. De Afdeling gaat er, gelet op de tekst van het voorstel, vanuit dat is beoogd een breder bereik aan het voorstel te geven dan enkel bestrijding van faillissementsfraude.</w:t>
              </w:r>
            </w:p>
            <w:p w:rsidR="00496AE6" w:rsidP="00257C34" w:rsidRDefault="000F0AC5">
              <w:pPr>
                <w:pStyle w:val="Lijstalinea"/>
                <w:ind w:left="0"/>
              </w:pPr>
            </w:p>
            <w:p w:rsidR="00257C34" w:rsidP="00681B1B" w:rsidRDefault="004B7207">
              <w:pPr>
                <w:pStyle w:val="Lijstalinea"/>
                <w:ind w:left="0"/>
              </w:pPr>
              <w:r>
                <w:t>De Afdeling adviseert de toelichting in het licht van het bovenstaande te verduidelijken.</w:t>
              </w:r>
            </w:p>
            <w:p w:rsidR="00257C34" w:rsidP="00681B1B" w:rsidRDefault="000F0AC5">
              <w:pPr>
                <w:pStyle w:val="Lijstalinea"/>
                <w:ind w:left="0"/>
              </w:pPr>
            </w:p>
            <w:p w:rsidR="00AB5271" w:rsidP="00AB5271" w:rsidRDefault="004B7207">
              <w:pPr>
                <w:pStyle w:val="Lijstalinea"/>
                <w:ind w:left="0"/>
                <w:rPr>
                  <w:u w:val="single"/>
                </w:rPr>
              </w:pPr>
              <w:r>
                <w:t>2</w:t>
              </w:r>
              <w:r w:rsidRPr="00542FF4">
                <w:t>.</w:t>
              </w:r>
              <w:r w:rsidRPr="00542FF4">
                <w:tab/>
              </w:r>
              <w:r>
                <w:rPr>
                  <w:u w:val="single"/>
                </w:rPr>
                <w:t>Rol</w:t>
              </w:r>
              <w:r w:rsidRPr="00542FF4">
                <w:rPr>
                  <w:u w:val="single"/>
                </w:rPr>
                <w:t xml:space="preserve"> van de curator</w:t>
              </w:r>
              <w:r>
                <w:rPr>
                  <w:u w:val="single"/>
                </w:rPr>
                <w:t>; conflicterende belangen</w:t>
              </w:r>
            </w:p>
            <w:p w:rsidR="00AB5271" w:rsidP="00AB5271" w:rsidRDefault="000F0AC5">
              <w:pPr>
                <w:pStyle w:val="Lijstalinea"/>
                <w:ind w:left="0"/>
              </w:pPr>
            </w:p>
            <w:p w:rsidR="00AB5271" w:rsidP="00AB5271" w:rsidRDefault="004B7207">
              <w:pPr>
                <w:pStyle w:val="Lijstalinea"/>
                <w:ind w:left="0"/>
              </w:pPr>
              <w:r>
                <w:t>Het voorgestelde artikel 106a, eerste lid, Fw bepaalt dat een bestuursverbod kan worden verzocht door het openbaar ministerie dan wel verzocht of gevorderd door de curator. In de toelichting wordt opgemerkt dat het toekennen van de bevoegdheid aan de curator voor de hand liggend is. De curator is in de praktijk de eerste die in een faillissement op signalen van fraude stuit.</w:t>
              </w:r>
              <w:r>
                <w:rPr>
                  <w:rStyle w:val="Voetnootmarkering"/>
                </w:rPr>
                <w:footnoteReference w:id="5"/>
              </w:r>
              <w:r>
                <w:t xml:space="preserve"> </w:t>
              </w:r>
            </w:p>
            <w:p w:rsidR="00AB5271" w:rsidP="00AB5271" w:rsidRDefault="000F0AC5">
              <w:pPr>
                <w:pStyle w:val="Lijstalinea"/>
                <w:ind w:left="0"/>
              </w:pPr>
            </w:p>
            <w:p w:rsidR="000C71F7" w:rsidP="00AB5271" w:rsidRDefault="004B7207">
              <w:pPr>
                <w:pStyle w:val="Lijstalinea"/>
                <w:ind w:left="0"/>
              </w:pPr>
              <w:r>
                <w:t>De primaire taak van de curator op grond van de Fw is het beheer en vereffening van de failliete boedel.</w:t>
              </w:r>
              <w:r>
                <w:rPr>
                  <w:rStyle w:val="Voetnootmarkering"/>
                </w:rPr>
                <w:footnoteReference w:id="6"/>
              </w:r>
              <w:r>
                <w:t xml:space="preserve"> De curator heeft daarmee een wettelijke taak die hij uitoefent in het belang van de crediteuren van de failliete onderneming.</w:t>
              </w:r>
              <w:r>
                <w:rPr>
                  <w:rStyle w:val="Voetnootmarkering"/>
                </w:rPr>
                <w:footnoteReference w:id="7"/>
              </w:r>
              <w:r>
                <w:t xml:space="preserve"> De curator mag weliswaar naast de belangen van de gezamenlijke schuldeisers ook zwaarwegende belangen van maatschappelijke aard in zijn afwegingen betrekken. Het gaat daarbij wel telkens om afwegingen in het kader van het beheer en de afwikkeling van de boedel.</w:t>
              </w:r>
              <w:r>
                <w:rPr>
                  <w:rStyle w:val="Voetnootmarkering"/>
                </w:rPr>
                <w:footnoteReference w:id="8"/>
              </w:r>
              <w:r>
                <w:t xml:space="preserve"> </w:t>
              </w:r>
            </w:p>
            <w:p w:rsidR="000C71F7" w:rsidP="00AB5271" w:rsidRDefault="000F0AC5">
              <w:pPr>
                <w:pStyle w:val="Lijstalinea"/>
                <w:ind w:left="0"/>
              </w:pPr>
            </w:p>
            <w:p w:rsidR="00257C34" w:rsidP="00AB5271" w:rsidRDefault="004B7207">
              <w:pPr>
                <w:pStyle w:val="Lijstalinea"/>
                <w:ind w:left="0"/>
              </w:pPr>
              <w:r>
                <w:t>De toelichting stelt dat het toekennen van de voorgestelde bevoegdheid aan de curator goed aansluit bij het voornemen om fraude</w:t>
              </w:r>
              <w:r w:rsidRPr="000C71F7">
                <w:t>signalering</w:t>
              </w:r>
              <w:r>
                <w:t xml:space="preserve"> een wettelijke taak te maken van de curator.</w:t>
              </w:r>
              <w:r>
                <w:rPr>
                  <w:rStyle w:val="Voetnootmarkering"/>
                </w:rPr>
                <w:footnoteReference w:id="9"/>
              </w:r>
              <w:r>
                <w:t xml:space="preserve"> In de consultatie is, blijkens de toelichting, aandacht gevraagd voor de verbreding van de taak van de curator. Er is opgemerkt dat dit er toe leidt dat de curator wordt belast met in essentie publieke taken. De regering deelt, volgens de toelichting, deze zienswijze niet. “De curator wordt immers niet belast met opsporings- en dwangbevoegdheden; zijn wettelijke taak blijft beperkt tot het signaleren van mogelijke fraudesignalen en het aandragen daarvan bij de bevoegde overheidsinstanties.”</w:t>
              </w:r>
              <w:r>
                <w:rPr>
                  <w:rStyle w:val="Voetnootmarkering"/>
                </w:rPr>
                <w:footnoteReference w:id="10"/>
              </w:r>
              <w:r>
                <w:t xml:space="preserve"> De Afdeling is van oordeel dat de thans voorgestelde bevoegdheid van de curator om bij de rechter een bestuursverbod te vragen een aanmerkelijk verdergaande verbreding van de taak van de curator behelst dan de in de toelichting genoemde fraudesignalering. In de toelichting wordt hierop niet ingegaan. </w:t>
              </w:r>
            </w:p>
            <w:p w:rsidR="00257C34" w:rsidP="00AB5271" w:rsidRDefault="000F0AC5">
              <w:pPr>
                <w:pStyle w:val="Lijstalinea"/>
                <w:ind w:left="0"/>
              </w:pPr>
            </w:p>
            <w:p w:rsidR="00257C34" w:rsidP="00AB5271" w:rsidRDefault="004B7207">
              <w:pPr>
                <w:pStyle w:val="Lijstalinea"/>
                <w:ind w:left="0"/>
              </w:pPr>
              <w:r>
                <w:t xml:space="preserve">Daarbij </w:t>
              </w:r>
              <w:r w:rsidRPr="00257C34">
                <w:t xml:space="preserve"> </w:t>
              </w:r>
              <w:r>
                <w:t xml:space="preserve">merkt de Afdeling op dat de curator thans met een </w:t>
              </w:r>
              <w:r w:rsidRPr="00257C34">
                <w:t xml:space="preserve">taak </w:t>
              </w:r>
              <w:r>
                <w:t>wordt belast</w:t>
              </w:r>
              <w:r w:rsidRPr="00257C34">
                <w:t xml:space="preserve"> die het belang van de schuldeisers in he</w:t>
              </w:r>
              <w:r>
                <w:t xml:space="preserve">t faillissement waarom het gaat niet dient; sterker nog die met dat belang kan conflicteren. De Afdeling wijst bij wijze van voorbeeld op een situatie waarin een curator met een gewezen bestuurder een gunstige schikking overeen kan komen waaraan de gewezen bestuurder de voorwaarde verbindt dat dient te worden afgezien van een eventueel verzoek of vordering van een bestuursverbod. De Afdeling wijst er vervolgens op dat de </w:t>
              </w:r>
              <w:r w:rsidRPr="00257C34">
                <w:t>kosten</w:t>
              </w:r>
              <w:r>
                <w:t xml:space="preserve"> voor de procedure waarin een bestuursverbod wordt gevraagd </w:t>
              </w:r>
              <w:r w:rsidRPr="00257C34">
                <w:t xml:space="preserve">in beginsel ten laste van de boedel </w:t>
              </w:r>
              <w:r>
                <w:t xml:space="preserve">zullen </w:t>
              </w:r>
              <w:r w:rsidRPr="00257C34">
                <w:t>komen</w:t>
              </w:r>
              <w:r>
                <w:t>. In de toelichting wordt daarbij terecht opgemerkt dat de faillissementsprocedure niet kan worden beëindigd zolang de procedure voor oplegging van een bestuursverbod niet is afgerond.</w:t>
              </w:r>
              <w:r>
                <w:rPr>
                  <w:rStyle w:val="Voetnootmarkering"/>
                </w:rPr>
                <w:footnoteReference w:id="11"/>
              </w:r>
              <w:r>
                <w:t xml:space="preserve"> Daarmee kan een dergelijke procedure leiden </w:t>
              </w:r>
              <w:r w:rsidRPr="00257C34">
                <w:t>tot verlenging van het faillissement</w:t>
              </w:r>
              <w:r>
                <w:t xml:space="preserve"> en hogere lasten voor de boedel.</w:t>
              </w:r>
              <w:r w:rsidRPr="00257C34">
                <w:t xml:space="preserve"> In de toelichting wordt ingegaan op de kosten voor de curator. De toelichting vermeldt dat het kostenaspect wordt […] meegenomen in het aangekondigde wetsvoorstel versterking positie curator, waarvan het streven is om dit nog dit jaar in consultatie te geven</w:t>
              </w:r>
              <w:r>
                <w:t>’.</w:t>
              </w:r>
              <w:r>
                <w:rPr>
                  <w:rStyle w:val="Voetnootmarkering"/>
                </w:rPr>
                <w:footnoteReference w:id="12"/>
              </w:r>
              <w:r>
                <w:t xml:space="preserve"> Dit is, gelet op het feit dat het kostenaspect reeds voor dit voorstel van belang is, onvoldoende. </w:t>
              </w:r>
              <w:r w:rsidRPr="00257C34">
                <w:t xml:space="preserve"> </w:t>
              </w:r>
            </w:p>
            <w:p w:rsidR="00257C34" w:rsidP="00AB5271" w:rsidRDefault="000F0AC5">
              <w:pPr>
                <w:pStyle w:val="Lijstalinea"/>
                <w:ind w:left="0"/>
              </w:pPr>
            </w:p>
            <w:p w:rsidR="00D1130D" w:rsidP="00AB5271" w:rsidRDefault="004B7207">
              <w:pPr>
                <w:pStyle w:val="Lijstalinea"/>
                <w:ind w:left="0"/>
              </w:pPr>
              <w:r>
                <w:t xml:space="preserve">De Afdeling merkt ten slotte op dat een verdergaande verbreding van de taak van de curator met zich kan brengen dat de curator ook breder ter verantwoording kan worden geroepen voor zijn doen en nalaten. Zo rijst de vraag in hoeverre de curator kan worden aangesproken door partijen die schade lijden als gevolg van een faillissement, indien de curator in een eerder faillissement waarbij eenzelfde bestuurder is betrokken en aan een grond voor oplegging van een bestuursverbod was voldaan geen bestuursverbod had verzocht of gevorderd. </w:t>
              </w:r>
            </w:p>
            <w:p w:rsidR="00257C34" w:rsidP="00681B1B" w:rsidRDefault="000F0AC5">
              <w:pPr>
                <w:pStyle w:val="Lijstalinea"/>
                <w:ind w:left="0"/>
              </w:pPr>
            </w:p>
            <w:p w:rsidR="00681B1B" w:rsidP="00681B1B" w:rsidRDefault="004B7207">
              <w:pPr>
                <w:pStyle w:val="Lijstalinea"/>
                <w:ind w:left="0"/>
              </w:pPr>
              <w:r>
                <w:t xml:space="preserve">De Afdeling adviseert de verbreding van de taak van de curator in het licht van het bovenstaande nader te bezien.  </w:t>
              </w:r>
            </w:p>
            <w:p w:rsidR="00AB5271" w:rsidP="00681B1B" w:rsidRDefault="000F0AC5">
              <w:pPr>
                <w:pStyle w:val="Lijstalinea"/>
                <w:ind w:left="0"/>
              </w:pPr>
            </w:p>
            <w:p w:rsidR="00965606" w:rsidP="00965606" w:rsidRDefault="004B7207">
              <w:pPr>
                <w:pStyle w:val="Lijstalinea"/>
                <w:ind w:left="0"/>
              </w:pPr>
              <w:r>
                <w:t>3</w:t>
              </w:r>
              <w:r w:rsidRPr="008253B5">
                <w:t>.</w:t>
              </w:r>
              <w:r w:rsidRPr="008253B5">
                <w:tab/>
              </w:r>
              <w:r>
                <w:rPr>
                  <w:u w:val="single"/>
                </w:rPr>
                <w:t>Beoordeling door de rechter</w:t>
              </w:r>
            </w:p>
            <w:p w:rsidR="00965606" w:rsidP="00965606" w:rsidRDefault="000F0AC5">
              <w:pPr>
                <w:pStyle w:val="Lijstalinea"/>
                <w:ind w:left="0"/>
              </w:pPr>
            </w:p>
            <w:p w:rsidR="00AF2FD3" w:rsidP="003A6F28" w:rsidRDefault="004B7207">
              <w:pPr>
                <w:pStyle w:val="Lijstalinea"/>
                <w:ind w:left="0"/>
              </w:pPr>
              <w:r>
                <w:t xml:space="preserve">Een bestuurder aan wie een bestuursverbod is opgelegd kan ten hoogste vijf jaar </w:t>
              </w:r>
              <w:r w:rsidRPr="00965606">
                <w:t>niet tot bestuurder of commissaris</w:t>
              </w:r>
              <w:r>
                <w:t xml:space="preserve"> van een rechtspersoon worden benoemd. Het bestuursverbod vormt tevens een beletsel voor de uitoefening van zijn functie als bestuurder of commissaris bij, kort gezegd, andere rechtspersonen waar de betrokkene een bestuursfunctie uitoefent op het moment van het verzoek of de vordering tot het opleggen van een bestuursverbod. Een verbod kan tevens worden opgelegd aan een ‘feitelijk’ (niet statutair) bestuurder en behelst in dezelfde zin een verbod op ‘feitelijk bestuur’. De griffier van de rechtbank schrijft de uitspraak waarin een bestuursverbod is opgelegd in een centraal register in en d</w:t>
              </w:r>
              <w:r w:rsidRPr="00992F2D">
                <w:t xml:space="preserve">e uitspraak wordt aangeboden aan het Handelsregister dat terstond tot uitschrijving van de bestuurder overgaat. </w:t>
              </w:r>
            </w:p>
            <w:p w:rsidR="00AF2FD3" w:rsidP="003A6F28" w:rsidRDefault="000F0AC5">
              <w:pPr>
                <w:pStyle w:val="Lijstalinea"/>
                <w:ind w:left="0"/>
              </w:pPr>
            </w:p>
            <w:p w:rsidR="00D1130D" w:rsidP="00AF2FD3" w:rsidRDefault="004B7207">
              <w:pPr>
                <w:pStyle w:val="Lijstalinea"/>
                <w:ind w:left="0"/>
              </w:pPr>
              <w:r>
                <w:t>Een bestuursverbod is een ingrijpende sanctie. Dit wordt in de toelichting ook onderkend. De toelichting vermeldt onder meer dat het civielrechtelijk bestuursverbod een “uitzonderlijke sanctie voor uitzonderlijke situaties betreft”.</w:t>
              </w:r>
              <w:r>
                <w:rPr>
                  <w:rStyle w:val="Voetnootmarkering"/>
                </w:rPr>
                <w:footnoteReference w:id="13"/>
              </w:r>
              <w:r>
                <w:t xml:space="preserve"> Voor elke sanctie geldt dat zij proportioneel dient te zijn in het licht van de aard en de ernst van het feit waarvoor zij wordt opgelegd. De toelichting vermeldt hierover dat de zinsnede “kan de rechtbank een bestuursverbod uitspreken” in het voorgestelde artikel 106a, eerste lid, aanhef, Fw de rechter de ruimte laat om alle omstandigheden van het geval mee te wegen. […] De proportionaliteit van de maatregel wordt hiermee gewaarborgd, aldus de toelichting.</w:t>
              </w:r>
              <w:r>
                <w:rPr>
                  <w:rStyle w:val="Voetnootmarkering"/>
                </w:rPr>
                <w:footnoteReference w:id="14"/>
              </w:r>
              <w:r>
                <w:t xml:space="preserve"> </w:t>
              </w:r>
            </w:p>
            <w:p w:rsidR="00D1130D" w:rsidP="003A6F28" w:rsidRDefault="000F0AC5">
              <w:pPr>
                <w:pStyle w:val="Lijstalinea"/>
                <w:ind w:left="0"/>
              </w:pPr>
            </w:p>
            <w:p w:rsidR="00AF2FD3" w:rsidP="003A6F28" w:rsidRDefault="004B7207">
              <w:pPr>
                <w:pStyle w:val="Lijstalinea"/>
                <w:ind w:left="0"/>
              </w:pPr>
              <w:r>
                <w:t>Uit het voorstel noch uit de toelichting blijkt echter welke criteria de rechter zou moeten hanteren bij de beantwoording van de vraag of, indien aan een of meer van de gronden opgenomen in het voorgestelde artikel 106a, eerste lid, onderdelen a tot en met e, Fw is voldaan, een bestuursverbod gerechtvaardigd is. Daarbij wordt in de toelichting de mogelijkheid voor de (gewezen) bestuurder om zich te verweren tegen de oplegging van een  bestuursverbod vooral bezien in relatie tot de vraag of voldaan is aan een van de gronden voor oplegging van een bestuursverbod.</w:t>
              </w:r>
              <w:r>
                <w:rPr>
                  <w:rStyle w:val="Voetnootmarkering"/>
                </w:rPr>
                <w:footnoteReference w:id="15"/>
              </w:r>
              <w:r>
                <w:t xml:space="preserve"> De Afdeling adviseert in het voorstel nadere aanknopingspunten te bieden op basis waarvan de rechter kan bepalen in hoeverre een bestuursverbod gerechtvaardigd moet worden geacht.  </w:t>
              </w:r>
            </w:p>
            <w:p w:rsidR="00AF45C2" w:rsidP="003A6F28" w:rsidRDefault="000F0AC5">
              <w:pPr>
                <w:pStyle w:val="Lijstalinea"/>
                <w:ind w:left="0"/>
              </w:pPr>
            </w:p>
            <w:p w:rsidR="00AF45C2" w:rsidP="003A6F28" w:rsidRDefault="004B7207">
              <w:pPr>
                <w:pStyle w:val="Lijstalinea"/>
                <w:ind w:left="0"/>
              </w:pPr>
              <w:r>
                <w:t>De Afdeling adviseert het voorstel in het licht van het voorgaande aan te vullen.</w:t>
              </w:r>
            </w:p>
            <w:p w:rsidR="00AF2FD3" w:rsidP="003A6F28" w:rsidRDefault="000F0AC5">
              <w:pPr>
                <w:pStyle w:val="Lijstalinea"/>
                <w:ind w:left="0"/>
              </w:pPr>
            </w:p>
            <w:p w:rsidR="003A6F28" w:rsidP="003A6F28" w:rsidRDefault="004B7207">
              <w:pPr>
                <w:pStyle w:val="Lijstalinea"/>
                <w:ind w:left="0"/>
              </w:pPr>
              <w:r>
                <w:t>4</w:t>
              </w:r>
              <w:r w:rsidRPr="00BB2144">
                <w:t xml:space="preserve">. </w:t>
              </w:r>
              <w:r w:rsidRPr="00BB2144">
                <w:tab/>
              </w:r>
              <w:r w:rsidRPr="00BB2144">
                <w:rPr>
                  <w:u w:val="single"/>
                </w:rPr>
                <w:t>Bestuursverbod voor een groot- of enig aandeelhouder</w:t>
              </w:r>
            </w:p>
            <w:p w:rsidRPr="00BB2144" w:rsidR="00BB2144" w:rsidP="003A6F28" w:rsidRDefault="000F0AC5">
              <w:pPr>
                <w:pStyle w:val="Lijstalinea"/>
                <w:ind w:left="0"/>
              </w:pPr>
            </w:p>
            <w:p w:rsidRPr="003A6F28" w:rsidR="003A6F28" w:rsidP="003A6F28" w:rsidRDefault="004B7207">
              <w:pPr>
                <w:pStyle w:val="Lijstalinea"/>
                <w:ind w:left="0"/>
              </w:pPr>
              <w:r>
                <w:t>Het voorgestelde a</w:t>
              </w:r>
              <w:r w:rsidRPr="003A6F28">
                <w:t xml:space="preserve">rtikel 106d bepaalt dat </w:t>
              </w:r>
              <w:r>
                <w:t>een</w:t>
              </w:r>
              <w:r w:rsidRPr="003A6F28">
                <w:t xml:space="preserve"> feitelijk bestuurder gelijk</w:t>
              </w:r>
              <w:r>
                <w:t xml:space="preserve"> </w:t>
              </w:r>
              <w:r w:rsidRPr="003A6F28">
                <w:t xml:space="preserve">wordt  </w:t>
              </w:r>
            </w:p>
            <w:p w:rsidR="003A6F28" w:rsidP="003A6F28" w:rsidRDefault="004B7207">
              <w:pPr>
                <w:pStyle w:val="Lijstalinea"/>
                <w:ind w:left="0"/>
              </w:pPr>
              <w:r w:rsidRPr="003A6F28">
                <w:t>gesteld met de statutaire bestuurder, zodat ook hem een best</w:t>
              </w:r>
              <w:r>
                <w:t xml:space="preserve">uursverbod kan worden opgelegd. </w:t>
              </w:r>
              <w:r w:rsidRPr="003A6F28">
                <w:t>De voorgestelde gelijkstelling tussen statutair en feitelijk bestuurder betekent tevens dat een bestuursverbod kan meebrengen dat iemand ook geen feitelijk bestuurder meer kan worden</w:t>
              </w:r>
              <w:r>
                <w:t>, zo stelt de toelichting.</w:t>
              </w:r>
              <w:r>
                <w:rPr>
                  <w:rStyle w:val="Voetnootmarkering"/>
                </w:rPr>
                <w:footnoteReference w:id="16"/>
              </w:r>
              <w:r>
                <w:t xml:space="preserve"> Daarmee wordt</w:t>
              </w:r>
              <w:r w:rsidRPr="003A6F28">
                <w:t xml:space="preserve"> voorkomen dat iemand aan wie een bestuursverbod is opgelegd feitelijk leiding gaat geven aan een rechtspersoon. </w:t>
              </w:r>
            </w:p>
            <w:p w:rsidR="000C71F7" w:rsidP="003A6F28" w:rsidRDefault="000F0AC5">
              <w:pPr>
                <w:pStyle w:val="Lijstalinea"/>
                <w:ind w:left="0"/>
              </w:pPr>
            </w:p>
            <w:p w:rsidRPr="003A6F28" w:rsidR="003A6F28" w:rsidP="003A6F28" w:rsidRDefault="004B7207">
              <w:pPr>
                <w:pStyle w:val="Lijstalinea"/>
                <w:ind w:left="0"/>
              </w:pPr>
              <w:r>
                <w:t>De Afdeling merkt op dat vraagtekens gezet kunnen worden bij de oplegging van een bestuursverbod aan een groot- of enig aandeelhouder die weliswaar geen bestuursfunctie vervult maar wel feitelijk doorzettingsmacht heeft. De toelichting vermeldt dat h</w:t>
              </w:r>
              <w:r w:rsidRPr="003A6F28">
                <w:t>et bestuursverbod geen verbod op aandeelhouderschap</w:t>
              </w:r>
              <w:r>
                <w:t xml:space="preserve"> betreft</w:t>
              </w:r>
              <w:r w:rsidRPr="003A6F28">
                <w:t>.</w:t>
              </w:r>
              <w:r>
                <w:rPr>
                  <w:rStyle w:val="Voetnootmarkering"/>
                </w:rPr>
                <w:footnoteReference w:id="17"/>
              </w:r>
              <w:r w:rsidRPr="003A6F28">
                <w:t xml:space="preserve"> </w:t>
              </w:r>
              <w:r>
                <w:t>“</w:t>
              </w:r>
              <w:r w:rsidRPr="003A6F28">
                <w:t>Niettemin is onder omstandigheden denkbaar dat een aandeelhouder feitelijk het beleid bepaalt. Daarbij is bijvoorbeeld van belang hoe de uit de aandelen voortvloeiende zeggenschap wordt aangewend. Zo zal een enig aandeelhouder die het bestuur ontslaat en benoemt en actief gebruik maakt van zijn instructierecht sneller als feitelijk beleidsbepaler worden aangemerkt dan een minderheidsaandeelhouder die zich niet actief inlaat</w:t>
              </w:r>
              <w:r>
                <w:t xml:space="preserve"> met het beleid van het bestuur”, aldus de toelichting. </w:t>
              </w:r>
            </w:p>
            <w:p w:rsidR="003A6F28" w:rsidP="003A6F28" w:rsidRDefault="000F0AC5">
              <w:pPr>
                <w:pStyle w:val="Lijstalinea"/>
                <w:ind w:left="0"/>
              </w:pPr>
            </w:p>
            <w:p w:rsidR="00542FF4" w:rsidP="003A6F28" w:rsidRDefault="004B7207">
              <w:pPr>
                <w:pStyle w:val="Lijstalinea"/>
                <w:ind w:left="0"/>
              </w:pPr>
              <w:r>
                <w:t xml:space="preserve">Het voorstel behelst dan wel geen verbod op aandeelhouderschap, in de genoemde gevallen wordt de uitoefening van de aan het aandeelhouderschap verbonden rechten wel ernstig bemoeilijkt zo niet onmogelijk. In de bovengenoemde situatie is sprake van inmenging in het ongestoord eigendomsgenot zoals dat wordt beschermd door artikel 1 van het Eerste Protocol bij het Europees Verdrag tot bescherming van de Rechten van de Mens en de fundamentele vrijheden (EVRM). Wil een inmenging in eigendomsrechten rechtmatig zijn, dan moet voldaan worden aan bepaalde voorwaarden. Zo moet de inmenging een wettelijke basis hebben, een legitiem doel dienen dat past in het kader van het algemeen belang en proportioneel zijn. Een afweging op dit punt ontbreekt. </w:t>
              </w:r>
            </w:p>
            <w:p w:rsidR="00DA2EC6" w:rsidP="00542FF4" w:rsidRDefault="004B7207">
              <w:pPr>
                <w:pStyle w:val="Lijstalinea"/>
                <w:ind w:left="0"/>
              </w:pPr>
              <w:r>
                <w:t>De toelichting vermeldt slechts dat voorstelbaar is ‘dat de rechtbank in zijn uitspraak voor betrokkene ruimte laat om bestuurder te worden of blijven van bijvoorbeeld diens eigen pensioen BV […] omdat het openbaar belang dat met het uitspreken van een bestuursverbod wordt gediend daarbij meestal niet in het geding is.’</w:t>
              </w:r>
              <w:r>
                <w:rPr>
                  <w:rStyle w:val="Voetnootmarkering"/>
                </w:rPr>
                <w:footnoteReference w:id="18"/>
              </w:r>
              <w:r>
                <w:t xml:space="preserve"> Dit is in het licht van artikel 1 van het Eerste Protocol bij het EVRM onvoldoende. </w:t>
              </w:r>
            </w:p>
            <w:p w:rsidR="00542FF4" w:rsidP="00542FF4" w:rsidRDefault="001200AF">
              <w:pPr>
                <w:pStyle w:val="Lijstalinea"/>
                <w:ind w:left="0"/>
              </w:pPr>
              <w:r w:rsidRPr="001200AF">
                <w:t>Wil een inmenging in eigendomsrechten rechtmatig zijn, dan moet voldaan worden aan bepaalde voorwaarden. Zo moet de inmenging een wettelijke basis hebben, een legitiem doel dienen dat past in het kader van het algemeen belang en proportioneel zijn. Een afweging op dit punt ontbreekt.</w:t>
              </w:r>
            </w:p>
            <w:p w:rsidR="00531309" w:rsidP="00542FF4" w:rsidRDefault="00531309">
              <w:pPr>
                <w:pStyle w:val="Lijstalinea"/>
                <w:ind w:left="0"/>
              </w:pPr>
            </w:p>
            <w:p w:rsidR="00FA4470" w:rsidP="00957165" w:rsidRDefault="004B7207">
              <w:pPr>
                <w:pStyle w:val="Lijstalinea"/>
                <w:ind w:left="0"/>
                <w:rPr>
                  <w:u w:val="single"/>
                </w:rPr>
              </w:pPr>
              <w:r>
                <w:t>5</w:t>
              </w:r>
              <w:r w:rsidRPr="00957165">
                <w:t>.</w:t>
              </w:r>
              <w:r w:rsidRPr="00957165">
                <w:tab/>
              </w:r>
              <w:r w:rsidRPr="00957165">
                <w:rPr>
                  <w:u w:val="single"/>
                </w:rPr>
                <w:t>Privacy</w:t>
              </w:r>
            </w:p>
            <w:p w:rsidR="00957165" w:rsidP="00957165" w:rsidRDefault="000F0AC5">
              <w:pPr>
                <w:pStyle w:val="Lijstalinea"/>
                <w:ind w:left="0"/>
              </w:pPr>
            </w:p>
            <w:p w:rsidR="00CD3392" w:rsidP="00CD3392" w:rsidRDefault="004B7207">
              <w:pPr>
                <w:pStyle w:val="Lijstalinea"/>
                <w:ind w:left="0"/>
              </w:pPr>
              <w:r>
                <w:t>Ingevolge het voorgestelde artikel 106b, derde lid, Fw schrijft de griffier van de rechtbank de uitspraak</w:t>
              </w:r>
              <w:r>
                <w:rPr>
                  <w:rStyle w:val="Voetnootmarkering"/>
                </w:rPr>
                <w:footnoteReference w:id="19"/>
              </w:r>
              <w:r>
                <w:t xml:space="preserve"> waarin een bestuursverbod is opgelegd in een centraal register in. Deze uitspraak wordt voorts met bekwame spoed aangeboden aan het Handelsregister dat terstond tot uitschrijving van de bestuurder overgaat. Ingevolge het voorgestelde artikel 106c, zesde lid, Fw wordt de uitspraak waarin de schorsing of de tijdelijke aanstelling van een of meer bestuurders of commissarissen is uitgesproken eveneens in een centraal register ingeschreven. Over de opzet van het register, de opname in en de verwijdering van gegevens uit het register alsmede over de verstrekking en openbaarheid van gegevens worden bij of krachtens algemene maatregel van bestuur nadere regels gesteld. </w:t>
              </w:r>
            </w:p>
            <w:p w:rsidR="00AB5271" w:rsidP="00CD3392" w:rsidRDefault="000F0AC5">
              <w:pPr>
                <w:pStyle w:val="Lijstalinea"/>
                <w:ind w:left="0"/>
              </w:pPr>
            </w:p>
            <w:p w:rsidR="00CD3392" w:rsidP="00CD3392" w:rsidRDefault="004B7207">
              <w:pPr>
                <w:pStyle w:val="Lijstalinea"/>
                <w:ind w:left="0"/>
              </w:pPr>
              <w:r>
                <w:t>In de toelichting wordt over de opname van aan een bestuursverbod onderworpen personen in een register het volgende opgemerkt. “Transparantie is een belangrijke waarborg voor een effectief bestuursverbod. Het is daarom van groot belang dat een opgelegd bestuursverbod eenvoudig en online via een centraal register raadpleegbaar is.”</w:t>
              </w:r>
              <w:r>
                <w:rPr>
                  <w:rStyle w:val="Voetnootmarkering"/>
                </w:rPr>
                <w:footnoteReference w:id="20"/>
              </w:r>
              <w:r>
                <w:t xml:space="preserve"> Verder wordt opgemerkt dat er een passend evenwicht zal moeten worden gevonden tussen de privacy van degenen aan wie een bestuursverbod is opgelegd, het belang tot raadpleging door bepaalde instanties, zoals de notaris, het Openbaar Ministerie en de Kamer van Koophandel alsmede de meer algemene openbaarheid van het register. Van belang is voorts dat andere EU- lidstaten via het register kennis kunnen nemen van de in Nederland opgelegde bestuursverboden, aldus de toelichting.</w:t>
              </w:r>
              <w:r>
                <w:rPr>
                  <w:rStyle w:val="Voetnootmarkering"/>
                </w:rPr>
                <w:footnoteReference w:id="21"/>
              </w:r>
              <w:r>
                <w:t xml:space="preserve"> De Afdeling merkt hierover het volgende op.</w:t>
              </w:r>
            </w:p>
            <w:p w:rsidR="00CD3392" w:rsidP="00957165" w:rsidRDefault="000F0AC5">
              <w:pPr>
                <w:pStyle w:val="Lijstalinea"/>
                <w:ind w:left="0"/>
              </w:pPr>
            </w:p>
            <w:p w:rsidR="00CD3392" w:rsidP="00957165" w:rsidRDefault="004B7207">
              <w:pPr>
                <w:pStyle w:val="Lijstalinea"/>
                <w:ind w:left="0"/>
              </w:pPr>
              <w:r>
                <w:t xml:space="preserve">a. </w:t>
              </w:r>
              <w:r>
                <w:tab/>
                <w:t xml:space="preserve">De </w:t>
              </w:r>
              <w:r w:rsidRPr="00CD3392">
                <w:t xml:space="preserve">automatische openbaarmaking van de </w:t>
              </w:r>
              <w:r>
                <w:t xml:space="preserve">oplegging van een bestuursverbod of de schorsing van een bestuurder (ook indien deze in een later stadium zou worden teruggedraaid) is ingrijpend. De opname van aan </w:t>
              </w:r>
              <w:r w:rsidRPr="00CD3392">
                <w:t>een bestuursverbod onderworpen personen in een</w:t>
              </w:r>
              <w:r>
                <w:t xml:space="preserve"> (openbaar)</w:t>
              </w:r>
              <w:r w:rsidRPr="00CD3392">
                <w:t xml:space="preserve"> register </w:t>
              </w:r>
              <w:r>
                <w:t xml:space="preserve">vormt een ingrijpende inbreuk op de </w:t>
              </w:r>
              <w:r w:rsidRPr="00CD3392">
                <w:t>persoonlijke levenssfeer</w:t>
              </w:r>
              <w:r>
                <w:t xml:space="preserve"> van de betrokkene</w:t>
              </w:r>
              <w:r w:rsidRPr="00CD3392">
                <w:t xml:space="preserve"> als bedoeld in artikel 10 van de Grondwet en artikel 8 EVRM. Een dergelijke inbreuk </w:t>
              </w:r>
              <w:r>
                <w:t>is</w:t>
              </w:r>
              <w:r w:rsidRPr="00CD3392">
                <w:t xml:space="preserve"> </w:t>
              </w:r>
              <w:r>
                <w:t xml:space="preserve">slechts </w:t>
              </w:r>
              <w:r w:rsidRPr="00CD3392">
                <w:t xml:space="preserve">gerechtvaardigd indien is voldaan aan een aantal vereisten: de inbreuk moet noodzakelijk zijn in een democratische samenleving en er moet voldaan zijn aan de eisen van proportionaliteit en subsidiariteit. Daarnaast moet zijn voldaan aan de eisen die voortvloeien uit de Wet bescherming persoonsgegevens (Wbp). De inbreuk op de persoonlijke levenssfeer is groter </w:t>
              </w:r>
              <w:r>
                <w:t>–</w:t>
              </w:r>
              <w:r w:rsidRPr="00CD3392">
                <w:t xml:space="preserve"> en de eisen voor de rechtvaardiging zwaarder </w:t>
              </w:r>
              <w:r>
                <w:t>–</w:t>
              </w:r>
              <w:r w:rsidRPr="00CD3392">
                <w:t xml:space="preserve"> als bijzondere persoonsgegevens worden verwerkt. </w:t>
              </w:r>
              <w:r>
                <w:t xml:space="preserve"> </w:t>
              </w:r>
            </w:p>
            <w:p w:rsidR="00AF2FD3" w:rsidP="00957165" w:rsidRDefault="000F0AC5">
              <w:pPr>
                <w:pStyle w:val="Lijstalinea"/>
                <w:ind w:left="0"/>
              </w:pPr>
            </w:p>
            <w:p w:rsidR="00CD3392" w:rsidP="00957165" w:rsidRDefault="004B7207">
              <w:pPr>
                <w:pStyle w:val="Lijstalinea"/>
                <w:ind w:left="0"/>
              </w:pPr>
              <w:r>
                <w:t xml:space="preserve">De Afdeling merkt op dat een beoordeling van het voorstel in het licht van artikel 10 van de Grondwet en artikel 8 EVRM ontbreekt. De Afdeling adviseert hierin alsnog te voorzien.  </w:t>
              </w:r>
            </w:p>
            <w:p w:rsidR="00AF2FD3" w:rsidP="00957165" w:rsidRDefault="000F0AC5">
              <w:pPr>
                <w:pStyle w:val="Lijstalinea"/>
                <w:ind w:left="0"/>
              </w:pPr>
            </w:p>
            <w:p w:rsidR="00496AE6" w:rsidP="00496AE6" w:rsidRDefault="004B7207">
              <w:pPr>
                <w:pStyle w:val="Lijstalinea"/>
                <w:ind w:left="0"/>
              </w:pPr>
              <w:r>
                <w:t xml:space="preserve">b. </w:t>
              </w:r>
              <w:r>
                <w:tab/>
                <w:t xml:space="preserve">De Afdeling merkt, </w:t>
              </w:r>
              <w:r w:rsidRPr="00AE3C4E">
                <w:t>mede gel</w:t>
              </w:r>
              <w:r>
                <w:t>e</w:t>
              </w:r>
              <w:r w:rsidRPr="00AE3C4E">
                <w:t>t op artikel 10, eerste lid, van de Grondwet</w:t>
              </w:r>
              <w:r>
                <w:t xml:space="preserve">, op dat de belangrijkste elementen van een regeling in de wet in formele zin behoren te worden opgenomen. De elementen die hiervoor zijn benoemd, (op welke wijze het register zal worden ingericht, de toegankelijkheid van het register, regels inzake schoning, en de bescherming van de privacy van degenen aan wie een bestuursverbod is opgelegd) behoren daar naar het oordeel van de Afdeling toe. </w:t>
              </w:r>
            </w:p>
            <w:p w:rsidR="00496AE6" w:rsidP="00496AE6" w:rsidRDefault="000F0AC5">
              <w:pPr>
                <w:pStyle w:val="Lijstalinea"/>
                <w:ind w:left="0"/>
              </w:pPr>
            </w:p>
            <w:p w:rsidR="00496AE6" w:rsidP="00496AE6" w:rsidRDefault="004B7207">
              <w:pPr>
                <w:pStyle w:val="Lijstalinea"/>
                <w:ind w:left="0"/>
              </w:pPr>
              <w:r>
                <w:t xml:space="preserve">De Afdeling adviseert het voorstel in het licht van het voorgaande aan te vullen. </w:t>
              </w:r>
            </w:p>
            <w:p w:rsidR="00496AE6" w:rsidP="00CD3392" w:rsidRDefault="000F0AC5">
              <w:pPr>
                <w:pStyle w:val="Lijstalinea"/>
                <w:ind w:left="0"/>
              </w:pPr>
            </w:p>
            <w:p w:rsidR="00CD3392" w:rsidP="00CD3392" w:rsidRDefault="004B7207">
              <w:pPr>
                <w:pStyle w:val="Lijstalinea"/>
                <w:ind w:left="0"/>
              </w:pPr>
              <w:r>
                <w:t xml:space="preserve">c. </w:t>
              </w:r>
              <w:r>
                <w:tab/>
                <w:t>V</w:t>
              </w:r>
              <w:r w:rsidRPr="00CD3392">
                <w:t xml:space="preserve">anuit een oogpunt van proportionaliteit van de inbreuk op de persoonlijke levenssfeer </w:t>
              </w:r>
              <w:r>
                <w:t xml:space="preserve">is </w:t>
              </w:r>
              <w:r w:rsidRPr="00CD3392">
                <w:t>nodig dat het doel waarmee (bijzondere) persoonsgegevens worden verwerkt zo concreet en zo nauw mogelijk wordt omschreven. Ook uit de Wbp volgt dat persoonsgegevens voor welbepaalde, uitdrukkelijk omschreven en gerechtvaardigde doel</w:t>
              </w:r>
              <w:r>
                <w:t>einden mogen worden verzameld.</w:t>
              </w:r>
              <w:r>
                <w:rPr>
                  <w:rStyle w:val="Voetnootmarkering"/>
                </w:rPr>
                <w:footnoteReference w:id="22"/>
              </w:r>
              <w:r>
                <w:t xml:space="preserve"> </w:t>
              </w:r>
              <w:r w:rsidRPr="00CD3392">
                <w:t>Deze doeleinden moeten specifiek zijn en er moeten waarborgen zijn dat de doelbinding bij verwerking van p</w:t>
              </w:r>
              <w:r>
                <w:t>ersoonsgegevens gewaarborgd is.</w:t>
              </w:r>
              <w:r>
                <w:rPr>
                  <w:rStyle w:val="Voetnootmarkering"/>
                </w:rPr>
                <w:footnoteReference w:id="23"/>
              </w:r>
              <w:r>
                <w:t xml:space="preserve"> </w:t>
              </w:r>
              <w:r w:rsidRPr="00CD3392">
                <w:t>Voorts volgt uit de Wbp dat voor de verwerking van bijzondere persoonsgegevens een aantal verzwaarde eisen geldt.</w:t>
              </w:r>
              <w:r>
                <w:rPr>
                  <w:rStyle w:val="Voetnootmarkering"/>
                </w:rPr>
                <w:footnoteReference w:id="24"/>
              </w:r>
              <w:r w:rsidRPr="00CD3392">
                <w:t xml:space="preserve"> </w:t>
              </w:r>
            </w:p>
            <w:p w:rsidR="000C71F7" w:rsidP="00957165" w:rsidRDefault="000F0AC5">
              <w:pPr>
                <w:pStyle w:val="Lijstalinea"/>
                <w:ind w:left="0"/>
              </w:pPr>
            </w:p>
            <w:p w:rsidR="00B83CC2" w:rsidP="00957165" w:rsidRDefault="004B7207">
              <w:pPr>
                <w:pStyle w:val="Lijstalinea"/>
                <w:ind w:left="0"/>
              </w:pPr>
              <w:r>
                <w:t>De Afdeling merkt op dat in het voorstel vooralsnog de doelbinding ontbreekt. Wel wordt in de toelichting opgemerkt dat om te voorkomen dat een bestuurder, ondanks een verbod, toch tot bestuurder wordt benoemd in een nieuw op te richten rechtspersoon, de notaris, voorafgaand aan de oprichting van een rechtspersoon, een register zal moeten kunnen raadplegen. Voorts zal de inschrijving van de betrokken bestuurder in het Handelsregister worden geweigerd. Hiermee wordt het doel van het bestuursverbod bereikt, omdat zonder inschrijving in het Handelsregister bestuurders hoofdelijk verbonden zijn voor schulden die tijdens hun bestuur opeisbaar worden</w:t>
              </w:r>
              <w:r>
                <w:rPr>
                  <w:rStyle w:val="Voetnootmarkering"/>
                </w:rPr>
                <w:footnoteReference w:id="25"/>
              </w:r>
              <w:r>
                <w:t xml:space="preserve">, aldus de toelichting. De Afdeling meent dat in het licht hiervan de vraag gerechtvaardigd is naar de noodzaak van een register dat breder toegankelijk is dan nodig voor de beoordeling door de notaris of voor beantwoording van de vraag of tot inschrijving van een bestuurder in het handelsregister kan worden overgegaan. </w:t>
              </w:r>
            </w:p>
            <w:p w:rsidR="00AF2FD3" w:rsidP="00957165" w:rsidRDefault="000F0AC5">
              <w:pPr>
                <w:pStyle w:val="Lijstalinea"/>
                <w:ind w:left="0"/>
              </w:pPr>
            </w:p>
            <w:p w:rsidR="00AF2FD3" w:rsidP="00957165" w:rsidRDefault="004B7207">
              <w:pPr>
                <w:pStyle w:val="Lijstalinea"/>
                <w:ind w:left="0"/>
              </w:pPr>
              <w:r>
                <w:t xml:space="preserve">De Afdeling adviseert de toelichting in het licht van het bovenstaande aan te vullen en zo nodig het voorstel aan te passen. </w:t>
              </w:r>
            </w:p>
            <w:p w:rsidR="00AF2FD3" w:rsidP="00957165" w:rsidRDefault="000F0AC5">
              <w:pPr>
                <w:pStyle w:val="Lijstalinea"/>
                <w:ind w:left="0"/>
              </w:pPr>
            </w:p>
            <w:p w:rsidR="001B2BEA" w:rsidP="00BC0E17" w:rsidRDefault="004B7207">
              <w:r>
                <w:t>6.</w:t>
              </w:r>
              <w:r>
                <w:tab/>
              </w:r>
              <w:r w:rsidRPr="001B2BEA">
                <w:rPr>
                  <w:u w:val="single"/>
                </w:rPr>
                <w:t>Overige opmerkingen</w:t>
              </w:r>
            </w:p>
            <w:p w:rsidR="00AF2FD3" w:rsidP="00AF2FD3" w:rsidRDefault="000F0AC5">
              <w:pPr>
                <w:pStyle w:val="Lijstalinea"/>
                <w:ind w:left="0"/>
              </w:pPr>
            </w:p>
            <w:p w:rsidR="00C15470" w:rsidP="00AF2FD3" w:rsidRDefault="004B7207">
              <w:pPr>
                <w:pStyle w:val="Lijstalinea"/>
                <w:ind w:left="0"/>
              </w:pPr>
              <w:r>
                <w:t xml:space="preserve">a. </w:t>
              </w:r>
              <w:r>
                <w:tab/>
                <w:t xml:space="preserve">Uit het voorgestelde artikel 106a, eerste lid, onderdeel a, volgt dat </w:t>
              </w:r>
              <w:r w:rsidRPr="00C15470">
                <w:t xml:space="preserve">een bestuursverbod in het kader van het faillissement van een </w:t>
              </w:r>
              <w:r>
                <w:t>vennootschap</w:t>
              </w:r>
              <w:r w:rsidRPr="00C15470">
                <w:t xml:space="preserve"> ook</w:t>
              </w:r>
              <w:r>
                <w:t xml:space="preserve"> kan worden opgelegd indien door de rechter is geoordeeld dat de bestuurder aansprakelijk is in het kader van wanbeheer bij een andere vennootschap. </w:t>
              </w:r>
              <w:r w:rsidRPr="00C15470">
                <w:t xml:space="preserve">De Afdeling stelt vast dat er in een dergelijke situatie geen verband bestaat tussen </w:t>
              </w:r>
              <w:r>
                <w:t>de</w:t>
              </w:r>
              <w:r w:rsidRPr="00C15470">
                <w:t xml:space="preserve"> </w:t>
              </w:r>
              <w:r>
                <w:t>aansprakelijkheid wegens wanbeheer en het faillissement in het kader waarvan het bestuursverbod wordt gevorderd.</w:t>
              </w:r>
            </w:p>
            <w:p w:rsidR="00C15470" w:rsidP="00AF2FD3" w:rsidRDefault="000F0AC5">
              <w:pPr>
                <w:pStyle w:val="Lijstalinea"/>
                <w:ind w:left="0"/>
              </w:pPr>
            </w:p>
            <w:p w:rsidR="00C15470" w:rsidP="00AF2FD3" w:rsidRDefault="004B7207">
              <w:pPr>
                <w:pStyle w:val="Lijstalinea"/>
                <w:ind w:left="0"/>
              </w:pPr>
              <w:r>
                <w:t xml:space="preserve">In dezelfde zin volgt uit het voorgestelde artikel 106a, eerste lid, onderdeel e, Fw dat een bestuursverbod in het kader van het faillissement van een rechtspersoon ook kan worden opgelegd indien aan de bestuurder in zijn hoedanigheid als privépersoon een fiscale boete is opgelegd. De Afdeling merkt op dat er ook in die situatie geen verband bestaat tussen het bestuur van de onderneming en de fiscale vergrijpboete. </w:t>
              </w:r>
            </w:p>
            <w:p w:rsidR="00C15470" w:rsidP="00C15470" w:rsidRDefault="000F0AC5">
              <w:pPr>
                <w:pStyle w:val="Lijstalinea"/>
                <w:ind w:left="0"/>
              </w:pPr>
            </w:p>
            <w:p w:rsidR="00C15470" w:rsidP="00AF2FD3" w:rsidRDefault="004B7207">
              <w:pPr>
                <w:pStyle w:val="Lijstalinea"/>
                <w:ind w:left="0"/>
              </w:pPr>
              <w:r>
                <w:t xml:space="preserve">De Afdeling adviseert de onderdelen a en e te relateren aan het faillissement van de rechtspersoon in het kader waarvan het bestuursverbod wordt gevorderd. </w:t>
              </w:r>
            </w:p>
            <w:p w:rsidR="00C15470" w:rsidP="00AF2FD3" w:rsidRDefault="000F0AC5">
              <w:pPr>
                <w:pStyle w:val="Lijstalinea"/>
                <w:ind w:left="0"/>
              </w:pPr>
            </w:p>
            <w:p w:rsidR="00AF2FD3" w:rsidP="00AF2FD3" w:rsidRDefault="004B7207">
              <w:pPr>
                <w:pStyle w:val="Lijstalinea"/>
                <w:ind w:left="0"/>
              </w:pPr>
              <w:r>
                <w:t xml:space="preserve">b. </w:t>
              </w:r>
              <w:r>
                <w:tab/>
                <w:t>Het voorgestelde artikel 106a, eerste lid, onderdeel d, bepaalt dat een bestuursverbod kan worden opgelegd aan de bestuurder die, hetzij als zodanig, hetzij als natuurlijke persoon handelend in de uitoefening van een beroep of bedrijf, ten minste tweemaal eerder betrokken was bij een faillissement van een onderneming en hem daarvan een persoonlijk verwijt treft. Het is de Afdeling niet duidelijk wat wordt verstaan onder ‘betrokken bij een faillissement’. De toelichting vermeldt dat onderdeel d  ziet op het geval dat de failliet of de bestuurder van de failliete rechtspersonen meerdere malen binnen een relatief korte periode,</w:t>
              </w:r>
              <w:r w:rsidRPr="00AF2FD3">
                <w:t xml:space="preserve"> failliet gaat</w:t>
              </w:r>
              <w:r>
                <w:t xml:space="preserve">.  ‘Failliet gaan’ en ‘betrokken zijn bij een faillissement’ is niet per definitie hetzelfde.  </w:t>
              </w:r>
            </w:p>
            <w:p w:rsidR="00AF2FD3" w:rsidP="00AF2FD3" w:rsidRDefault="000F0AC5">
              <w:pPr>
                <w:pStyle w:val="Lijstalinea"/>
                <w:ind w:left="0"/>
              </w:pPr>
            </w:p>
            <w:p w:rsidR="00AF2FD3" w:rsidP="00AF2FD3" w:rsidRDefault="004B7207">
              <w:pPr>
                <w:pStyle w:val="Lijstalinea"/>
                <w:ind w:left="0"/>
              </w:pPr>
              <w:r>
                <w:t xml:space="preserve">De Afdeling adviseert in het voorgestelde artikel 106a, eerste lid, onderdeel d, toe te spitsen op een faillissement van de rechtspersoon waar de bestuursfunctie, middellijk of onmiddellijk, wordt vervuld dan wel van de bestuurder als natuurlijke persoon handelend in de uitoefening van een beroep of bedrijf. </w:t>
              </w:r>
            </w:p>
            <w:p w:rsidR="00AF2FD3" w:rsidP="00AF2FD3" w:rsidRDefault="000F0AC5">
              <w:pPr>
                <w:pStyle w:val="Lijstalinea"/>
                <w:ind w:left="0"/>
              </w:pPr>
            </w:p>
            <w:p w:rsidR="00AF2FD3" w:rsidP="00AF2FD3" w:rsidRDefault="004B7207">
              <w:pPr>
                <w:pStyle w:val="Lijstalinea"/>
                <w:ind w:left="0"/>
              </w:pPr>
              <w:r>
                <w:t xml:space="preserve">c. </w:t>
              </w:r>
              <w:r>
                <w:tab/>
                <w:t xml:space="preserve">In het voorgestelde artikel 106a, eerste lid, onderdeel e, wordt bepaald dat een bestuursverbod kan worden opgelegd indien aan de bestuurder of de rechtspersoon een boete wegens een vergrijp als bedoeld in de artikelen 67d, 67e of 67f van de Algemene wet inzake rijksbelastingen is opgelegd en deze beschikking onherroepelijk is.  De Afdeling wijst er op dat bij de gronden onder a en b sprake is van een rechterlijk oordeel. Zij merkt op dat voor deze gronden niet is bepaald dat het rechterlijk oordeel onherroepelijk dient te zijn. Dit ligt echter wel in de rede. </w:t>
              </w:r>
            </w:p>
            <w:p w:rsidR="00AF2FD3" w:rsidP="00AF2FD3" w:rsidRDefault="000F0AC5">
              <w:pPr>
                <w:pStyle w:val="Lijstalinea"/>
                <w:ind w:left="0"/>
              </w:pPr>
            </w:p>
            <w:p w:rsidRPr="00F40AFF" w:rsidR="00EE1278" w:rsidP="00B83CC2" w:rsidRDefault="004B7207">
              <w:pPr>
                <w:pStyle w:val="Lijstalinea"/>
                <w:ind w:left="0"/>
              </w:pPr>
              <w:r>
                <w:t xml:space="preserve">De Afdeling adviseert in het voorgestelde artikel 106a, eerste lid, onderdeel a en b, te bepalen dat het rechterlijk oordeel onherroepelijk dient te zijn.   </w:t>
              </w:r>
            </w:p>
          </w:sdtContent>
        </w:sdt>
        <w:p w:rsidRPr="00831363" w:rsidR="008C5EDD" w:rsidP="00CE4655" w:rsidRDefault="008C5EDD"/>
        <w:sdt>
          <w:sdtPr>
            <w:alias w:val="VrijeTekst2"/>
            <w:tag w:val="VrijeTekst2"/>
            <w:id w:val="-419867092"/>
            <w:lock w:val="sdtLocked"/>
          </w:sdtPr>
          <w:sdtEndPr/>
          <w:sdtContent>
            <w:p w:rsidR="0025330E" w:rsidRDefault="004B7207">
              <w:r>
                <w:t>7.</w:t>
              </w:r>
              <w:r>
                <w:tab/>
              </w:r>
              <w:r w:rsidRPr="00FD778F">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54E29" w:rsidRDefault="004B7207">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W03.13.0401</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1B2BEA" w:rsidP="00D969CB" w:rsidRDefault="004B7207">
              <w:pPr>
                <w:numPr>
                  <w:ilvl w:val="0"/>
                  <w:numId w:val="1"/>
                </w:numPr>
              </w:pPr>
              <w:r>
                <w:t>In het voorgestelde artikel 106a, eerste lid, aanhef, Fw na ‘faillissement’ invoegen: van die rechtspersoon.</w:t>
              </w:r>
            </w:p>
            <w:p w:rsidR="00304E7D" w:rsidP="00D969CB" w:rsidRDefault="004B7207">
              <w:pPr>
                <w:numPr>
                  <w:ilvl w:val="0"/>
                  <w:numId w:val="1"/>
                </w:numPr>
              </w:pPr>
              <w:r>
                <w:t xml:space="preserve">In het voorgestelde artikel 106a, derde lid, Fw na ‘verstrekt’ invoegen: op verzoek. </w:t>
              </w:r>
            </w:p>
          </w:sdtContent>
        </w:sdt>
        <w:p w:rsidR="00C50D4F" w:rsidP="005841EA" w:rsidRDefault="000F0AC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7F46F1B" wp14:editId="67571B80">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4B7207" w:rsidP="005B3E03">
      <w:r>
        <w:separator/>
      </w:r>
    </w:p>
  </w:footnote>
  <w:footnote w:type="continuationSeparator" w:id="0">
    <w:p w:rsidR="009A4D39" w:rsidRDefault="004B7207" w:rsidP="005B3E03">
      <w:r>
        <w:continuationSeparator/>
      </w:r>
    </w:p>
  </w:footnote>
  <w:footnote w:id="1">
    <w:p w:rsidR="00AF45C2" w:rsidRDefault="004B7207">
      <w:pPr>
        <w:pStyle w:val="Voetnoottekst"/>
      </w:pPr>
      <w:r>
        <w:rPr>
          <w:rStyle w:val="Voetnootmarkering"/>
        </w:rPr>
        <w:footnoteRef/>
      </w:r>
      <w:r>
        <w:t xml:space="preserve"> </w:t>
      </w:r>
      <w:r>
        <w:tab/>
        <w:t>Memorie van toelichting, algemeen deel van de toelichting, paragraaf 1.</w:t>
      </w:r>
    </w:p>
  </w:footnote>
  <w:footnote w:id="2">
    <w:p w:rsidR="00257C34" w:rsidRDefault="004B7207" w:rsidP="00257C34">
      <w:pPr>
        <w:pStyle w:val="Voetnoottekst"/>
      </w:pPr>
      <w:r>
        <w:rPr>
          <w:rStyle w:val="Voetnootmarkering"/>
        </w:rPr>
        <w:footnoteRef/>
      </w:r>
      <w:r>
        <w:t xml:space="preserve"> </w:t>
      </w:r>
      <w:r>
        <w:tab/>
        <w:t xml:space="preserve">Fraude betekent bedrog en veronderstelt opzet. Zie ook het advies van de Afdeling advisering van de Raad van State van 20 januari 2012 over de Ontwerp-Wet aanscherping handhaving en sanctiebeleid SZW-wetgeving. Kamerstukken II 2011/12, 33207, nr 4. </w:t>
      </w:r>
    </w:p>
  </w:footnote>
  <w:footnote w:id="3">
    <w:p w:rsidR="00257C34" w:rsidRDefault="004B7207" w:rsidP="00257C34">
      <w:pPr>
        <w:pStyle w:val="Voetnoottekst"/>
      </w:pPr>
      <w:r>
        <w:rPr>
          <w:rStyle w:val="Voetnootmarkering"/>
        </w:rPr>
        <w:footnoteRef/>
      </w:r>
      <w:r>
        <w:t xml:space="preserve"> </w:t>
      </w:r>
      <w:r>
        <w:tab/>
        <w:t xml:space="preserve">Blijkens jurisprudentie van de Hoge Raad is sprake van kennelijk onbehoorlijk bestuur indien geen redelijk denkend bestuurder onder dezelfde omstandigheden aldus zou hebben gehandeld. </w:t>
      </w:r>
      <w:r w:rsidRPr="00257C34">
        <w:t xml:space="preserve">Zie onder meer HR 7 juni 1996 (Ontvanger / Van Zoolingen) </w:t>
      </w:r>
    </w:p>
  </w:footnote>
  <w:footnote w:id="4">
    <w:p w:rsidR="00AF45C2" w:rsidRDefault="004B7207">
      <w:pPr>
        <w:pStyle w:val="Voetnoottekst"/>
      </w:pPr>
      <w:r>
        <w:rPr>
          <w:rStyle w:val="Voetnootmarkering"/>
        </w:rPr>
        <w:footnoteRef/>
      </w:r>
      <w:r>
        <w:t xml:space="preserve"> </w:t>
      </w:r>
      <w:r>
        <w:tab/>
        <w:t xml:space="preserve">Zie onder meer de </w:t>
      </w:r>
      <w:r w:rsidRPr="00AF45C2">
        <w:t>artikelsgewijze toelichting bij ar</w:t>
      </w:r>
      <w:r>
        <w:t>tikel 106a, eerste lid, onderde</w:t>
      </w:r>
      <w:r w:rsidRPr="00AF45C2">
        <w:t>l</w:t>
      </w:r>
      <w:r>
        <w:t>en a,</w:t>
      </w:r>
      <w:r w:rsidRPr="00AF45C2">
        <w:t xml:space="preserve"> d</w:t>
      </w:r>
      <w:r>
        <w:t xml:space="preserve"> en e</w:t>
      </w:r>
      <w:r w:rsidRPr="00AF45C2">
        <w:t xml:space="preserve">. </w:t>
      </w:r>
    </w:p>
  </w:footnote>
  <w:footnote w:id="5">
    <w:p w:rsidR="00AB5271" w:rsidRDefault="004B7207" w:rsidP="00AB5271">
      <w:pPr>
        <w:pStyle w:val="Voetnoottekst"/>
      </w:pPr>
      <w:r>
        <w:rPr>
          <w:rStyle w:val="Voetnootmarkering"/>
        </w:rPr>
        <w:footnoteRef/>
      </w:r>
      <w:r>
        <w:t xml:space="preserve"> </w:t>
      </w:r>
      <w:r>
        <w:tab/>
      </w:r>
      <w:r w:rsidRPr="00542FF4">
        <w:t xml:space="preserve">Memorie van toelichting, algemeen deel, paragraaf 2. </w:t>
      </w:r>
    </w:p>
  </w:footnote>
  <w:footnote w:id="6">
    <w:p w:rsidR="00AB5271" w:rsidRDefault="004B7207" w:rsidP="00AB5271">
      <w:pPr>
        <w:pStyle w:val="Voetnoottekst"/>
      </w:pPr>
      <w:r>
        <w:rPr>
          <w:rStyle w:val="Voetnootmarkering"/>
        </w:rPr>
        <w:footnoteRef/>
      </w:r>
      <w:r>
        <w:t xml:space="preserve"> </w:t>
      </w:r>
      <w:r>
        <w:tab/>
        <w:t>Artikel 68, eerste lid, Fw.</w:t>
      </w:r>
    </w:p>
  </w:footnote>
  <w:footnote w:id="7">
    <w:p w:rsidR="00D1130D" w:rsidRDefault="004B7207">
      <w:pPr>
        <w:pStyle w:val="Voetnoottekst"/>
      </w:pPr>
      <w:r>
        <w:rPr>
          <w:rStyle w:val="Voetnootmarkering"/>
        </w:rPr>
        <w:footnoteRef/>
      </w:r>
      <w:r>
        <w:t xml:space="preserve"> </w:t>
      </w:r>
      <w:r>
        <w:tab/>
        <w:t xml:space="preserve">Zie onder meer </w:t>
      </w:r>
      <w:r w:rsidRPr="00D1130D">
        <w:t xml:space="preserve">HR 16 december 2011, </w:t>
      </w:r>
      <w:r>
        <w:t>Curator X/Y.</w:t>
      </w:r>
    </w:p>
  </w:footnote>
  <w:footnote w:id="8">
    <w:p w:rsidR="000C71F7" w:rsidRDefault="004B7207" w:rsidP="000C71F7">
      <w:pPr>
        <w:pStyle w:val="Voetnoottekst"/>
      </w:pPr>
      <w:r>
        <w:rPr>
          <w:rStyle w:val="Voetnootmarkering"/>
        </w:rPr>
        <w:footnoteRef/>
      </w:r>
      <w:r>
        <w:t xml:space="preserve"> </w:t>
      </w:r>
      <w:r>
        <w:tab/>
        <w:t>HR 24 februari 1995, NJ 1996/472 (Sigmacon II) en HR 19 april 1996, NJ 1996/727 (Maclou).</w:t>
      </w:r>
    </w:p>
  </w:footnote>
  <w:footnote w:id="9">
    <w:p w:rsidR="00AB5271" w:rsidRDefault="004B7207" w:rsidP="00AB5271">
      <w:pPr>
        <w:pStyle w:val="Voetnoottekst"/>
      </w:pPr>
      <w:r>
        <w:rPr>
          <w:rStyle w:val="Voetnootmarkering"/>
        </w:rPr>
        <w:footnoteRef/>
      </w:r>
      <w:r>
        <w:t xml:space="preserve"> </w:t>
      </w:r>
      <w:r>
        <w:tab/>
      </w:r>
      <w:r w:rsidRPr="00542FF4">
        <w:t>Memorie van toelichting, algemeen deel, paragraaf 2</w:t>
      </w:r>
      <w:r w:rsidR="008802B1">
        <w:t>.</w:t>
      </w:r>
    </w:p>
  </w:footnote>
  <w:footnote w:id="10">
    <w:p w:rsidR="00AB5271" w:rsidRDefault="004B7207" w:rsidP="00AB5271">
      <w:pPr>
        <w:pStyle w:val="Voetnoottekst"/>
      </w:pPr>
      <w:r>
        <w:rPr>
          <w:rStyle w:val="Voetnootmarkering"/>
        </w:rPr>
        <w:footnoteRef/>
      </w:r>
      <w:r>
        <w:t xml:space="preserve"> </w:t>
      </w:r>
      <w:r>
        <w:tab/>
      </w:r>
      <w:r w:rsidRPr="00542FF4">
        <w:t>Memorie van toelich</w:t>
      </w:r>
      <w:r>
        <w:t>ting, algemeen deel, paragraaf 6, onderdeel d</w:t>
      </w:r>
      <w:r w:rsidRPr="00542FF4">
        <w:t>.</w:t>
      </w:r>
    </w:p>
  </w:footnote>
  <w:footnote w:id="11">
    <w:p w:rsidR="00257C34" w:rsidRDefault="004B7207">
      <w:pPr>
        <w:pStyle w:val="Voetnoottekst"/>
      </w:pPr>
      <w:r>
        <w:rPr>
          <w:rStyle w:val="Voetnootmarkering"/>
        </w:rPr>
        <w:footnoteRef/>
      </w:r>
      <w:r>
        <w:t xml:space="preserve"> </w:t>
      </w:r>
      <w:r>
        <w:tab/>
        <w:t xml:space="preserve">Memorie van toelichting, </w:t>
      </w:r>
      <w:r w:rsidRPr="00257C34">
        <w:t>artikelsgewijze toelichting</w:t>
      </w:r>
      <w:r>
        <w:t xml:space="preserve"> </w:t>
      </w:r>
      <w:r w:rsidRPr="00257C34">
        <w:t>bij artikel 106a</w:t>
      </w:r>
      <w:r>
        <w:t xml:space="preserve"> aanhef. </w:t>
      </w:r>
      <w:r w:rsidRPr="00257C34">
        <w:t xml:space="preserve"> </w:t>
      </w:r>
    </w:p>
  </w:footnote>
  <w:footnote w:id="12">
    <w:p w:rsidR="00257C34" w:rsidRDefault="004B7207">
      <w:pPr>
        <w:pStyle w:val="Voetnoottekst"/>
      </w:pPr>
      <w:r>
        <w:rPr>
          <w:rStyle w:val="Voetnootmarkering"/>
        </w:rPr>
        <w:footnoteRef/>
      </w:r>
      <w:r>
        <w:t xml:space="preserve">  </w:t>
      </w:r>
      <w:r w:rsidRPr="00542FF4">
        <w:t>Memorie van toelich</w:t>
      </w:r>
      <w:r>
        <w:t>ting, algemeen deel, paragraaf 7.</w:t>
      </w:r>
    </w:p>
  </w:footnote>
  <w:footnote w:id="13">
    <w:p w:rsidR="00965606" w:rsidRDefault="004B7207" w:rsidP="00965606">
      <w:pPr>
        <w:pStyle w:val="Voetnoottekst"/>
      </w:pPr>
      <w:r>
        <w:rPr>
          <w:rStyle w:val="Voetnootmarkering"/>
        </w:rPr>
        <w:footnoteRef/>
      </w:r>
      <w:r>
        <w:t xml:space="preserve"> </w:t>
      </w:r>
      <w:r>
        <w:tab/>
      </w:r>
      <w:r w:rsidRPr="00965606">
        <w:t>Memorie van toelic</w:t>
      </w:r>
      <w:r>
        <w:t>hting, algemeen deel, paragraaf 2.</w:t>
      </w:r>
      <w:r w:rsidRPr="00965606">
        <w:t xml:space="preserve"> </w:t>
      </w:r>
    </w:p>
  </w:footnote>
  <w:footnote w:id="14">
    <w:p w:rsidR="00AF2FD3" w:rsidRDefault="004B7207">
      <w:pPr>
        <w:pStyle w:val="Voetnoottekst"/>
      </w:pPr>
      <w:r>
        <w:rPr>
          <w:rStyle w:val="Voetnootmarkering"/>
        </w:rPr>
        <w:footnoteRef/>
      </w:r>
      <w:r>
        <w:tab/>
        <w:t xml:space="preserve">Memorie van toelichting,  artikelsgewijze toelichting, bij artikel 106a Fw.  </w:t>
      </w:r>
    </w:p>
  </w:footnote>
  <w:footnote w:id="15">
    <w:p w:rsidR="00257C34" w:rsidRDefault="004B7207" w:rsidP="00257C34">
      <w:pPr>
        <w:pStyle w:val="Voetnoottekst"/>
      </w:pPr>
      <w:r>
        <w:rPr>
          <w:rStyle w:val="Voetnootmarkering"/>
        </w:rPr>
        <w:footnoteRef/>
      </w:r>
      <w:r>
        <w:t xml:space="preserve"> </w:t>
      </w:r>
      <w:r>
        <w:tab/>
        <w:t xml:space="preserve">Memorie van toelichting, artikelsgewijze toelichting bij artikel 106a, eerste lid, onderdelen a en e.   </w:t>
      </w:r>
    </w:p>
  </w:footnote>
  <w:footnote w:id="16">
    <w:p w:rsidR="00542FF4" w:rsidRDefault="004B7207">
      <w:pPr>
        <w:pStyle w:val="Voetnoottekst"/>
      </w:pPr>
      <w:r>
        <w:rPr>
          <w:rStyle w:val="Voetnootmarkering"/>
        </w:rPr>
        <w:footnoteRef/>
      </w:r>
      <w:r>
        <w:t xml:space="preserve"> </w:t>
      </w:r>
      <w:r>
        <w:tab/>
      </w:r>
      <w:r w:rsidRPr="003A6F28">
        <w:t>Memorie van toelichting,</w:t>
      </w:r>
      <w:r>
        <w:t xml:space="preserve"> artikelsgewijze toelichting bij artikel 106d.</w:t>
      </w:r>
    </w:p>
  </w:footnote>
  <w:footnote w:id="17">
    <w:p w:rsidR="003A6F28" w:rsidRDefault="004B7207">
      <w:pPr>
        <w:pStyle w:val="Voetnoottekst"/>
      </w:pPr>
      <w:r>
        <w:rPr>
          <w:rStyle w:val="Voetnootmarkering"/>
        </w:rPr>
        <w:footnoteRef/>
      </w:r>
      <w:r>
        <w:t xml:space="preserve"> </w:t>
      </w:r>
      <w:r>
        <w:tab/>
      </w:r>
      <w:r w:rsidRPr="003A6F28">
        <w:t>Memorie van toelichting, artikelsgewijze toelichting bij artik</w:t>
      </w:r>
      <w:r>
        <w:t>el 106d.</w:t>
      </w:r>
    </w:p>
  </w:footnote>
  <w:footnote w:id="18">
    <w:p w:rsidR="003A6F28" w:rsidRDefault="004B7207">
      <w:pPr>
        <w:pStyle w:val="Voetnoottekst"/>
      </w:pPr>
      <w:r>
        <w:rPr>
          <w:rStyle w:val="Voetnootmarkering"/>
        </w:rPr>
        <w:footnoteRef/>
      </w:r>
      <w:r>
        <w:tab/>
      </w:r>
      <w:r w:rsidRPr="003A6F28">
        <w:t>Memorie van toelichting, artikelsgewi</w:t>
      </w:r>
      <w:r>
        <w:t>jze toelichting bij artikel 106b</w:t>
      </w:r>
      <w:r w:rsidRPr="003A6F28">
        <w:t>.</w:t>
      </w:r>
    </w:p>
  </w:footnote>
  <w:footnote w:id="19">
    <w:p w:rsidR="00891E54" w:rsidRPr="00891E54" w:rsidRDefault="004B7207">
      <w:pPr>
        <w:pStyle w:val="Voetnoottekst"/>
      </w:pPr>
      <w:r>
        <w:rPr>
          <w:rStyle w:val="Voetnootmarkering"/>
        </w:rPr>
        <w:footnoteRef/>
      </w:r>
      <w:r>
        <w:t xml:space="preserve"> </w:t>
      </w:r>
      <w:r>
        <w:tab/>
      </w:r>
      <w:r w:rsidRPr="00891E54">
        <w:t xml:space="preserve">Ingevolge de anonimiseringsrichtlijnen van de Raad voor de rechtspraak worden </w:t>
      </w:r>
      <w:r>
        <w:rPr>
          <w:rStyle w:val="Zwaar"/>
        </w:rPr>
        <w:t>g</w:t>
      </w:r>
      <w:r w:rsidRPr="00891E54">
        <w:rPr>
          <w:rStyle w:val="Zwaar"/>
        </w:rPr>
        <w:t>egevens van natuurlijke personen</w:t>
      </w:r>
      <w:r w:rsidRPr="00891E54">
        <w:t xml:space="preserve"> die gen</w:t>
      </w:r>
      <w:r>
        <w:t>oemd worden in uitspraken</w:t>
      </w:r>
      <w:r w:rsidRPr="00891E54">
        <w:t xml:space="preserve"> geanonimiseerd.</w:t>
      </w:r>
      <w:r>
        <w:t xml:space="preserve"> Het vonnis of de beschikking houdende het bestuursverbod is weliswaar openbaar maar de betrokkene wordt daarin aldus niet met name genoemd.   </w:t>
      </w:r>
    </w:p>
  </w:footnote>
  <w:footnote w:id="20">
    <w:p w:rsidR="00CD3392" w:rsidRDefault="004B7207">
      <w:pPr>
        <w:pStyle w:val="Voetnoottekst"/>
      </w:pPr>
      <w:r w:rsidRPr="00891E54">
        <w:rPr>
          <w:rStyle w:val="Voetnootmarkering"/>
        </w:rPr>
        <w:footnoteRef/>
      </w:r>
      <w:r>
        <w:tab/>
      </w:r>
      <w:r w:rsidRPr="00891E54">
        <w:t>Memorie van toelichting, algemeen deel, paragraaf 5.</w:t>
      </w:r>
      <w:r>
        <w:t xml:space="preserve"> </w:t>
      </w:r>
    </w:p>
  </w:footnote>
  <w:footnote w:id="21">
    <w:p w:rsidR="00CD3392" w:rsidRDefault="004B7207">
      <w:pPr>
        <w:pStyle w:val="Voetnoottekst"/>
      </w:pPr>
      <w:r>
        <w:rPr>
          <w:rStyle w:val="Voetnootmarkering"/>
        </w:rPr>
        <w:footnoteRef/>
      </w:r>
      <w:r>
        <w:t xml:space="preserve"> </w:t>
      </w:r>
      <w:r>
        <w:tab/>
      </w:r>
      <w:r w:rsidRPr="003A6F28">
        <w:t>Memorie van toelichting, artikelsgewi</w:t>
      </w:r>
      <w:r>
        <w:t>jze toelichting bij artikel 106b</w:t>
      </w:r>
      <w:r w:rsidRPr="003A6F28">
        <w:t>.</w:t>
      </w:r>
    </w:p>
  </w:footnote>
  <w:footnote w:id="22">
    <w:p w:rsidR="00CD3392" w:rsidRDefault="004B7207">
      <w:pPr>
        <w:pStyle w:val="Voetnoottekst"/>
      </w:pPr>
      <w:r>
        <w:rPr>
          <w:rStyle w:val="Voetnootmarkering"/>
        </w:rPr>
        <w:footnoteRef/>
      </w:r>
      <w:r>
        <w:t xml:space="preserve"> </w:t>
      </w:r>
      <w:r>
        <w:tab/>
      </w:r>
      <w:r w:rsidRPr="00CD3392">
        <w:t>Artikel 7 Wbp</w:t>
      </w:r>
      <w:r>
        <w:t>.</w:t>
      </w:r>
    </w:p>
  </w:footnote>
  <w:footnote w:id="23">
    <w:p w:rsidR="00CD3392" w:rsidRDefault="004B7207">
      <w:pPr>
        <w:pStyle w:val="Voetnoottekst"/>
      </w:pPr>
      <w:r>
        <w:rPr>
          <w:rStyle w:val="Voetnootmarkering"/>
        </w:rPr>
        <w:footnoteRef/>
      </w:r>
      <w:r>
        <w:tab/>
      </w:r>
      <w:r w:rsidRPr="00CD3392">
        <w:t xml:space="preserve">Zie het advies van de Raad van State van 4 januari 2007 inzake Wet eenmalige gegevensuitvraag werk en inkomen (W12.06.0510/III). </w:t>
      </w:r>
      <w:r>
        <w:t xml:space="preserve"> </w:t>
      </w:r>
    </w:p>
  </w:footnote>
  <w:footnote w:id="24">
    <w:p w:rsidR="00CD3392" w:rsidRDefault="004B7207">
      <w:pPr>
        <w:pStyle w:val="Voetnoottekst"/>
      </w:pPr>
      <w:r>
        <w:rPr>
          <w:rStyle w:val="Voetnootmarkering"/>
        </w:rPr>
        <w:footnoteRef/>
      </w:r>
      <w:r>
        <w:tab/>
      </w:r>
      <w:r w:rsidRPr="00CD3392">
        <w:t>Artikelen 16 t/m 23 Wbp.</w:t>
      </w:r>
    </w:p>
  </w:footnote>
  <w:footnote w:id="25">
    <w:p w:rsidR="00AF2FD3" w:rsidRDefault="004B7207" w:rsidP="00AF2FD3">
      <w:pPr>
        <w:pStyle w:val="Voetnoottekst"/>
      </w:pPr>
      <w:r>
        <w:rPr>
          <w:rStyle w:val="Voetnootmarkering"/>
        </w:rPr>
        <w:footnoteRef/>
      </w:r>
      <w:r>
        <w:t xml:space="preserve"> </w:t>
      </w:r>
      <w:r>
        <w:tab/>
      </w:r>
      <w:r w:rsidRPr="003A6F28">
        <w:t>Memorie van toelichting, artikelsgewi</w:t>
      </w:r>
      <w:r>
        <w:t>jze toelichting bij artikel 106b</w:t>
      </w:r>
      <w:r w:rsidRPr="003A6F2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A53C3">
      <w:rPr>
        <w:rStyle w:val="Paginanummer"/>
        <w:noProof/>
      </w:rPr>
      <w:t>8</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A53C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55FA4"/>
    <w:multiLevelType w:val="hybridMultilevel"/>
    <w:tmpl w:val="DAE07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A1A0A02"/>
    <w:multiLevelType w:val="hybridMultilevel"/>
    <w:tmpl w:val="BBB6DB2E"/>
    <w:lvl w:ilvl="0" w:tplc="B1C67BBE">
      <w:start w:val="7"/>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3A72AC7"/>
    <w:multiLevelType w:val="hybridMultilevel"/>
    <w:tmpl w:val="2820AB5C"/>
    <w:lvl w:ilvl="0" w:tplc="13C031F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F0AC5"/>
    <w:rsid w:val="00102C23"/>
    <w:rsid w:val="001200AF"/>
    <w:rsid w:val="00122633"/>
    <w:rsid w:val="00127596"/>
    <w:rsid w:val="001410FD"/>
    <w:rsid w:val="00156F0B"/>
    <w:rsid w:val="001E27B0"/>
    <w:rsid w:val="002276F4"/>
    <w:rsid w:val="002A53C3"/>
    <w:rsid w:val="002B7D8A"/>
    <w:rsid w:val="002F16D1"/>
    <w:rsid w:val="0031280A"/>
    <w:rsid w:val="00365EF8"/>
    <w:rsid w:val="003706AD"/>
    <w:rsid w:val="0037367E"/>
    <w:rsid w:val="003C7608"/>
    <w:rsid w:val="00411DBC"/>
    <w:rsid w:val="004B7207"/>
    <w:rsid w:val="00531309"/>
    <w:rsid w:val="00554D49"/>
    <w:rsid w:val="005841EA"/>
    <w:rsid w:val="005E41CC"/>
    <w:rsid w:val="00635836"/>
    <w:rsid w:val="00636D17"/>
    <w:rsid w:val="00687984"/>
    <w:rsid w:val="006C5E3C"/>
    <w:rsid w:val="006D53BA"/>
    <w:rsid w:val="007009C5"/>
    <w:rsid w:val="00743072"/>
    <w:rsid w:val="00796479"/>
    <w:rsid w:val="008108EA"/>
    <w:rsid w:val="00831363"/>
    <w:rsid w:val="008802B1"/>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54E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86D01"/>
    <w:rPr>
      <w:vertAlign w:val="superscript"/>
    </w:rPr>
  </w:style>
  <w:style w:type="paragraph" w:styleId="Eindnoottekst">
    <w:name w:val="endnote text"/>
    <w:basedOn w:val="Standaard"/>
    <w:link w:val="EindnoottekstChar"/>
    <w:rsid w:val="000C71F7"/>
    <w:rPr>
      <w:sz w:val="20"/>
      <w:szCs w:val="20"/>
    </w:rPr>
  </w:style>
  <w:style w:type="character" w:customStyle="1" w:styleId="EindnoottekstChar">
    <w:name w:val="Eindnoottekst Char"/>
    <w:basedOn w:val="Standaardalinea-lettertype"/>
    <w:link w:val="Eindnoottekst"/>
    <w:rsid w:val="000C71F7"/>
    <w:rPr>
      <w:rFonts w:ascii="Univers" w:hAnsi="Univers"/>
    </w:rPr>
  </w:style>
  <w:style w:type="character" w:styleId="Eindnootmarkering">
    <w:name w:val="endnote reference"/>
    <w:basedOn w:val="Standaardalinea-lettertype"/>
    <w:rsid w:val="000C71F7"/>
    <w:rPr>
      <w:vertAlign w:val="superscript"/>
    </w:rPr>
  </w:style>
  <w:style w:type="character" w:styleId="Zwaar">
    <w:name w:val="Strong"/>
    <w:basedOn w:val="Standaardalinea-lettertype"/>
    <w:uiPriority w:val="22"/>
    <w:qFormat/>
    <w:rsid w:val="00891E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86D01"/>
    <w:rPr>
      <w:vertAlign w:val="superscript"/>
    </w:rPr>
  </w:style>
  <w:style w:type="paragraph" w:styleId="Eindnoottekst">
    <w:name w:val="endnote text"/>
    <w:basedOn w:val="Standaard"/>
    <w:link w:val="EindnoottekstChar"/>
    <w:rsid w:val="000C71F7"/>
    <w:rPr>
      <w:sz w:val="20"/>
      <w:szCs w:val="20"/>
    </w:rPr>
  </w:style>
  <w:style w:type="character" w:customStyle="1" w:styleId="EindnoottekstChar">
    <w:name w:val="Eindnoottekst Char"/>
    <w:basedOn w:val="Standaardalinea-lettertype"/>
    <w:link w:val="Eindnoottekst"/>
    <w:rsid w:val="000C71F7"/>
    <w:rPr>
      <w:rFonts w:ascii="Univers" w:hAnsi="Univers"/>
    </w:rPr>
  </w:style>
  <w:style w:type="character" w:styleId="Eindnootmarkering">
    <w:name w:val="endnote reference"/>
    <w:basedOn w:val="Standaardalinea-lettertype"/>
    <w:rsid w:val="000C71F7"/>
    <w:rPr>
      <w:vertAlign w:val="superscript"/>
    </w:rPr>
  </w:style>
  <w:style w:type="character" w:styleId="Zwaar">
    <w:name w:val="Strong"/>
    <w:basedOn w:val="Standaardalinea-lettertype"/>
    <w:uiPriority w:val="22"/>
    <w:qFormat/>
    <w:rsid w:val="00891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3301</ap:Words>
  <ap:Characters>18160</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2014-09-03T09:01:00.0000000Z</dcterms:created>
  <dcterms:modified xsi:type="dcterms:W3CDTF">2014-09-03T09:01:00.0000000Z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0x010100208A97ECCDACC94C8C664375E3715E7C</vt:lpwstr>
  </property>
</Properties>
</file>