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W02.14.0060/II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8361C" w:rsidRDefault="00A96A54">
              <w:r>
                <w:t>Bij Kabinetsmissive van 11 maart 2014, no.2014000474, heeft Uwe Majesteit, op voordracht van de Minister voor Buitenlandse Handel en Ontwikkelingssamenwerking, bij de Afdeling advisering van de Raad van State ter overweging aanhangig gemaakt het voorstel van wet tot wijziging van de Wet strategische diensten in verband met de uitvoering van het op 2 april 2013 te New York tot stand gekomen Wapenhandelsverdrag (Trb. 2013, 143), met memorie van toelichting.</w:t>
              </w:r>
            </w:p>
          </w:sdtContent>
        </w:sdt>
        <w:p w:rsidRPr="00831363" w:rsidR="00CE4655" w:rsidP="003C7608" w:rsidRDefault="00CE4655"/>
        <w:sdt>
          <w:sdtPr>
            <w:alias w:val="VrijeTekst1"/>
            <w:tag w:val="VrijeTekst1"/>
            <w:id w:val="-437221631"/>
            <w:lock w:val="sdtLocked"/>
          </w:sdtPr>
          <w:sdtEndPr/>
          <w:sdtContent>
            <w:p w:rsidR="00C27374" w:rsidP="00891BB0" w:rsidRDefault="00A96A54">
              <w:r>
                <w:t xml:space="preserve">Het voorstel strekt tot uitvoering van het op 2 april 2013 tot stand gekomen Wapenhandelsverdrag, hierna: het verdrag. Het voorstel heeft tot doel in de Wet strategische diensten uitdrukkelijk op te nemen dat een vergunning voor </w:t>
              </w:r>
              <w:proofErr w:type="spellStart"/>
              <w:r>
                <w:t>tussenhandeldiensten</w:t>
              </w:r>
              <w:proofErr w:type="spellEnd"/>
              <w:r>
                <w:t xml:space="preserve"> van militaire goederen en voor de immateriële overdracht van militaire goederen door middel van elektronische media, kan worden geweigerd indien anders in strijd wordt gekomen met internationale verplichtingen. </w:t>
              </w:r>
              <w:r w:rsidRPr="003C1CD7">
                <w:t xml:space="preserve">De Afdeling advisering van de Raad van State onderschrijft de strekking van het voorstel, maar maakt daarbij </w:t>
              </w:r>
              <w:r>
                <w:t>een aantal</w:t>
              </w:r>
              <w:r w:rsidRPr="003C1CD7">
                <w:t xml:space="preserve"> </w:t>
              </w:r>
              <w:r>
                <w:t>opmerkin</w:t>
              </w:r>
              <w:r w:rsidRPr="003C1CD7">
                <w:t>g</w:t>
              </w:r>
              <w:r>
                <w:t>en over de in te voeren weigeringsgrond en de bewaartermijn bij de registratie van afgegeven vergunningen</w:t>
              </w:r>
              <w:r w:rsidRPr="003C1CD7">
                <w:t>.</w:t>
              </w:r>
              <w:r>
                <w:t xml:space="preserve"> Zij is van oordeel dat in verband daarmee aanpassing van het voorstel wenselijk is.</w:t>
              </w:r>
            </w:p>
            <w:p w:rsidR="00C27374" w:rsidP="00891BB0" w:rsidRDefault="00A43802"/>
            <w:p w:rsidR="00C27374" w:rsidP="00C27374" w:rsidRDefault="00A96A54">
              <w:r>
                <w:t>1.</w:t>
              </w:r>
              <w:r>
                <w:tab/>
              </w:r>
              <w:r>
                <w:rPr>
                  <w:u w:val="single"/>
                </w:rPr>
                <w:t>De</w:t>
              </w:r>
              <w:r w:rsidRPr="00C27374">
                <w:rPr>
                  <w:u w:val="single"/>
                </w:rPr>
                <w:t xml:space="preserve"> weigeringsgrond</w:t>
              </w:r>
            </w:p>
            <w:p w:rsidR="00C27374" w:rsidP="00C27374" w:rsidRDefault="00A43802"/>
            <w:p w:rsidR="00D7726A" w:rsidP="00C27374" w:rsidRDefault="00A96A54">
              <w:r>
                <w:t>Ingevolge het voorstel kan een vergunning als bedoeld in de artikelen 8 en 10, eerste lid, respectievelijk artikel 24, eerste en derde lid, in ieder geval worden geweigerd voor zover dit voortvloeit uit internationale verplichtingen.</w:t>
              </w:r>
              <w:r>
                <w:rPr>
                  <w:rStyle w:val="Voetnootmarkering"/>
                </w:rPr>
                <w:footnoteReference w:id="1"/>
              </w:r>
              <w:r>
                <w:t xml:space="preserve"> Hiermee wordt een nieuwe facultatieve weigeringsgrond ingevoerd voor de afgifte van een vergunning.</w:t>
              </w:r>
            </w:p>
            <w:p w:rsidR="00D7726A" w:rsidP="00C27374" w:rsidRDefault="00A43802"/>
            <w:p w:rsidRPr="001D762A" w:rsidR="001D762A" w:rsidP="00C27374" w:rsidRDefault="00A96A54">
              <w:pPr>
                <w:rPr>
                  <w:i/>
                </w:rPr>
              </w:pPr>
              <w:r>
                <w:t>a.</w:t>
              </w:r>
              <w:r>
                <w:tab/>
              </w:r>
              <w:r w:rsidRPr="001D762A">
                <w:rPr>
                  <w:i/>
                </w:rPr>
                <w:t>Een facultatieve weigeringsgrond</w:t>
              </w:r>
            </w:p>
            <w:p w:rsidR="00377BE7" w:rsidP="00C27374" w:rsidRDefault="00A96A54">
              <w:r>
                <w:t>Volgens de toelichting worden met deze nieuwe weigeringsgrond de in de artikelen 6 en 7 van het verdrag genoemde criteria op nationaal niveau wettelijk vastgelegd. De criteria in de artikelen 6 en 7 van het verdrag laten de verdrags</w:t>
              </w:r>
              <w:r>
                <w:softHyphen/>
                <w:t>partijen echter geen ruimte voor afweging indien een van de daar genoemde situaties zich voordoet. De Engelstalige versie van het verdrag schrijft voor dat een verdrags</w:t>
              </w:r>
              <w:r>
                <w:softHyphen/>
                <w:t>partij in dat geval ‘</w:t>
              </w:r>
              <w:proofErr w:type="spellStart"/>
              <w:r>
                <w:t>shall</w:t>
              </w:r>
              <w:proofErr w:type="spellEnd"/>
              <w:r>
                <w:t xml:space="preserve"> </w:t>
              </w:r>
              <w:proofErr w:type="spellStart"/>
              <w:r>
                <w:t>not</w:t>
              </w:r>
              <w:proofErr w:type="spellEnd"/>
              <w:r>
                <w:t xml:space="preserve"> </w:t>
              </w:r>
              <w:proofErr w:type="spellStart"/>
              <w:r>
                <w:t>authorize</w:t>
              </w:r>
              <w:proofErr w:type="spellEnd"/>
              <w:r>
                <w:t xml:space="preserve"> </w:t>
              </w:r>
              <w:proofErr w:type="spellStart"/>
              <w:r>
                <w:t>any</w:t>
              </w:r>
              <w:proofErr w:type="spellEnd"/>
              <w:r>
                <w:t xml:space="preserve"> transfer of </w:t>
              </w:r>
              <w:proofErr w:type="spellStart"/>
              <w:r>
                <w:t>conventional</w:t>
              </w:r>
              <w:proofErr w:type="spellEnd"/>
              <w:r>
                <w:t xml:space="preserve"> arms’. In de Nederlandse tekst is dit aldus vertaald dat in die gevallen de verdragspartij de uitvoer niet toestaat. De vermelding van ‘internationale verplichtingen’ in de voorgestelde artikelleden leidt er ook toe dat een vergunning in het zich voordoende geval niet kan, maar wordt geweigerd.  </w:t>
              </w:r>
            </w:p>
            <w:p w:rsidR="00C27374" w:rsidP="00C27374" w:rsidRDefault="00A43802"/>
            <w:p w:rsidR="000C4628" w:rsidP="00C27374" w:rsidRDefault="00A96A54">
              <w:r>
                <w:t>De Afdeling adviseert de weigeringsgrond in h</w:t>
              </w:r>
              <w:r w:rsidRPr="00377BE7">
                <w:t xml:space="preserve">et voorgestelde vijfde lid van artikel 14 en </w:t>
              </w:r>
              <w:r>
                <w:t xml:space="preserve">in het voorgestelde </w:t>
              </w:r>
              <w:r w:rsidRPr="00377BE7">
                <w:t xml:space="preserve">derde lid van artikel 25 </w:t>
              </w:r>
              <w:r>
                <w:t xml:space="preserve">imperatief te formuleren. </w:t>
              </w:r>
            </w:p>
            <w:p w:rsidR="000C4628" w:rsidP="00C27374" w:rsidRDefault="00A43802"/>
            <w:p w:rsidR="001D762A" w:rsidP="00C27374" w:rsidRDefault="00A96A54">
              <w:r>
                <w:t>b.</w:t>
              </w:r>
              <w:r>
                <w:tab/>
              </w:r>
              <w:r>
                <w:rPr>
                  <w:i/>
                </w:rPr>
                <w:t>I</w:t>
              </w:r>
              <w:r w:rsidRPr="001D762A">
                <w:rPr>
                  <w:i/>
                </w:rPr>
                <w:t>nternationale verplichtingen</w:t>
              </w:r>
            </w:p>
            <w:p w:rsidR="001D762A" w:rsidP="00C27374" w:rsidRDefault="00A96A54">
              <w:r>
                <w:t xml:space="preserve">Krachtens de voorgestelde artikelleden wordt de vergunning geweigerd ‘voor zover dit voortvloeit uit internationale verplichtingen’. Volgens de toelichting wordt met deze weigeringsgrond beoogd de in de artikelen 6 en 7 van het verdrag opgenomen criteria en overwegingen uit een oogpunt van transparantie en rechtszekerheid uitdrukkelijk in </w:t>
              </w:r>
              <w:r>
                <w:lastRenderedPageBreak/>
                <w:t>de wet op te nemen. Met de voorgestelde weigeringsgrond zijn volgens de toelichting de criteria van het verdrag alsmede (mogelijk toekomstige) andere internationale verplichtingen op dit gebied toetsingscriteria in het kader van de wet geworden.</w:t>
              </w:r>
              <w:r>
                <w:rPr>
                  <w:rStyle w:val="Voetnootmarkering"/>
                </w:rPr>
                <w:footnoteReference w:id="2"/>
              </w:r>
              <w:r>
                <w:t xml:space="preserve"> </w:t>
              </w:r>
            </w:p>
            <w:p w:rsidR="001906A8" w:rsidP="00C27374" w:rsidRDefault="00A43802"/>
            <w:p w:rsidR="001906A8" w:rsidP="00C27374" w:rsidRDefault="00A96A54">
              <w:r>
                <w:t>De Afdeling merkt op dat de te introduceren term ‘internationale verplichtingen’ zeer open en vaag is in tegenstelling tot de duidelijk omschreven criteria en overwegingen in de artikelen 6 en 7 van het verdrag. In het belang van de beoogde transparantie en rechtszekerheid, adviseert de Afdeling de bedoelde criteria in de wet zelf op te nemen dan wel een verwijzing op te nemen naar het desbetreffende verdrag en de andere regelgeving waarin deze criteria zijn opgenomen en in de toelichting te verduidelijken om welke verplichtingen het gaat. Om ook rekening te houden met mogelijk toekomstige, andere criteria en overwegingen, adviseert de Afdeling voorts een wettelijke grondslag voor een algemene maatregel van bestuur te creëren.</w:t>
              </w:r>
            </w:p>
            <w:p w:rsidR="00AF2DCB" w:rsidP="00C27374" w:rsidRDefault="00A43802"/>
            <w:p w:rsidR="00AF2DCB" w:rsidP="00C27374" w:rsidRDefault="00A96A54">
              <w:r>
                <w:t xml:space="preserve">De Afdeling adviseert het voorstel met in achtneming van het bovenstaande aan te passen. </w:t>
              </w:r>
            </w:p>
            <w:p w:rsidR="00423274" w:rsidP="00C27374" w:rsidRDefault="00A43802"/>
            <w:p w:rsidR="000C4628" w:rsidP="00C27374" w:rsidRDefault="00A96A54">
              <w:r>
                <w:t>2.</w:t>
              </w:r>
              <w:r>
                <w:tab/>
              </w:r>
              <w:r w:rsidRPr="000C4628">
                <w:rPr>
                  <w:u w:val="single"/>
                </w:rPr>
                <w:t>Registratie</w:t>
              </w:r>
            </w:p>
            <w:p w:rsidR="000C4628" w:rsidP="000C4628" w:rsidRDefault="00A43802"/>
            <w:p w:rsidRPr="000C4628" w:rsidR="000C4628" w:rsidP="000C4628" w:rsidRDefault="00A96A54">
              <w:r w:rsidRPr="000C4628">
                <w:t>Artikel 12 van het verdrag verplicht de verdragspartijen tot het bijhouden van nationale registers van afgegeven vergunningen voor wapenexport. In het vierde lid van dit artikel is bepaald dat deze registers gedurende ten minste tien jaar worden bewaard. De toelichting vermeldt dat de Centrale Dienst In- en Uitvoer van de Douane – de dienst die belast is met de afhandeling van vergunningsaanvragen – gegevens over afgegeven vergunningen voor uitvoer van conventionele wapens en meldingen van doorvoer voor een periode van tien jaar bewaart.</w:t>
              </w:r>
              <w:r>
                <w:rPr>
                  <w:rStyle w:val="Voetnootmarkering"/>
                </w:rPr>
                <w:footnoteReference w:id="3"/>
              </w:r>
              <w:r w:rsidRPr="000C4628">
                <w:t xml:space="preserve"> Daarbij wordt </w:t>
              </w:r>
              <w:r>
                <w:t xml:space="preserve">echter </w:t>
              </w:r>
              <w:r w:rsidRPr="000C4628">
                <w:t xml:space="preserve">niet aangegeven waar deze bewaartermijn wettelijk is geregeld. </w:t>
              </w:r>
            </w:p>
            <w:p w:rsidRPr="000C4628" w:rsidR="000C4628" w:rsidP="000C4628" w:rsidRDefault="00A43802"/>
            <w:p w:rsidR="00891BB0" w:rsidP="00C27374" w:rsidRDefault="00A96A54">
              <w:r w:rsidRPr="000C4628">
                <w:t>De Afdeling adviseert de toelichting op dit punt aan te vullen en zo no</w:t>
              </w:r>
              <w:r>
                <w:t>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3D0D1B" w:rsidP="00891BB0" w:rsidRDefault="00A43802"/>
            <w:p w:rsidR="003D0D1B" w:rsidP="00891BB0" w:rsidRDefault="00A43802"/>
            <w:p w:rsidR="003D0D1B" w:rsidP="00891BB0" w:rsidRDefault="00A43802"/>
            <w:p w:rsidR="003D0D1B" w:rsidP="00891BB0" w:rsidRDefault="00A43802"/>
            <w:p w:rsidR="007212F1" w:rsidP="00891BB0" w:rsidRDefault="00A96A54">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8361C" w:rsidRDefault="00A96A5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W02.14.0060</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827941115"/>
              </w:sdtPr>
              <w:sdtEndPr/>
              <w:sdtContent>
                <w:p w:rsidR="00BD747A" w:rsidP="00BD747A" w:rsidRDefault="00A96A54">
                  <w:pPr>
                    <w:numPr>
                      <w:ilvl w:val="0"/>
                      <w:numId w:val="1"/>
                    </w:numPr>
                  </w:pPr>
                  <w:r>
                    <w:t xml:space="preserve">In het voorgestelde artikel 14, vierde lid, “artikel 8 van de Wet bevordering integriteitsbeoordelingen door het openbaar bestuur” vervangen door: artikel 8 van die wet. </w:t>
                  </w:r>
                </w:p>
                <w:p w:rsidR="001436CA" w:rsidP="001436CA" w:rsidRDefault="00A96A54">
                  <w:pPr>
                    <w:numPr>
                      <w:ilvl w:val="0"/>
                      <w:numId w:val="1"/>
                    </w:numPr>
                  </w:pPr>
                  <w:r>
                    <w:t xml:space="preserve">In de toelichting nader uiteen zetten dat in verband met de reikwijdte van het verdrag, de voorgestelde weigeringsgrond in andere regelgeving ook op de </w:t>
                  </w:r>
                  <w:r w:rsidRPr="001436CA">
                    <w:t>vergunningverlening voor de overdracht van materiële militaire goederen</w:t>
                  </w:r>
                  <w:r>
                    <w:t xml:space="preserve"> van toepassing zal worden. </w:t>
                  </w:r>
                </w:p>
              </w:sdtContent>
            </w:sdt>
            <w:p w:rsidR="00BD747A" w:rsidP="001436CA" w:rsidRDefault="00A43802">
              <w:pPr>
                <w:ind w:left="737"/>
              </w:pPr>
            </w:p>
            <w:p w:rsidR="00C653E6" w:rsidP="00BD747A" w:rsidRDefault="00A43802">
              <w:pPr>
                <w:ind w:left="737"/>
              </w:pPr>
            </w:p>
          </w:sdtContent>
        </w:sdt>
        <w:p w:rsidR="00C50D4F" w:rsidP="005841EA" w:rsidRDefault="00A4380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54" w:rsidRDefault="00A96A54" w:rsidP="001410FD">
      <w:r>
        <w:separator/>
      </w:r>
    </w:p>
  </w:endnote>
  <w:endnote w:type="continuationSeparator" w:id="0">
    <w:p w:rsidR="00A96A54" w:rsidRDefault="00A96A5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54" w:rsidRDefault="00A96A54" w:rsidP="001410FD">
      <w:r>
        <w:separator/>
      </w:r>
    </w:p>
  </w:footnote>
  <w:footnote w:type="continuationSeparator" w:id="0">
    <w:p w:rsidR="00A96A54" w:rsidRDefault="00A96A54" w:rsidP="001410FD">
      <w:r>
        <w:continuationSeparator/>
      </w:r>
    </w:p>
  </w:footnote>
  <w:footnote w:id="1">
    <w:p w:rsidR="00D7726A" w:rsidRDefault="00A96A54" w:rsidP="00D7726A">
      <w:pPr>
        <w:pStyle w:val="Voetnoottekst"/>
      </w:pPr>
      <w:r>
        <w:rPr>
          <w:rStyle w:val="Voetnootmarkering"/>
        </w:rPr>
        <w:footnoteRef/>
      </w:r>
      <w:r>
        <w:t xml:space="preserve"> Zie het voorgestelde vijfde lid van artikel 14 en het voorgestelde derde lid van artikel 25. </w:t>
      </w:r>
    </w:p>
  </w:footnote>
  <w:footnote w:id="2">
    <w:p w:rsidR="0094684F" w:rsidRDefault="00A96A54">
      <w:pPr>
        <w:pStyle w:val="Voetnoottekst"/>
      </w:pPr>
      <w:r>
        <w:rPr>
          <w:rStyle w:val="Voetnootmarkering"/>
        </w:rPr>
        <w:footnoteRef/>
      </w:r>
      <w:r>
        <w:t xml:space="preserve"> Memorie van toelichting, algemeen deel onder “Implementatie’.  </w:t>
      </w:r>
    </w:p>
  </w:footnote>
  <w:footnote w:id="3">
    <w:p w:rsidR="000C4628" w:rsidRDefault="00A96A54" w:rsidP="0094684F">
      <w:pPr>
        <w:pStyle w:val="Voetnoottekst"/>
        <w:tabs>
          <w:tab w:val="clear" w:pos="227"/>
        </w:tabs>
        <w:ind w:left="142" w:hanging="142"/>
      </w:pPr>
      <w:r>
        <w:rPr>
          <w:rStyle w:val="Voetnootmarkering"/>
        </w:rPr>
        <w:footnoteRef/>
      </w:r>
      <w:r>
        <w:t xml:space="preserve"> Memorie van toelichting bij het voorstel van rijkswet tot goedkeuring van het op 2 april 2013 te New York tot stand gekomen Wapenhandelsverdrag (Trb. 2013, 143 en Trb. 2014, 45), artikelsgewijze toelichting bij artikel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567C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4380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4380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7CB"/>
    <w:rsid w:val="00156F0B"/>
    <w:rsid w:val="001E27B0"/>
    <w:rsid w:val="002276F4"/>
    <w:rsid w:val="0028361C"/>
    <w:rsid w:val="002B7D8A"/>
    <w:rsid w:val="002F16D1"/>
    <w:rsid w:val="0031280A"/>
    <w:rsid w:val="00365EF8"/>
    <w:rsid w:val="003706AD"/>
    <w:rsid w:val="0037367E"/>
    <w:rsid w:val="003C7608"/>
    <w:rsid w:val="00411DBC"/>
    <w:rsid w:val="00497195"/>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43802"/>
    <w:rsid w:val="00A96A54"/>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C46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C4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A79C2"/>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842</ap:Words>
  <ap:Characters>4873</ap:Characters>
  <ap:DocSecurity>4</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2014-04-18T07:35:00.0000000Z</lastPrinted>
  <dcterms:created xsi:type="dcterms:W3CDTF">2014-06-18T07:48:00.0000000Z</dcterms:created>
  <dcterms:modified xsi:type="dcterms:W3CDTF">2014-06-18T07:48:00.0000000Z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0x0101004F0FAE9E37C71140AC071BCC86EE55CB</vt:lpwstr>
  </property>
</Properties>
</file>