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W14.14.0017/IV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21 maart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F2F06" w:rsidRDefault="00791F62">
              <w:r>
                <w:t>Bij Kabinetsmissive van 31 januari 2014, no.2014000255, heeft Uwe Majesteit, op voordracht van de Staatssecretaris van Infrastructuur en Milieu, bij de Afdeling advisering van de Raad van State ter overweging aanhangig gemaakt het voorstel van wet, houdend</w:t>
              </w:r>
              <w:r>
                <w:t>e wijziging van de Spoorwegwet, de Wet personenvervoer 2000, de Wet lokaal spoor, de Instellingswet Autoriteit Consument en Markt en de Wet op de economische delicten in verband met de implementatie van richtlijn 2012/34/EU van het Europees Parlement en de</w:t>
              </w:r>
              <w:r>
                <w:t xml:space="preserve"> Raad van 21 november 2012 tot instelling van één Europese spoorwegruimte (PbEU  2012, L 343/32), met memorie van toelichting.</w:t>
              </w:r>
            </w:p>
          </w:sdtContent>
        </w:sdt>
        <w:p w:rsidRPr="00831363" w:rsidR="00CE4655" w:rsidP="003C7608" w:rsidRDefault="00CE4655"/>
        <w:sdt>
          <w:sdtPr>
            <w:alias w:val="VrijeTekst1"/>
            <w:tag w:val="VrijeTekst1"/>
            <w:id w:val="-437221631"/>
            <w:lock w:val="sdtLocked"/>
          </w:sdtPr>
          <w:sdtEndPr/>
          <w:sdtContent>
            <w:p w:rsidR="00175C4C" w:rsidP="00175C4C" w:rsidRDefault="00791F62">
              <w:r>
                <w:t xml:space="preserve">Het voorstel strekt tot implementatie van richtlijn 2012/34/EU van het Europees Parlement en de Raad van 21 november 2012 tot </w:t>
              </w:r>
              <w:r>
                <w:t>instelling van één Europese spoorwegruimte (hierna: richtlijn). Naast een herschikking en vervanging van drie eerdere richtlijnen op het terrein van de spoorwegen, strekt de richtlijn tot verbetering van de eerlijke toegang tot het spoor en de daarbij beho</w:t>
              </w:r>
              <w:r>
                <w:t>rende dienstvoorzieningen en diensten alsmede tot versterking en uitbreiding van de positie van de nationale toezichthouders op de spoormarkt.</w:t>
              </w:r>
            </w:p>
            <w:p w:rsidR="00583E6F" w:rsidP="00175C4C" w:rsidRDefault="00791F62">
              <w:r w:rsidRPr="00583E6F">
                <w:t xml:space="preserve">De Afdeling advisering van de Raad van State maakt </w:t>
              </w:r>
              <w:r>
                <w:t>opmerkingen over de omzetting van de richtlijn en de financiël</w:t>
              </w:r>
              <w:r>
                <w:t>e compensatie voor informatieverstrekking</w:t>
              </w:r>
              <w:r w:rsidRPr="00583E6F">
                <w:t>.</w:t>
              </w:r>
              <w:r>
                <w:t xml:space="preserve"> </w:t>
              </w:r>
              <w:r w:rsidRPr="00A03097">
                <w:t xml:space="preserve">Zij is van oordeel dat in verband daarmee </w:t>
              </w:r>
              <w:r>
                <w:t xml:space="preserve">enige </w:t>
              </w:r>
              <w:r w:rsidRPr="00A03097">
                <w:t>aanpassing van het wetsvoorstel wenselijk is.</w:t>
              </w:r>
            </w:p>
            <w:p w:rsidR="00A03097" w:rsidP="00175C4C" w:rsidRDefault="00791F62"/>
            <w:p w:rsidRPr="00486876" w:rsidR="00486876" w:rsidP="00486876" w:rsidRDefault="00791F62">
              <w:pPr>
                <w:pStyle w:val="Lijstalinea"/>
                <w:numPr>
                  <w:ilvl w:val="0"/>
                  <w:numId w:val="2"/>
                </w:numPr>
                <w:rPr>
                  <w:u w:val="single"/>
                </w:rPr>
              </w:pPr>
              <w:r>
                <w:tab/>
              </w:r>
              <w:r>
                <w:rPr>
                  <w:u w:val="single"/>
                </w:rPr>
                <w:t>Omzetting van de richtlijn</w:t>
              </w:r>
            </w:p>
            <w:p w:rsidR="00486876" w:rsidP="00486876" w:rsidRDefault="00791F62">
              <w:pPr>
                <w:pStyle w:val="Lijstalinea"/>
                <w:ind w:left="360"/>
              </w:pPr>
            </w:p>
            <w:p w:rsidRPr="00486876" w:rsidR="00486876" w:rsidP="00486876" w:rsidRDefault="00791F62">
              <w:pPr>
                <w:pStyle w:val="Lijstalinea"/>
                <w:numPr>
                  <w:ilvl w:val="0"/>
                  <w:numId w:val="3"/>
                </w:numPr>
                <w:rPr>
                  <w:i/>
                </w:rPr>
              </w:pPr>
              <w:r>
                <w:rPr>
                  <w:i/>
                </w:rPr>
                <w:tab/>
              </w:r>
              <w:r w:rsidRPr="00486876">
                <w:rPr>
                  <w:i/>
                </w:rPr>
                <w:t>Toepassingsbereik</w:t>
              </w:r>
            </w:p>
            <w:p w:rsidR="00486876" w:rsidP="00486876" w:rsidRDefault="00791F62">
              <w:r>
                <w:t>Artikel 2, vierde tot en met tiende lid, van de richtlijn geeft aan lidstaten de bevoegdheid om lokale en regionale vervoersdiensten uit te sluiten van het toepassingsgebied van hoofdstukken of artikelen van de richtlijn. Volgens de transponeringstabel beh</w:t>
              </w:r>
              <w:r>
                <w:t>oeven deze leden geen implementatie.</w:t>
              </w:r>
            </w:p>
            <w:p w:rsidR="00486876" w:rsidP="00486876" w:rsidRDefault="00791F62">
              <w:r>
                <w:t>De Afdeling mist in de toelichting een motivering waarom de regering afziet van het gebruik van deze uitsluitingsbevoegdheid.</w:t>
              </w:r>
            </w:p>
            <w:p w:rsidR="00486876" w:rsidP="00486876" w:rsidRDefault="00791F62">
              <w:r>
                <w:t>De Afdeling adviseert de toelichting op dit punt aan te vullen.</w:t>
              </w:r>
            </w:p>
            <w:p w:rsidR="00486876" w:rsidP="00486876" w:rsidRDefault="00791F62"/>
            <w:p w:rsidRPr="00486876" w:rsidR="00486876" w:rsidP="00486876" w:rsidRDefault="00791F62">
              <w:pPr>
                <w:pStyle w:val="Lijstalinea"/>
                <w:numPr>
                  <w:ilvl w:val="0"/>
                  <w:numId w:val="3"/>
                </w:numPr>
                <w:rPr>
                  <w:i/>
                </w:rPr>
              </w:pPr>
              <w:r>
                <w:rPr>
                  <w:i/>
                </w:rPr>
                <w:tab/>
              </w:r>
              <w:r w:rsidRPr="00486876">
                <w:rPr>
                  <w:i/>
                </w:rPr>
                <w:t>Regels infrast</w:t>
              </w:r>
              <w:r>
                <w:rPr>
                  <w:i/>
                </w:rPr>
                <w:t>r</w:t>
              </w:r>
              <w:r w:rsidRPr="00486876">
                <w:rPr>
                  <w:i/>
                </w:rPr>
                <w:t>uctuurbeheer</w:t>
              </w:r>
              <w:r w:rsidRPr="00486876">
                <w:rPr>
                  <w:i/>
                </w:rPr>
                <w:t>der</w:t>
              </w:r>
            </w:p>
            <w:p w:rsidR="000F4C70" w:rsidP="006C1C66" w:rsidRDefault="00791F62">
              <w:pPr>
                <w:pStyle w:val="Lijstalinea"/>
                <w:ind w:left="0"/>
              </w:pPr>
              <w:r>
                <w:t>Artikel 41, tweede lid, van de richtlijn verleent de infrastructuurbeheerder de discretionaire bevoegdheid om voor aanvragers regels vast te stellen om ervoor te zorgen dat aan zijn gewettigde verwachtingen ten aanzien van de toekomstige inkomsten en h</w:t>
              </w:r>
              <w:r>
                <w:t xml:space="preserve">et toekomstig gebruik van de infrastructuur wordt voldaan. </w:t>
              </w:r>
            </w:p>
            <w:p w:rsidRPr="00886553" w:rsidR="000F4C70" w:rsidP="006C1C66" w:rsidRDefault="00791F62">
              <w:pPr>
                <w:pStyle w:val="Lijstalinea"/>
                <w:ind w:left="0"/>
              </w:pPr>
              <w:r>
                <w:t>Op grond van het voorgestelde artikel 57, vierde lid, van de Spoorwegwet</w:t>
              </w:r>
              <w:r>
                <w:rPr>
                  <w:rStyle w:val="Voetnootmarkering"/>
                </w:rPr>
                <w:footnoteReference w:id="1"/>
              </w:r>
              <w:r>
                <w:t>, kan de beheerder maatregelen treffen om ervoor te zorgen dat aan zijn gerechtvaardigde verwachtingen ten aanzien van toek</w:t>
              </w:r>
              <w:r>
                <w:t xml:space="preserve">omstige inkomsten en het </w:t>
              </w:r>
              <w:r w:rsidRPr="00886553">
                <w:t xml:space="preserve">toekomstig gebruik van de hoofdspoorweginfrastructuur wordt voldaan. </w:t>
              </w:r>
            </w:p>
            <w:p w:rsidRPr="00886553" w:rsidR="00CB075B" w:rsidP="00886553" w:rsidRDefault="00791F62">
              <w:r w:rsidRPr="00886553">
                <w:rPr>
                  <w:iCs/>
                </w:rPr>
                <w:t xml:space="preserve">De Afdeling merkt op dat de </w:t>
              </w:r>
              <w:r>
                <w:rPr>
                  <w:iCs/>
                </w:rPr>
                <w:t>toekenning van de bevoegdheid tot het treffen van</w:t>
              </w:r>
              <w:r w:rsidRPr="00886553">
                <w:rPr>
                  <w:iCs/>
                </w:rPr>
                <w:t xml:space="preserve"> maatregelen niet wordt toegel</w:t>
              </w:r>
              <w:r>
                <w:rPr>
                  <w:iCs/>
                </w:rPr>
                <w:t xml:space="preserve">icht. Van het treffen van </w:t>
              </w:r>
              <w:r w:rsidRPr="00886553">
                <w:rPr>
                  <w:iCs/>
                </w:rPr>
                <w:t>maatregelen gaat de suggesti</w:t>
              </w:r>
              <w:r w:rsidRPr="00886553">
                <w:rPr>
                  <w:iCs/>
                </w:rPr>
                <w:t xml:space="preserve">e uit dat </w:t>
              </w:r>
              <w:r>
                <w:rPr>
                  <w:iCs/>
                </w:rPr>
                <w:t>dit een reactieve handeling is die</w:t>
              </w:r>
              <w:r w:rsidRPr="00886553">
                <w:rPr>
                  <w:iCs/>
                </w:rPr>
                <w:t xml:space="preserve"> van geval tot geval zou kunnen verschillen. Om beter aan te sluiten bij de tekst en de bedoeling van artikel 27, tweede lid, gelezen </w:t>
              </w:r>
              <w:r w:rsidRPr="00886553">
                <w:rPr>
                  <w:iCs/>
                </w:rPr>
                <w:lastRenderedPageBreak/>
                <w:t>in combinatie met artikel 41, tweede lid, van de richtlijn, zou gekozen kunnen</w:t>
              </w:r>
              <w:r w:rsidRPr="00886553">
                <w:rPr>
                  <w:iCs/>
                </w:rPr>
                <w:t xml:space="preserve"> worden voor de toekenning van de bevoegdheid van het</w:t>
              </w:r>
              <w:r>
                <w:rPr>
                  <w:iCs/>
                </w:rPr>
                <w:t xml:space="preserve"> </w:t>
              </w:r>
              <w:r w:rsidRPr="00886553">
                <w:rPr>
                  <w:iCs/>
                </w:rPr>
                <w:t xml:space="preserve">stellen van voorwaarden. Voorwaarden </w:t>
              </w:r>
              <w:r>
                <w:rPr>
                  <w:iCs/>
                </w:rPr>
                <w:t xml:space="preserve">zijn van tevoren kenbaar en </w:t>
              </w:r>
              <w:r w:rsidRPr="00886553">
                <w:rPr>
                  <w:iCs/>
                </w:rPr>
                <w:t>gelden in algemene zin voor alle spoorwegondernemingen.</w:t>
              </w:r>
              <w:r w:rsidRPr="00886553">
                <w:rPr>
                  <w:rStyle w:val="Voetnootmarkering"/>
                </w:rPr>
                <w:footnoteReference w:id="2"/>
              </w:r>
              <w:r w:rsidRPr="00886553">
                <w:t xml:space="preserve"> </w:t>
              </w:r>
            </w:p>
            <w:p w:rsidR="006A24A4" w:rsidP="006C1C66" w:rsidRDefault="00791F62">
              <w:pPr>
                <w:pStyle w:val="Lijstalinea"/>
                <w:ind w:left="0"/>
              </w:pPr>
              <w:r>
                <w:t xml:space="preserve">De Afdeling adviseert de toelichting op dit punt aan te vullen en het voorstel </w:t>
              </w:r>
              <w:r>
                <w:t>zo nodig aan te passen.</w:t>
              </w:r>
            </w:p>
            <w:p w:rsidR="001D018A" w:rsidP="006C1C66" w:rsidRDefault="00791F62">
              <w:pPr>
                <w:pStyle w:val="Lijstalinea"/>
                <w:ind w:left="0"/>
              </w:pPr>
            </w:p>
            <w:p w:rsidRPr="008C4544" w:rsidR="003D17F5" w:rsidP="008C4544" w:rsidRDefault="00791F62">
              <w:pPr>
                <w:pStyle w:val="Lijstalinea"/>
                <w:numPr>
                  <w:ilvl w:val="0"/>
                  <w:numId w:val="3"/>
                </w:numPr>
                <w:rPr>
                  <w:i/>
                </w:rPr>
              </w:pPr>
              <w:r>
                <w:rPr>
                  <w:i/>
                </w:rPr>
                <w:tab/>
                <w:t>V</w:t>
              </w:r>
              <w:r w:rsidRPr="008C4544">
                <w:rPr>
                  <w:i/>
                </w:rPr>
                <w:t>erplichting</w:t>
              </w:r>
              <w:r>
                <w:rPr>
                  <w:i/>
                </w:rPr>
                <w:t xml:space="preserve"> tot samenwerking en gegevensuitwisseling</w:t>
              </w:r>
            </w:p>
            <w:p w:rsidR="00A434BE" w:rsidP="006C1C66" w:rsidRDefault="00791F62">
              <w:pPr>
                <w:pStyle w:val="Lijstalinea"/>
                <w:ind w:left="0"/>
              </w:pPr>
              <w:r>
                <w:t>Artikel 57 van de richtlijn verplicht de toezichthoudende instanties tot samenwerking en het onderling uitwisselen van informatie. Het voorgestelde artikel 73 van de Spoorwegwe</w:t>
              </w:r>
              <w:r>
                <w:t>t</w:t>
              </w:r>
              <w:r>
                <w:rPr>
                  <w:rStyle w:val="Voetnootmarkering"/>
                </w:rPr>
                <w:footnoteReference w:id="3"/>
              </w:r>
              <w:r>
                <w:t xml:space="preserve"> strekt tot implementatie van die richtlijnbepaling. </w:t>
              </w:r>
            </w:p>
            <w:p w:rsidR="007E5E69" w:rsidP="006C1C66" w:rsidRDefault="00791F62">
              <w:pPr>
                <w:pStyle w:val="Lijstalinea"/>
                <w:ind w:left="0"/>
              </w:pPr>
              <w:r>
                <w:t>De Afdeling merkt op dat van artikel 57 alleen dat gedeelte hoeft te worden omgezet dat betrekking heeft op de uitwisseling van gegevens tussen de Autoriteit Consument en Markt (ACM) en de Europese Co</w:t>
              </w:r>
              <w:r>
                <w:t>mmissie. Als het gaat om samenwerking met de Commissie en met andere nationale toezichthouders zijn geen bevoegdheden aan de orde tot het nemen van bindende beslissingen. Met betrekking tot andere Europese netwerken van nationale toezichthouders zijn in de</w:t>
              </w:r>
              <w:r>
                <w:t xml:space="preserve"> Nederlandse wetgeving evenmin regels tot samenwerking in de formele wet opgenomen. </w:t>
              </w:r>
            </w:p>
            <w:p w:rsidR="007E5E69" w:rsidP="006C1C66" w:rsidRDefault="00791F62">
              <w:pPr>
                <w:pStyle w:val="Lijstalinea"/>
                <w:ind w:left="0"/>
              </w:pPr>
            </w:p>
            <w:p w:rsidR="00A434BE" w:rsidP="006C1C66" w:rsidRDefault="00791F62">
              <w:pPr>
                <w:pStyle w:val="Lijstalinea"/>
                <w:ind w:left="0"/>
              </w:pPr>
              <w:r>
                <w:t>Wat de specifieke bepaling inzake de gegevens- en inlichtingenverstrekking van het derde lid betreft merkt de Afdeling op dat voor zover het gaat om uitwisseling van gege</w:t>
              </w:r>
              <w:r>
                <w:t>vens tussen de ACM en andere nationale toezichthouders in de transponeringstabel verwezen kan worden naar artikel 7, derde lid, onderdeel b, en vierde lid, van de Instellingswet Autoriteit Consument en Markt (IACM). Deze artikelleden regelen immers de bevo</w:t>
              </w:r>
              <w:r>
                <w:t>egdheid voor de ACM voor gegevens- of inlichtingenverstrekking aan een buitenlandse instelling, voor zover de geheimhouding van de gegevens of inlichtingen in voldoende mate is gewaarborgd. Voor de uitwisseling van gegevens tussen de ACM en de Europese Com</w:t>
              </w:r>
              <w:r>
                <w:t>missie, kan de Europese Commissie worden toegevoegd aan de opsomming in artikel 7, derde lid, van de IACM.</w:t>
              </w:r>
            </w:p>
            <w:p w:rsidR="001D018A" w:rsidP="006C1C66" w:rsidRDefault="00791F62">
              <w:pPr>
                <w:pStyle w:val="Lijstalinea"/>
                <w:ind w:left="0"/>
              </w:pPr>
              <w:r>
                <w:t>Gelet op het vorenstaande adviseert de Afdeling het voorgestelde artikel 73 van de Spoorwegwet en artikel 7 van de IACM te wijzigen.</w:t>
              </w:r>
            </w:p>
            <w:p w:rsidR="00626456" w:rsidP="006C1C66" w:rsidRDefault="00791F62">
              <w:pPr>
                <w:pStyle w:val="Lijstalinea"/>
                <w:ind w:left="0"/>
              </w:pPr>
            </w:p>
            <w:p w:rsidRPr="000F4C70" w:rsidR="006A24A4" w:rsidP="006A24A4" w:rsidRDefault="00791F62">
              <w:pPr>
                <w:pStyle w:val="Lijstalinea"/>
                <w:numPr>
                  <w:ilvl w:val="0"/>
                  <w:numId w:val="2"/>
                </w:numPr>
                <w:rPr>
                  <w:u w:val="single"/>
                </w:rPr>
              </w:pPr>
              <w:r>
                <w:tab/>
              </w:r>
              <w:r w:rsidRPr="000F4C70">
                <w:rPr>
                  <w:u w:val="single"/>
                </w:rPr>
                <w:t xml:space="preserve">Financiële compensatie informatieverstrekking </w:t>
              </w:r>
            </w:p>
            <w:p w:rsidR="006A24A4" w:rsidP="006A24A4" w:rsidRDefault="00791F62"/>
            <w:p w:rsidR="006A24A4" w:rsidP="006A24A4" w:rsidRDefault="00791F62">
              <w:r>
                <w:t>Op grond van het voorgestelde artikel 96a van de Spoorwegwet</w:t>
              </w:r>
              <w:r>
                <w:rPr>
                  <w:rStyle w:val="Voetnootmarkering"/>
                </w:rPr>
                <w:footnoteReference w:id="4"/>
              </w:r>
              <w:r>
                <w:t xml:space="preserve"> verstrekt een betrokkene als bedoeld in artikel 15, derde lid, van de richtlijn desgevraagd aan Onze Minister de gegevens en inlichtingen die hij </w:t>
              </w:r>
              <w:r>
                <w:t>nodig heeft om te kunnen voldoen aan het verzoek tot informatieverstrekking van de Europese Commissie. Volgens de toelichting heeft een ‘betrokkene’ betrekking op de infrastructuurbeheerder, maar kan ook decentrale overheden betreffen die uit hoofde van hu</w:t>
              </w:r>
              <w:r>
                <w:t xml:space="preserve">n rol als concessieverlener inzicht </w:t>
              </w:r>
              <w:r>
                <w:lastRenderedPageBreak/>
                <w:t>hebben in de prijzen en de kwaliteit van personenvervoerdiensten over het regionale spoor.</w:t>
              </w:r>
              <w:r>
                <w:rPr>
                  <w:rStyle w:val="Voetnootmarkering"/>
                </w:rPr>
                <w:footnoteReference w:id="5"/>
              </w:r>
              <w:r>
                <w:t xml:space="preserve"> </w:t>
              </w:r>
            </w:p>
            <w:p w:rsidR="006A24A4" w:rsidP="006A24A4" w:rsidRDefault="00791F62">
              <w:r>
                <w:t>Op grond van artikel 119, vierde lid, van de Gemeentewet</w:t>
              </w:r>
              <w:r>
                <w:rPr>
                  <w:rStyle w:val="Voetnootmarkering"/>
                </w:rPr>
                <w:footnoteReference w:id="6"/>
              </w:r>
              <w:r>
                <w:t>, wordt omtrent de verstrekking en inwinning van informatie door een c</w:t>
              </w:r>
              <w:r>
                <w:t>ollege van burgemeester en wethouders aan een minister, voor zover dat niet bij wet geschiedt, bij algemene maatregel van bestuur aangegeven hoe de financiële gevolgen van de verplichting tot informatieverstrekking worden gecompenseerd. De Afdeling merkt o</w:t>
              </w:r>
              <w:r>
                <w:t>p dat uit de toelichting niet blijkt hoe de informatieverstrekking door decentrale overheden aan de Minister van Infrastructuur en Milieu financieel zal worden gecompenseerd.</w:t>
              </w:r>
            </w:p>
            <w:p w:rsidR="0031089B" w:rsidP="00A87956" w:rsidRDefault="00791F62">
              <w:r>
                <w:t>De Afdeling adviseert de toelichting op dit punt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C4544" w:rsidRDefault="00791F62">
              <w:pPr>
                <w:pStyle w:val="Lijstalinea"/>
                <w:numPr>
                  <w:ilvl w:val="0"/>
                  <w:numId w:val="2"/>
                </w:numPr>
              </w:pPr>
              <w:r w:rsidRPr="005F7A2B">
                <w:t xml:space="preserve">De Afdeling </w:t>
              </w:r>
              <w:r w:rsidRPr="005F7A2B">
                <w:t>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F2F06" w:rsidRDefault="00791F62">
              <w:r>
                <w:t>De Afdeling advisering van de Raad van State geeft U in overweging het voorstel van wet te zenden aan de Tweede Kamer der Staten-Generaal, nadat met het vorenstaande rekening zal zijn gehou</w:t>
              </w:r>
              <w:r>
                <w:t>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W14.14.0017</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EF7D67" w:rsidP="000E4F29" w:rsidRDefault="00791F62">
              <w:pPr>
                <w:numPr>
                  <w:ilvl w:val="0"/>
                  <w:numId w:val="4"/>
                </w:numPr>
                <w:ind w:left="360"/>
              </w:pPr>
              <w:r>
                <w:t xml:space="preserve">In de considerans de </w:t>
              </w:r>
              <w:r>
                <w:t>zinsnede “dat het wenselijk is (…) wijzigen” te wijzigen in: dat het wenselijk is de Spoorwegwet en enige andere wetten te wijzigen ter implementatie van richtlijn 2012/34/EU van het Europees Parlement en de Raad van 21 november 2012 tot instelling van één</w:t>
              </w:r>
              <w:r>
                <w:t xml:space="preserve"> Europese spoorwegruimte (PbEU 2012, L 343/32).</w:t>
              </w:r>
            </w:p>
            <w:p w:rsidR="00EF7D67" w:rsidP="000E4F29" w:rsidRDefault="00791F62"/>
            <w:p w:rsidR="00EF7D67" w:rsidP="000E4F29" w:rsidRDefault="00791F62">
              <w:pPr>
                <w:pStyle w:val="Lijstalinea"/>
                <w:ind w:left="360"/>
              </w:pPr>
              <w:r>
                <w:t>Artikel I</w:t>
              </w:r>
            </w:p>
            <w:p w:rsidR="00CE2725" w:rsidP="000E4F29" w:rsidRDefault="00791F62">
              <w:pPr>
                <w:numPr>
                  <w:ilvl w:val="0"/>
                  <w:numId w:val="4"/>
                </w:numPr>
                <w:ind w:left="360"/>
              </w:pPr>
              <w:r>
                <w:t>In onderdeel K in de aanhef de zinsnede “Na artikel 55 (…) hoofdstuk 4” wijzigen: In hoofdstuk 4, paragraaf 1, wordt voor artikel 57.</w:t>
              </w:r>
            </w:p>
            <w:p w:rsidR="00CE2725" w:rsidP="000E4F29" w:rsidRDefault="00791F62">
              <w:pPr>
                <w:numPr>
                  <w:ilvl w:val="0"/>
                  <w:numId w:val="4"/>
                </w:numPr>
                <w:ind w:left="360"/>
              </w:pPr>
              <w:r>
                <w:t>In onderdeel Q in de aanhef de zinsnede “de titel van” wijzigen</w:t>
              </w:r>
              <w:r>
                <w:t xml:space="preserve"> in: Het opschrift van.</w:t>
              </w:r>
            </w:p>
            <w:p w:rsidR="00EE6468" w:rsidP="000E4F29" w:rsidRDefault="00791F62">
              <w:pPr>
                <w:numPr>
                  <w:ilvl w:val="0"/>
                  <w:numId w:val="4"/>
                </w:numPr>
                <w:ind w:left="360"/>
              </w:pPr>
              <w:r>
                <w:t>In onderdeel S, in het voorgestelde artikel 63, tweede lid, de zinsnede “een besluit omtrent goedkeuring van de methode van toerekening” telkens wijzigen in: een goedkeuringsbesluit.</w:t>
              </w:r>
            </w:p>
            <w:p w:rsidR="00CF699E" w:rsidP="000E4F29" w:rsidRDefault="00791F62">
              <w:pPr>
                <w:numPr>
                  <w:ilvl w:val="0"/>
                  <w:numId w:val="4"/>
                </w:numPr>
                <w:ind w:left="360"/>
              </w:pPr>
              <w:r>
                <w:t>In onderdeel Z, in het voorgestelde artikel 72, t</w:t>
              </w:r>
              <w:r>
                <w:t>weede lid, “de Commissie van de Europese Unie” vervangen door: de Europese Commissie (Ar. 88b).</w:t>
              </w:r>
            </w:p>
            <w:p w:rsidR="00CF699E" w:rsidP="000E4F29" w:rsidRDefault="00791F62">
              <w:pPr>
                <w:numPr>
                  <w:ilvl w:val="0"/>
                  <w:numId w:val="4"/>
                </w:numPr>
                <w:ind w:left="360"/>
              </w:pPr>
              <w:r>
                <w:t>In onderdeel EE in de aanhef de zinsnede “de titel van” wijzigen in: Het opschrift van.</w:t>
              </w:r>
            </w:p>
            <w:p w:rsidR="009D090B" w:rsidP="000E4F29" w:rsidRDefault="00791F62"/>
            <w:p w:rsidR="009D090B" w:rsidP="000E4F29" w:rsidRDefault="00791F62">
              <w:pPr>
                <w:pStyle w:val="Lijstalinea"/>
                <w:ind w:left="360"/>
              </w:pPr>
              <w:r>
                <w:t>Artikel II</w:t>
              </w:r>
            </w:p>
            <w:p w:rsidR="009D090B" w:rsidP="000E4F29" w:rsidRDefault="00791F62">
              <w:pPr>
                <w:numPr>
                  <w:ilvl w:val="0"/>
                  <w:numId w:val="4"/>
                </w:numPr>
                <w:ind w:left="360"/>
              </w:pPr>
              <w:r>
                <w:t xml:space="preserve">In onderdeel D, in het voorgestelde artikel 19b, derde lid, </w:t>
              </w:r>
              <w:r>
                <w:t>“de Commissie van de Europese Gemeenschappen” vervangen door: de Europese Commissie (Ar. 88b).</w:t>
              </w:r>
            </w:p>
            <w:p w:rsidR="00F63671" w:rsidP="000E4F29" w:rsidRDefault="00791F62"/>
            <w:p w:rsidR="003D17F5" w:rsidP="008C4544" w:rsidRDefault="00791F62">
              <w:pPr>
                <w:pStyle w:val="Lijstalinea"/>
                <w:ind w:left="360"/>
              </w:pPr>
              <w:r>
                <w:t>Transponeringstabel</w:t>
              </w:r>
            </w:p>
            <w:p w:rsidR="003D17F5" w:rsidP="008C4544" w:rsidRDefault="00791F62">
              <w:pPr>
                <w:numPr>
                  <w:ilvl w:val="0"/>
                  <w:numId w:val="4"/>
                </w:numPr>
                <w:ind w:left="360"/>
              </w:pPr>
              <w:r>
                <w:t xml:space="preserve">Artikel 2, eerste lid, behoeft ingevolge de transponeringstabel geen implementatie, omdat dit lid betrekking heeft op het toepassingsbereik </w:t>
              </w:r>
              <w:r>
                <w:t>van de richtlijn. Geadviseerd wordt in de toelichting aan te geven hoe het toepassingsbereik van de richtlijn zich verhoudt tot het Nederlandse spoorwegstelsel.</w:t>
              </w:r>
            </w:p>
            <w:p w:rsidR="004C1A10" w:rsidP="008C4544" w:rsidRDefault="00791F62">
              <w:pPr>
                <w:numPr>
                  <w:ilvl w:val="0"/>
                  <w:numId w:val="4"/>
                </w:numPr>
                <w:ind w:left="360"/>
              </w:pPr>
              <w:r>
                <w:t>In de eerste alinea van de toelichting verwijzen naar het onderdeel van de toelichting waarin d</w:t>
              </w:r>
              <w:r>
                <w:t>e transponeringstabel is opgenomen (Ar. 337, onder c).</w:t>
              </w:r>
            </w:p>
            <w:p w:rsidR="00E70C71" w:rsidP="008C4544" w:rsidRDefault="00791F62"/>
          </w:sdtContent>
        </w:sdt>
        <w:p w:rsidR="00C50D4F" w:rsidP="005841EA" w:rsidRDefault="00791F6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9F" w:rsidRDefault="00791F62" w:rsidP="005B3E03">
      <w:r>
        <w:separator/>
      </w:r>
    </w:p>
    <w:p w:rsidR="00E8789F" w:rsidRDefault="00791F62"/>
  </w:footnote>
  <w:footnote w:type="continuationSeparator" w:id="0">
    <w:p w:rsidR="00E8789F" w:rsidRDefault="00791F62" w:rsidP="005B3E03">
      <w:r>
        <w:continuationSeparator/>
      </w:r>
    </w:p>
    <w:p w:rsidR="00E8789F" w:rsidRDefault="00791F62"/>
  </w:footnote>
  <w:footnote w:id="1">
    <w:p w:rsidR="0096255B" w:rsidRDefault="00791F62" w:rsidP="007E5E69">
      <w:pPr>
        <w:pStyle w:val="Voetnoottekst"/>
        <w:tabs>
          <w:tab w:val="clear" w:pos="227"/>
          <w:tab w:val="left" w:pos="284"/>
        </w:tabs>
        <w:ind w:left="284"/>
      </w:pPr>
      <w:r>
        <w:rPr>
          <w:rStyle w:val="Voetnootmarkering"/>
        </w:rPr>
        <w:footnoteRef/>
      </w:r>
      <w:r>
        <w:t xml:space="preserve"> </w:t>
      </w:r>
      <w:r>
        <w:tab/>
        <w:t>Zie artikel I, onderdeel L.</w:t>
      </w:r>
    </w:p>
  </w:footnote>
  <w:footnote w:id="2">
    <w:p w:rsidR="00C852A1" w:rsidRPr="008C4544" w:rsidRDefault="00791F62" w:rsidP="00C852A1">
      <w:pPr>
        <w:pStyle w:val="Lijstalinea"/>
        <w:tabs>
          <w:tab w:val="left" w:pos="284"/>
        </w:tabs>
        <w:ind w:left="284" w:hanging="227"/>
        <w:rPr>
          <w:sz w:val="18"/>
          <w:szCs w:val="18"/>
        </w:rPr>
      </w:pPr>
      <w:r>
        <w:rPr>
          <w:rStyle w:val="Voetnootmarkering"/>
        </w:rPr>
        <w:footnoteRef/>
      </w:r>
      <w:r>
        <w:t xml:space="preserve"> </w:t>
      </w:r>
      <w:r>
        <w:tab/>
      </w:r>
      <w:r>
        <w:rPr>
          <w:sz w:val="18"/>
          <w:szCs w:val="18"/>
        </w:rPr>
        <w:t xml:space="preserve">Ingevolge artikel 27, tweede lid, van de richtlijn bevat de netverklaring ook informatie over de </w:t>
      </w:r>
      <w:r w:rsidRPr="00886553">
        <w:rPr>
          <w:i/>
          <w:sz w:val="18"/>
          <w:szCs w:val="18"/>
        </w:rPr>
        <w:t>voorwaarden</w:t>
      </w:r>
      <w:r>
        <w:rPr>
          <w:sz w:val="18"/>
          <w:szCs w:val="18"/>
        </w:rPr>
        <w:t xml:space="preserve"> voor toegang tot dienstvoorzieningen. A</w:t>
      </w:r>
      <w:r w:rsidRPr="008C4544">
        <w:rPr>
          <w:sz w:val="18"/>
          <w:szCs w:val="18"/>
        </w:rPr>
        <w:t xml:space="preserve">rtikel </w:t>
      </w:r>
      <w:r>
        <w:rPr>
          <w:sz w:val="18"/>
          <w:szCs w:val="18"/>
        </w:rPr>
        <w:t>41, tweede lid,</w:t>
      </w:r>
      <w:r w:rsidRPr="008C4544">
        <w:rPr>
          <w:sz w:val="18"/>
          <w:szCs w:val="18"/>
        </w:rPr>
        <w:t xml:space="preserve"> van </w:t>
      </w:r>
      <w:r>
        <w:rPr>
          <w:sz w:val="18"/>
          <w:szCs w:val="18"/>
        </w:rPr>
        <w:t>de richtlijn bepaalt dat</w:t>
      </w:r>
      <w:r w:rsidRPr="008C4544">
        <w:rPr>
          <w:sz w:val="18"/>
          <w:szCs w:val="18"/>
        </w:rPr>
        <w:t xml:space="preserve"> de regels van de infrastructuurbeheerder alleen betrekking mogen hebben op een financiële garantie (…) en op de mogelijkheid om reglementaire offertes voor infrastr</w:t>
      </w:r>
      <w:r w:rsidRPr="008C4544">
        <w:rPr>
          <w:sz w:val="18"/>
          <w:szCs w:val="18"/>
        </w:rPr>
        <w:t xml:space="preserve">uctuurcapaciteit in te dienen. </w:t>
      </w:r>
      <w:r>
        <w:rPr>
          <w:sz w:val="18"/>
          <w:szCs w:val="18"/>
        </w:rPr>
        <w:t>Deze regels dienen gespecificeerd te worden in de netverklaring.</w:t>
      </w:r>
    </w:p>
  </w:footnote>
  <w:footnote w:id="3">
    <w:p w:rsidR="00BE3626" w:rsidRDefault="00791F62" w:rsidP="007E5E69">
      <w:pPr>
        <w:pStyle w:val="Voetnoottekst"/>
        <w:tabs>
          <w:tab w:val="clear" w:pos="227"/>
          <w:tab w:val="left" w:pos="284"/>
        </w:tabs>
        <w:ind w:left="284"/>
      </w:pPr>
      <w:r>
        <w:rPr>
          <w:rStyle w:val="Voetnootmarkering"/>
        </w:rPr>
        <w:footnoteRef/>
      </w:r>
      <w:r>
        <w:t xml:space="preserve"> </w:t>
      </w:r>
      <w:r>
        <w:tab/>
        <w:t>Zie artikel I, onderdeel AA.</w:t>
      </w:r>
    </w:p>
  </w:footnote>
  <w:footnote w:id="4">
    <w:p w:rsidR="006A24A4" w:rsidRDefault="00791F62" w:rsidP="006A24A4">
      <w:pPr>
        <w:pStyle w:val="Voetnoottekst"/>
      </w:pPr>
      <w:r>
        <w:rPr>
          <w:rStyle w:val="Voetnootmarkering"/>
        </w:rPr>
        <w:footnoteRef/>
      </w:r>
      <w:r>
        <w:t xml:space="preserve"> </w:t>
      </w:r>
      <w:r>
        <w:tab/>
        <w:t>Zie artikel I, onderdeel FF.</w:t>
      </w:r>
    </w:p>
  </w:footnote>
  <w:footnote w:id="5">
    <w:p w:rsidR="006A24A4" w:rsidRDefault="00791F62" w:rsidP="006A24A4">
      <w:pPr>
        <w:pStyle w:val="Voetnoottekst"/>
      </w:pPr>
      <w:r>
        <w:rPr>
          <w:rStyle w:val="Voetnootmarkering"/>
        </w:rPr>
        <w:footnoteRef/>
      </w:r>
      <w:r>
        <w:t xml:space="preserve"> </w:t>
      </w:r>
      <w:r>
        <w:tab/>
        <w:t>Toelichting bij artikel I, onderdeel FF.</w:t>
      </w:r>
    </w:p>
  </w:footnote>
  <w:footnote w:id="6">
    <w:p w:rsidR="006A24A4" w:rsidRDefault="00791F62" w:rsidP="006A24A4">
      <w:pPr>
        <w:pStyle w:val="Voetnoottekst"/>
      </w:pPr>
      <w:r>
        <w:rPr>
          <w:rStyle w:val="Voetnootmarkering"/>
        </w:rPr>
        <w:footnoteRef/>
      </w:r>
      <w:r>
        <w:t xml:space="preserve"> </w:t>
      </w:r>
      <w:r>
        <w:tab/>
        <w:t>Zie ook artikel 117, vierde lid, van de Provincie</w:t>
      </w:r>
      <w:r>
        <w:t>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91F6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91F6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34305"/>
    <w:multiLevelType w:val="hybridMultilevel"/>
    <w:tmpl w:val="CE7C0FC8"/>
    <w:lvl w:ilvl="0" w:tplc="D5B062F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063367"/>
    <w:multiLevelType w:val="hybridMultilevel"/>
    <w:tmpl w:val="D6586B9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BD82FFD"/>
    <w:multiLevelType w:val="hybridMultilevel"/>
    <w:tmpl w:val="629A1A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C4A5AA2"/>
    <w:multiLevelType w:val="hybridMultilevel"/>
    <w:tmpl w:val="E1A046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2F2F06"/>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1F6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355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35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1294</ap:Words>
  <ap:Characters>7123</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2014-06-18T07:31:00.0000000Z</dcterms:created>
  <dcterms:modified xsi:type="dcterms:W3CDTF">2014-06-18T07:31:00.0000000Z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0x0101002AF6EA9DB766D748A42ECF1D0C4F723B</vt:lpwstr>
  </property>
</Properties>
</file>