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22241251" wp14:anchorId="64AB7E9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29AB851" wp14:anchorId="5CDF6E6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W06.14.0040/III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11 april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E65EE" w:rsidRDefault="00D47A6C">
              <w:r>
                <w:t>Bij Kabinetsmissive van 13 februari 2014, no.2014000344, heeft Uwe Majesteit, op voordracht van de Minister van Financiën, bij de Afdeling advisering van de Raad van State ter overweging aanhangig gemaakt het voorstel van wet tot wijziging van de Wet op het financieel toezicht houdende regels met betrekking tot het beloningsbeleid van financiële ondernemingen,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877623952"/>
              </w:sdtPr>
              <w:sdtEndPr/>
              <w:sdtContent>
                <w:p w:rsidR="004F6873" w:rsidP="004F6873" w:rsidRDefault="00D47A6C">
                  <w:pPr>
                    <w:pStyle w:val="Lijstalinea"/>
                    <w:ind w:left="0"/>
                  </w:pPr>
                  <w:r>
                    <w:t>Het voorstel stelt regels over het beloningsbeleid van financiële ondernemingen. Het bevat in de eerste plaats een hernieuwde vaststelling van de eis dat financiële ondernemingen moeten beschikken over een ‘beheerst beloningsbeleid’. In dat kader wordt onder meer verlangd dat een onderneming voorkomt dat het beloningsbeleid ertoe bijdraagt dat een onderneming meer risico’s neemt dan voor haar aanvaardbaar is</w:t>
                  </w:r>
                  <w:r>
                    <w:rPr>
                      <w:rStyle w:val="Voetnootmarkering"/>
                    </w:rPr>
                    <w:footnoteReference w:id="1"/>
                  </w:r>
                  <w:r>
                    <w:t xml:space="preserve"> (prudentiële component) en dat het beloningsbeleid erop gericht is te voorkomen dat consumenten, cliënten of deelnemers onzorgvuldig worden behandeld</w:t>
                  </w:r>
                  <w:r>
                    <w:rPr>
                      <w:rStyle w:val="Voetnootmarkering"/>
                    </w:rPr>
                    <w:footnoteReference w:id="2"/>
                  </w:r>
                  <w:r>
                    <w:t xml:space="preserve"> (gedragscomponent). Deze voorschriften zijn thans opgenomen in twee algemene maatregelen van bestuur.</w:t>
                  </w:r>
                  <w:r>
                    <w:rPr>
                      <w:rStyle w:val="Voetnootmarkering"/>
                    </w:rPr>
                    <w:footnoteReference w:id="3"/>
                  </w:r>
                  <w:r>
                    <w:t xml:space="preserve"> </w:t>
                  </w:r>
                </w:p>
                <w:p w:rsidR="004F6873" w:rsidP="004F6873" w:rsidRDefault="00B37B31">
                  <w:pPr>
                    <w:pStyle w:val="Lijstalinea"/>
                    <w:ind w:left="0"/>
                  </w:pPr>
                </w:p>
                <w:p w:rsidR="004F6873" w:rsidP="00265C49" w:rsidRDefault="00D47A6C">
                  <w:pPr>
                    <w:pStyle w:val="Lijstalinea"/>
                    <w:ind w:left="0"/>
                  </w:pPr>
                  <w:r>
                    <w:t>Het voorstel bevat in de tweede plaats een aantal nieuwe specifieke voorschriften over het beloningsbeleid. Zo wordt bepaald dat de variabele beloning die een financiële onderneming mag toekennen wordt gemaximeerd op 20% van de vaste beloning (behoudens enkele uitzonderingen). Voorts wordt in het voorstel de hoogte van een vertrekvergoeding gemaximeerd met als achtergrond de regeling die is opgenomen in het wetsvoorstel werk en zekerheid.</w:t>
                  </w:r>
                  <w:r>
                    <w:rPr>
                      <w:rStyle w:val="Voetnootmarkering"/>
                    </w:rPr>
                    <w:footnoteReference w:id="4"/>
                  </w:r>
                  <w:r>
                    <w:t xml:space="preserve"> Daarnaast wordt bepaald onder welke voorwaarden geen vertrekvergoeding kan worden uitgekeerd. </w:t>
                  </w:r>
                  <w:r w:rsidRPr="007A1177">
                    <w:t xml:space="preserve"> Voorts wordt de </w:t>
                  </w:r>
                  <w:r>
                    <w:t xml:space="preserve">bestaande wettelijke </w:t>
                  </w:r>
                  <w:r w:rsidRPr="007A1177">
                    <w:t>regeling met betrekking tot de aanpassing en terugvordering van</w:t>
                  </w:r>
                  <w:r>
                    <w:t xml:space="preserve"> reeds</w:t>
                  </w:r>
                  <w:r w:rsidRPr="007A1177">
                    <w:t xml:space="preserve"> toegekende </w:t>
                  </w:r>
                  <w:r>
                    <w:t xml:space="preserve">of uitgekeerde </w:t>
                  </w:r>
                  <w:r w:rsidRPr="007A1177">
                    <w:t>variabele beloning</w:t>
                  </w:r>
                  <w:r>
                    <w:t>en aangescherpt.</w:t>
                  </w:r>
                  <w:r w:rsidRPr="007A1177">
                    <w:t xml:space="preserve"> Het gaat daarbij onder andere om </w:t>
                  </w:r>
                  <w:r>
                    <w:t xml:space="preserve">terugvordering of aanpassing van de beloning wegens </w:t>
                  </w:r>
                  <w:r w:rsidRPr="007A1177">
                    <w:t>het schenden van normen van bekwaamheid of</w:t>
                  </w:r>
                  <w:r>
                    <w:t xml:space="preserve"> het verantwoordelijk zijn voor grote verliezen. </w:t>
                  </w:r>
                </w:p>
                <w:p w:rsidR="00265C49" w:rsidP="00265C49" w:rsidRDefault="00B37B31">
                  <w:pPr>
                    <w:pStyle w:val="Lijstalinea"/>
                    <w:ind w:left="0"/>
                  </w:pPr>
                </w:p>
                <w:p w:rsidR="00BE009F" w:rsidP="007277D6" w:rsidRDefault="00D47A6C">
                  <w:r w:rsidRPr="00CA5306">
                    <w:t xml:space="preserve">De Afdeling advisering van de Raad van State </w:t>
                  </w:r>
                  <w:r w:rsidRPr="00BE009F">
                    <w:t xml:space="preserve">onderschrijft de wens van de regering om excessieve beloningen of beloningsstructuren waarvan perverse prikkels uitgaan, te ontmoedigen of zelfs in uitzonderlijke gevallen met een wettelijke regeling te verbieden. </w:t>
                  </w:r>
                  <w:r>
                    <w:t>Zij</w:t>
                  </w:r>
                  <w:r w:rsidRPr="00BE009F">
                    <w:t xml:space="preserve"> </w:t>
                  </w:r>
                  <w:r>
                    <w:t xml:space="preserve">stelt </w:t>
                  </w:r>
                  <w:r w:rsidRPr="00BE009F">
                    <w:t>wel de vraag naar de rechtvaardiging voor de thans voorges</w:t>
                  </w:r>
                  <w:r>
                    <w:t>telde nieuwe en vergaande eisen, gelet op de maatregelen die ten aanzien van het beloningsbeleid van financiële ondernemingen reeds zijn genomen.</w:t>
                  </w:r>
                  <w:r w:rsidRPr="00BE009F">
                    <w:t xml:space="preserve"> </w:t>
                  </w:r>
                  <w:r>
                    <w:t>H</w:t>
                  </w:r>
                  <w:r w:rsidRPr="00BE009F">
                    <w:t xml:space="preserve">et </w:t>
                  </w:r>
                  <w:r>
                    <w:t xml:space="preserve">betreft daarbij ook </w:t>
                  </w:r>
                  <w:r w:rsidRPr="00BE009F">
                    <w:t>aanscherpingen van regels die onlangs of zelfs nog niet in werking zijn getreden en waarvan aldus het effect nog niet kan worden vastgesteld</w:t>
                  </w:r>
                  <w:r>
                    <w:t xml:space="preserve">. </w:t>
                  </w:r>
                </w:p>
                <w:p w:rsidR="00BE009F" w:rsidP="004F6873" w:rsidRDefault="00B37B31"/>
                <w:p w:rsidR="00BE009F" w:rsidP="004F6873" w:rsidRDefault="00D47A6C">
                  <w:r>
                    <w:t xml:space="preserve">Het voorstel heeft, gelet op </w:t>
                  </w:r>
                  <w:r w:rsidRPr="00BE009F">
                    <w:t>de</w:t>
                  </w:r>
                  <w:r>
                    <w:t xml:space="preserve"> brede</w:t>
                  </w:r>
                  <w:r w:rsidRPr="00BE009F">
                    <w:t xml:space="preserve"> kring van werknemers die door het voorstel worden geraakt en de toepasselijkheid op een zeer diverse categorie financiële en zelfs niet-financiële ondernemingen</w:t>
                  </w:r>
                  <w:r>
                    <w:t xml:space="preserve">, een zeer ruime reikwijdte. </w:t>
                  </w:r>
                  <w:r w:rsidRPr="00BE009F">
                    <w:t xml:space="preserve">De Afdeling is van oordeel dat de reikwijdte van voorgestelde regelgeving dient te zijn gerelateerd aan het oogmerk van die maatregelen. Dat wil zeggen dat de maatregelen dienen te worden gericht op die financiële ondernemingen waar het risico bestaat (of zich heeft </w:t>
                  </w:r>
                  <w:r w:rsidRPr="00BE009F">
                    <w:lastRenderedPageBreak/>
                    <w:t>gematerialiseerd) dat door het beloningsbeleid ongewenste en onverantwoorde risico’s worden genomen dan wel waar het risico bestaat dat het beloningsbeleid prikkels genereert die ertoe kunnen leiden dat het klantbelang wordt veronachtzaamd</w:t>
                  </w:r>
                  <w:r>
                    <w:t>. Voorts op die medewerkers voor wie geldt dat perverse prikkels in het beloningsbeleid tot het genoemde ongewenste gedrag kunnen leiden.</w:t>
                  </w:r>
                  <w:r w:rsidRPr="00BE009F">
                    <w:t xml:space="preserve"> Uit de toelichting blijkt </w:t>
                  </w:r>
                  <w:r>
                    <w:t>naar het oordeel van de Afdeling</w:t>
                  </w:r>
                  <w:r w:rsidRPr="00BE009F">
                    <w:t xml:space="preserve"> de</w:t>
                  </w:r>
                  <w:r>
                    <w:t>ze</w:t>
                  </w:r>
                  <w:r w:rsidRPr="00BE009F">
                    <w:t xml:space="preserve"> </w:t>
                  </w:r>
                  <w:r>
                    <w:t>r</w:t>
                  </w:r>
                  <w:r w:rsidRPr="00BE009F">
                    <w:t xml:space="preserve">elatie tussen het oogmerk en de reikwijdte van het voorstel onvoldoende. </w:t>
                  </w:r>
                  <w:r>
                    <w:t>Zij is om die reden van oordeel dat het</w:t>
                  </w:r>
                  <w:r w:rsidRPr="00BE009F">
                    <w:t xml:space="preserve"> twijfelachtig</w:t>
                  </w:r>
                  <w:r>
                    <w:t xml:space="preserve"> is</w:t>
                  </w:r>
                  <w:r w:rsidRPr="00BE009F">
                    <w:t xml:space="preserve"> of het voorstel niet verder gaat dan noodzakelijk</w:t>
                  </w:r>
                  <w:r>
                    <w:t xml:space="preserve">. </w:t>
                  </w:r>
                </w:p>
                <w:p w:rsidR="00BE009F" w:rsidP="004F6873" w:rsidRDefault="00B37B31"/>
                <w:p w:rsidR="00BE009F" w:rsidP="004F6873" w:rsidRDefault="00D47A6C">
                  <w:r>
                    <w:t xml:space="preserve">Deze conclusie is ook van belang bij de beoordeling van de verenigbaarheid van onderdelen van het voorstel </w:t>
                  </w:r>
                  <w:r w:rsidRPr="00BE009F">
                    <w:t>met het vrij verkeer van diensten en vestiging en artikel 1 van het Eerste Protocol</w:t>
                  </w:r>
                  <w:r>
                    <w:t xml:space="preserve"> bij het EVRM</w:t>
                  </w:r>
                  <w:r w:rsidRPr="00BE009F">
                    <w:t>.</w:t>
                  </w:r>
                  <w:r>
                    <w:t xml:space="preserve"> </w:t>
                  </w:r>
                  <w:r w:rsidRPr="00BE009F">
                    <w:t>De Afdeling is van oordeel dat het voorstel vooralsnog op gespannen voet staat met het vrij verkeer van diensten en dat van vestiging</w:t>
                  </w:r>
                  <w:r>
                    <w:t xml:space="preserve"> en d</w:t>
                  </w:r>
                  <w:r w:rsidRPr="00BE009F">
                    <w:t>at het voorstel, zoals het thans luidt</w:t>
                  </w:r>
                  <w:r>
                    <w:t>, op een aantal onderdelen</w:t>
                  </w:r>
                  <w:r w:rsidRPr="00BE009F">
                    <w:t xml:space="preserve"> niet verenigbaar is met het in artikel 1 EP en artikel 17 van het Handvest beschermde recht op een ongestoord genot van eigendom</w:t>
                  </w:r>
                  <w:r>
                    <w:t xml:space="preserve">. </w:t>
                  </w:r>
                </w:p>
                <w:p w:rsidR="00BE009F" w:rsidP="004F6873" w:rsidRDefault="00B37B31"/>
                <w:p w:rsidR="004F6873" w:rsidP="004F6873" w:rsidRDefault="00D47A6C">
                  <w:r>
                    <w:t>De Afdeling is</w:t>
                  </w:r>
                  <w:r w:rsidRPr="00CA5306">
                    <w:t xml:space="preserve"> van oordeel dat het voorstel in verband daarmee nader dient te worden overwogen.</w:t>
                  </w:r>
                  <w:r>
                    <w:t xml:space="preserve"> </w:t>
                  </w:r>
                </w:p>
                <w:p w:rsidR="004F6873" w:rsidP="004F6873" w:rsidRDefault="00B37B31"/>
                <w:p w:rsidRPr="00DD630E" w:rsidR="004F6873" w:rsidP="004F6873" w:rsidRDefault="00D47A6C">
                  <w:pPr>
                    <w:rPr>
                      <w:u w:val="single"/>
                    </w:rPr>
                  </w:pPr>
                  <w:r>
                    <w:t>1.</w:t>
                  </w:r>
                  <w:r>
                    <w:tab/>
                  </w:r>
                  <w:r>
                    <w:rPr>
                      <w:u w:val="single"/>
                    </w:rPr>
                    <w:t>Maatregelen om excessieve beloningen tegen te gaan</w:t>
                  </w:r>
                </w:p>
                <w:p w:rsidR="007A1177" w:rsidP="004F6873" w:rsidRDefault="00B37B31"/>
                <w:p w:rsidR="007A1177" w:rsidP="007A1177" w:rsidRDefault="00D47A6C">
                  <w:r>
                    <w:t xml:space="preserve">Uit de toelichting blijkt dat het voorstel in algemene zin er toe strekt om tegen te  </w:t>
                  </w:r>
                </w:p>
                <w:p w:rsidR="007A1177" w:rsidP="007A1177" w:rsidRDefault="00D47A6C">
                  <w:r>
                    <w:t xml:space="preserve">gaan dat excessieve beloning tot gevolg heeft dat door financiële ondernemingen  </w:t>
                  </w:r>
                </w:p>
                <w:p w:rsidR="007A1177" w:rsidP="007A1177" w:rsidRDefault="00D47A6C">
                  <w:pPr>
                    <w:pStyle w:val="Lijstalinea"/>
                    <w:ind w:left="0"/>
                  </w:pPr>
                  <w:r>
                    <w:t>overmatige risico’s worden genomen of dat jegens klanten onzorgvuldig wordt gehandeld. Perverse beloningsprikkels worden blijkens de toelichting wereldwijd gezien als één van de oorzaken van de financiële crisis. Het gaat hierbij met name om prikkels die aanleiding kunnen geven tot het nemen van ongewenste en onverantwoorde risico’s en prikkels die ertoe kunnen leiden dat het klantbelang wordt veronachtzaamd, zoals een eenzijdige oriëntatie op het kortetermijnbelang, kortetermijnwinstrealisatie, overmatige omzetbonussen en beloningen voor falen.</w:t>
                  </w:r>
                  <w:r>
                    <w:rPr>
                      <w:rStyle w:val="Voetnootmarkering"/>
                    </w:rPr>
                    <w:footnoteReference w:id="5"/>
                  </w:r>
                  <w:r>
                    <w:t xml:space="preserve"> De Afdeling onderschrijft de wens van de regering om excessieve beloningen of beloningsstructuren waarvan perverse prikkels uitgaan, te ontmoedigen of zelfs in uitzonderlijke gevallen met een wettelijke regeling te verbieden. Zij wijst er wel op dat in de afgelopen jaren reeds een groot aantal maatregelen is genomen om excessieve beloningen in de financiële sector tegen te gaan. De Afdeling wijst daarbij, zonder volledigheid te betrachten, op het volgende.</w:t>
                  </w:r>
                </w:p>
                <w:p w:rsidR="007A1177" w:rsidP="007A1177" w:rsidRDefault="00B37B31">
                  <w:pPr>
                    <w:pStyle w:val="Lijstalinea"/>
                    <w:ind w:left="0"/>
                  </w:pPr>
                </w:p>
                <w:p w:rsidR="007A1177" w:rsidP="007A1177" w:rsidRDefault="00D47A6C">
                  <w:pPr>
                    <w:pStyle w:val="Lijstalinea"/>
                    <w:ind w:left="0"/>
                  </w:pPr>
                  <w:r>
                    <w:t xml:space="preserve">Op 1 januari 2011 is het Besluit beheerst beloningsbeleid in werking getreden. Dit </w:t>
                  </w:r>
                  <w:r w:rsidRPr="007A1177">
                    <w:t xml:space="preserve">besluit </w:t>
                  </w:r>
                  <w:r>
                    <w:t>gaf</w:t>
                  </w:r>
                  <w:r w:rsidRPr="007A1177">
                    <w:t xml:space="preserve"> de Principes voor een beheerst beloningsbeleid van de beide toezichthouders, de Nederlandsche Bank (DNB) en de Autoriteit Financiële Mark</w:t>
                  </w:r>
                  <w:r>
                    <w:t xml:space="preserve">ten (AFM) een wettelijke basis. Ingevolge het Besluit beheerst beloningsbeleid </w:t>
                  </w:r>
                  <w:r w:rsidRPr="007A1177">
                    <w:t xml:space="preserve">wordt </w:t>
                  </w:r>
                  <w:r>
                    <w:t xml:space="preserve">van in beginsel elke vergunningplichtige financiële onderneming vereist dat zij een </w:t>
                  </w:r>
                  <w:r w:rsidRPr="007A1177">
                    <w:t>beleid inzake beloningen voert dat niet aanmoedigt tot het nemen van meer risico’s dan voor de desbetreffende financiële onderneming aanvaardbaar is</w:t>
                  </w:r>
                  <w:r>
                    <w:rPr>
                      <w:rStyle w:val="Voetnootmarkering"/>
                    </w:rPr>
                    <w:footnoteReference w:id="6"/>
                  </w:r>
                  <w:r>
                    <w:t xml:space="preserve">. Verder vereist het besluit </w:t>
                  </w:r>
                  <w:r w:rsidRPr="007A1177">
                    <w:t xml:space="preserve">en dat </w:t>
                  </w:r>
                  <w:r>
                    <w:t xml:space="preserve">een beleid </w:t>
                  </w:r>
                  <w:r w:rsidRPr="007A1177">
                    <w:t>inzake beloningen</w:t>
                  </w:r>
                  <w:r>
                    <w:t xml:space="preserve"> wordt gevoerd </w:t>
                  </w:r>
                  <w:r w:rsidRPr="007A1177">
                    <w:t>dat erop is gericht te voorkomen dat de beloning leidt tot onzorgvuldige behandeling van cons</w:t>
                  </w:r>
                  <w:r>
                    <w:t xml:space="preserve">umenten, cliënten of </w:t>
                  </w:r>
                  <w:r>
                    <w:lastRenderedPageBreak/>
                    <w:t>deelnemers</w:t>
                  </w:r>
                  <w:r w:rsidRPr="007A1177">
                    <w:t>.</w:t>
                  </w:r>
                  <w:r>
                    <w:rPr>
                      <w:rStyle w:val="Voetnootmarkering"/>
                    </w:rPr>
                    <w:footnoteReference w:id="7"/>
                  </w:r>
                  <w:r w:rsidRPr="007A1177">
                    <w:t xml:space="preserve"> </w:t>
                  </w:r>
                  <w:r>
                    <w:t>Deze voorwaarden gelden voor alle financiële ondernemingen met zetel in Nederland en stellen beperkingen aan de beloningen van in beginsel alle medewerkers van die ondernemingen.</w:t>
                  </w:r>
                  <w:r w:rsidRPr="007A1177">
                    <w:t xml:space="preserve"> De eisen uit het Besluit beheerst beloningsbeleid worden thans, op onderdelen aangepast, op het niveau van de wet in formele zin</w:t>
                  </w:r>
                  <w:r>
                    <w:t xml:space="preserve"> gebracht.</w:t>
                  </w:r>
                </w:p>
                <w:p w:rsidR="007A1177" w:rsidP="007A1177" w:rsidRDefault="00B37B31"/>
                <w:p w:rsidR="007A1177" w:rsidP="007A1177" w:rsidRDefault="00D47A6C">
                  <w:r>
                    <w:t xml:space="preserve">Op 1 juni 2012 is de </w:t>
                  </w:r>
                  <w:r w:rsidRPr="007A1177">
                    <w:t>Wet aansprakelijkheidsbeperking DNB en AFM en bonusverbod staatsgesteunde ondernemingen</w:t>
                  </w:r>
                  <w:r>
                    <w:t xml:space="preserve"> in werking getreden. Deze wet voorziet in een verbod voor bestuurders en beleidsbepalers van financiële ondernemingen die staatssteun genieten om variabele beloningen te ontvangen. Voorts is hun vaste beloning bevroren gedurende de periode dat de onderneming staatssteun geniet. De achtergrond van deze regeling is de gedachte dat het niet passend is om bestuurders van ondernemingen die door de Staat moesten worden ondersteund een aan de prestaties van de onderneming gerelateerde beloning te laten ontvangen. Deze regeling uit de </w:t>
                  </w:r>
                  <w:r w:rsidRPr="007A1177">
                    <w:t xml:space="preserve">Wet aansprakelijkheidsbeperking DNB en AFM en bonusverbod staatsgesteunde ondernemingen </w:t>
                  </w:r>
                  <w:r>
                    <w:t xml:space="preserve">wordt thans, op ondergeschikte onderdelen aangepast, in het onderhavige voorstel opnieuw vastgesteld. </w:t>
                  </w:r>
                </w:p>
                <w:p w:rsidR="007A1177" w:rsidP="004F6873" w:rsidRDefault="00B37B31"/>
                <w:p w:rsidR="007A1177" w:rsidP="007A1177" w:rsidRDefault="00D47A6C">
                  <w:r>
                    <w:t xml:space="preserve">In de Wet bankenbelasting is in </w:t>
                  </w:r>
                  <w:r w:rsidRPr="007A1177">
                    <w:t xml:space="preserve">artikel 10, tweede lid, </w:t>
                  </w:r>
                  <w:r>
                    <w:t xml:space="preserve">wat betreft het tarief voor de bankenbelasting </w:t>
                  </w:r>
                  <w:r w:rsidRPr="007A1177">
                    <w:t>een koppeling gelegd met het beloningsbeleid</w:t>
                  </w:r>
                  <w:r>
                    <w:t xml:space="preserve"> van de beleidsbepalers van banken</w:t>
                  </w:r>
                  <w:r w:rsidRPr="007A1177">
                    <w:t>, met als doelstelling</w:t>
                  </w:r>
                  <w:r>
                    <w:t xml:space="preserve"> om</w:t>
                  </w:r>
                  <w:r w:rsidRPr="007A1177">
                    <w:t xml:space="preserve"> bovenmatige variabele beloningen van bestuurders terug te dringen. </w:t>
                  </w:r>
                  <w:r>
                    <w:t>Ingevolge artikel 10, tweede lid, wordt h</w:t>
                  </w:r>
                  <w:r w:rsidRPr="007A1177">
                    <w:t xml:space="preserve">et tarief </w:t>
                  </w:r>
                  <w:r>
                    <w:t xml:space="preserve">voor de belasting vermenigvuldigd </w:t>
                  </w:r>
                  <w:r w:rsidRPr="007A1177">
                    <w:t>met een factor 1,</w:t>
                  </w:r>
                  <w:r>
                    <w:t>1</w:t>
                  </w:r>
                  <w:r w:rsidRPr="007A1177">
                    <w:t xml:space="preserve"> ingeval de variabele beloning van ten minste één bestuurder van de belastingplichtige </w:t>
                  </w:r>
                  <w:r>
                    <w:t xml:space="preserve">onderneming </w:t>
                  </w:r>
                  <w:r w:rsidRPr="007A1177">
                    <w:t xml:space="preserve">meer bedraagt dan 100% van de </w:t>
                  </w:r>
                  <w:r>
                    <w:t>vaste</w:t>
                  </w:r>
                  <w:r w:rsidRPr="007A1177">
                    <w:t xml:space="preserve"> beloning van deze bestuurder. </w:t>
                  </w:r>
                  <w:r>
                    <w:t xml:space="preserve">Ingevolge artikel 14bis van de Wet bankenbelasting wordt twee jaar na inwerkingtreding van de wet dit laatste percentage verlaagd naar 25%. De Wet bankenbelasting is op 1 oktober 2012 in werking getreden.  </w:t>
                  </w:r>
                </w:p>
                <w:p w:rsidR="007A1177" w:rsidP="007A1177" w:rsidRDefault="00B37B31"/>
                <w:p w:rsidR="007A1177" w:rsidP="004F6873" w:rsidRDefault="00D47A6C">
                  <w:r>
                    <w:t xml:space="preserve">Op </w:t>
                  </w:r>
                  <w:r w:rsidRPr="007A1177">
                    <w:t xml:space="preserve">1 januari 2014 </w:t>
                  </w:r>
                  <w:r>
                    <w:t>is de</w:t>
                  </w:r>
                  <w:r w:rsidRPr="007A1177">
                    <w:t xml:space="preserve"> Wet van 11 december 2013 tot wijziging van boek 2 van het Burgerlijk Wetboek en de Wet op het financieel toezicht in verband met de bevoegdheid tot aanpassing en terugvordering van bonussen en winstdelingen van bestuurders en dagelijks beleidsbepalers</w:t>
                  </w:r>
                  <w:r>
                    <w:t xml:space="preserve"> in werking getreden. Met deze wet werd geëxpliciteerd</w:t>
                  </w:r>
                  <w:r w:rsidRPr="007A1177">
                    <w:t xml:space="preserve"> dat het orgaan van een financiële onderneming dat de beloning van de dag</w:t>
                  </w:r>
                  <w:r>
                    <w:t>elijks beleidsbepalers vaststelt,</w:t>
                  </w:r>
                  <w:r w:rsidRPr="007A1177">
                    <w:t xml:space="preserve"> bevoegd is de hoogte van een bonus aan te passen tot een passende hoogte indien uitkering van de bonus naar maatstaven van redelijkheid en billijkheid onaanvaardbaar zou zijn. Voorts</w:t>
                  </w:r>
                  <w:r>
                    <w:t xml:space="preserve"> werd bepaald dat</w:t>
                  </w:r>
                  <w:r w:rsidRPr="007A1177">
                    <w:t xml:space="preserve"> de onderneming bevoegd </w:t>
                  </w:r>
                  <w:r>
                    <w:t xml:space="preserve">is </w:t>
                  </w:r>
                  <w:r w:rsidRPr="007A1177">
                    <w:t xml:space="preserve">een bonus geheel of gedeeltelijk terug te vorderen voor zover de uitkering heeft plaatsgevonden op basis van onjuiste informatie over het bereiken van de aan de bonus ten grondslag liggende doelen of over de omstandigheden waarvan de bonus afhankelijk was gesteld. </w:t>
                  </w:r>
                  <w:r>
                    <w:t>Deze regeling wordt in het onderhavige voorstel aanmerkelijk aangescherpt.</w:t>
                  </w:r>
                  <w:r w:rsidRPr="007A1177">
                    <w:t xml:space="preserve"> Zo wordt onder meer bepaald wanneer </w:t>
                  </w:r>
                  <w:r>
                    <w:t xml:space="preserve">door de onderneming </w:t>
                  </w:r>
                  <w:r w:rsidRPr="007A1177">
                    <w:t>in ieder geval gebruik dient te worden gemaakt van de bevoegdheid tot aanpassing of terugvordering van een variabele beloning.</w:t>
                  </w:r>
                  <w:r>
                    <w:rPr>
                      <w:rStyle w:val="Voetnootmarkering"/>
                    </w:rPr>
                    <w:footnoteReference w:id="8"/>
                  </w:r>
                  <w:r w:rsidRPr="007A1177">
                    <w:t xml:space="preserve"> </w:t>
                  </w:r>
                </w:p>
                <w:p w:rsidR="00BE009F" w:rsidP="004F6873" w:rsidRDefault="00B37B31"/>
                <w:p w:rsidR="007A1177" w:rsidP="004F6873" w:rsidRDefault="00D47A6C">
                  <w:r>
                    <w:t>In de memorie van toelichting wordt ook gewezen op Europese initiatieven. De toelichting wijst in het bijzonder op de Richtlijn kapitaalvereisten.</w:t>
                  </w:r>
                  <w:r>
                    <w:rPr>
                      <w:rStyle w:val="Voetnootmarkering"/>
                    </w:rPr>
                    <w:footnoteReference w:id="9"/>
                  </w:r>
                  <w:r>
                    <w:t xml:space="preserve"> In deze richtlijn zijn in </w:t>
                  </w:r>
                  <w:r>
                    <w:lastRenderedPageBreak/>
                    <w:t>de artikelen 92 en verder regels opgenomen over het beloningsbeleid van banken en beleggingsondernemingen. Deze bepalingen stellen beperkingen aan de beloning van een specifieke categorie medewerkers</w:t>
                  </w:r>
                  <w:r>
                    <w:rPr>
                      <w:rStyle w:val="Voetnootmarkering"/>
                    </w:rPr>
                    <w:footnoteReference w:id="10"/>
                  </w:r>
                  <w:r>
                    <w:t xml:space="preserve"> en bepalen onder meer dat een variabele beloning in beginsel niet meer mag bedragen dan 100%</w:t>
                  </w:r>
                  <w:r>
                    <w:rPr>
                      <w:rStyle w:val="Voetnootmarkering"/>
                    </w:rPr>
                    <w:footnoteReference w:id="11"/>
                  </w:r>
                  <w:r>
                    <w:t xml:space="preserve"> van de vaste beloning. De uiterste implementatiedatum van deze richtlijn is op 1 januari 2014 verstreken, de implementatiewet is thans aanhangig bij de Tweede Kamer.</w:t>
                  </w:r>
                  <w:r>
                    <w:rPr>
                      <w:rStyle w:val="Voetnootmarkering"/>
                    </w:rPr>
                    <w:footnoteReference w:id="12"/>
                  </w:r>
                  <w:r>
                    <w:t xml:space="preserve"> De reikwijdte van deze regeling wordt in het onderhavige voorstel, zowel ten aanzien van de kring van personen</w:t>
                  </w:r>
                  <w:r>
                    <w:rPr>
                      <w:rStyle w:val="Voetnootmarkering"/>
                    </w:rPr>
                    <w:footnoteReference w:id="13"/>
                  </w:r>
                  <w:r>
                    <w:t xml:space="preserve"> waarop zij betrekking heeft als ten aanzien van de ondernemingen</w:t>
                  </w:r>
                  <w:r>
                    <w:rPr>
                      <w:rStyle w:val="Voetnootmarkering"/>
                    </w:rPr>
                    <w:footnoteReference w:id="14"/>
                  </w:r>
                  <w:r>
                    <w:t xml:space="preserve"> waarvoor zij geldt, aanmerkelijk uitgebreid. Voorts wordt de maximale hoogte van de variabele beloning aanmerkelijk lager vastgesteld, namelijk op 20% van de vaste beloning.  </w:t>
                  </w:r>
                </w:p>
                <w:p w:rsidR="007A1177" w:rsidP="004F6873" w:rsidRDefault="00B37B31"/>
                <w:p w:rsidR="004F6873" w:rsidP="004F6873" w:rsidRDefault="00D47A6C">
                  <w:r>
                    <w:t xml:space="preserve">De Afdeling merkt op dat in de memorie van toelichting beperkt wordt ingegaan op de effecten die deze maatregelen hebben (gehad) op het beloningsbeleid van financiële ondernemingen. Zo wordt uit de toelichting niet duidelijk of de eisen uit het Besluit beheerst beloningsbeleid onvoldoende zijn gebleken of onvoldoende kunnen worden gehandhaafd om te voorkomen dat </w:t>
                  </w:r>
                  <w:r w:rsidRPr="00463957">
                    <w:t>ongewenste en onverantwoorde risico</w:t>
                  </w:r>
                  <w:r>
                    <w:t>’</w:t>
                  </w:r>
                  <w:r w:rsidRPr="00463957">
                    <w:t>s</w:t>
                  </w:r>
                  <w:r>
                    <w:t xml:space="preserve"> worden genomen of </w:t>
                  </w:r>
                  <w:r w:rsidRPr="00463957">
                    <w:t>het klantbelang wordt veronachtzaamd</w:t>
                  </w:r>
                  <w:r>
                    <w:t xml:space="preserve">. Evenmin wordt duidelijk waarom bijvoorbeeld de regels uit de richtlijn kapitaalvereisten niet zullen kunnen volstaan. Gelet hierop klemt de vraag naar de rechtvaardiging van het voorstel op dit moment. Daarbij komt het volgende.  </w:t>
                  </w:r>
                </w:p>
                <w:p w:rsidR="007A1177" w:rsidP="004F6873" w:rsidRDefault="00B37B31"/>
                <w:p w:rsidR="002324FE" w:rsidP="002324FE" w:rsidRDefault="00D47A6C">
                  <w:r w:rsidRPr="00463957">
                    <w:t>Met het voorstel wordt</w:t>
                  </w:r>
                  <w:r>
                    <w:t xml:space="preserve"> de contractsvrijheid tussen personen werkzaam onder verantwoordelijkheid van een financiële onderneming </w:t>
                  </w:r>
                  <w:r w:rsidRPr="00463957">
                    <w:t xml:space="preserve">en de ondernemingen waarbij zij in dienst zijn, </w:t>
                  </w:r>
                  <w:r>
                    <w:t xml:space="preserve">aanmerkelijk </w:t>
                  </w:r>
                  <w:r w:rsidRPr="00463957">
                    <w:t>beperkt.</w:t>
                  </w:r>
                  <w:r>
                    <w:t xml:space="preserve"> Het voorstel beperkt de mogelijkheid om individueel of collectief afspraken te maken die recht kunnen doen aan de positie en prestatie van de werknemer.  Het voorstel heeft daardoor gevolgen voor de arbeidsmarkt. De regering verwacht, zo blijkt uit de toelichting, dat de gevolgen voor de </w:t>
                  </w:r>
                  <w:r>
                    <w:lastRenderedPageBreak/>
                    <w:t>reële economie en het investeringsklimaat beperkt zijn.</w:t>
                  </w:r>
                  <w:r>
                    <w:rPr>
                      <w:rStyle w:val="Voetnootmarkering"/>
                    </w:rPr>
                    <w:footnoteReference w:id="15"/>
                  </w:r>
                  <w:r>
                    <w:t xml:space="preserve"> Uit de toelichting blijkt echter niet waarop die verwachting is gebaseerd.    </w:t>
                  </w:r>
                </w:p>
                <w:p w:rsidR="002324FE" w:rsidP="004F6873" w:rsidRDefault="00B37B31"/>
                <w:p w:rsidR="007A1177" w:rsidP="004F6873" w:rsidRDefault="00D47A6C">
                  <w:pPr>
                    <w:rPr>
                      <w:szCs w:val="22"/>
                    </w:rPr>
                  </w:pPr>
                  <w:r>
                    <w:t xml:space="preserve">Ten slotte is sprake van een belemmering van het vrij verkeer van diensten en vestiging, een inmenging in het ongestoord genot van eigendom zoals dat wordt beschermd door </w:t>
                  </w:r>
                  <w:r>
                    <w:rPr>
                      <w:szCs w:val="22"/>
                    </w:rPr>
                    <w:t xml:space="preserve">artikel 1 van het Eerste Protocol bij het EVRM (EP) en van artikel 17 van het Handvest voor de grondrechten van de Europese Unie en van een beperking van de vrijheid om collectief te onderhandelen, zoals de toelichting terecht onderkent. Onverminderd hetgeen daarover hieronder (onder 4. en 5.) meer in het bijzonder wordt opgemerkt, is een toereikende motivering van de noodzaak van de diverse maatregelen een voorwaarde voor de verenigbaarheid van de voorgestelde maatregelen met het vrij verkeer van diensten en vestiging en </w:t>
                  </w:r>
                  <w:r w:rsidRPr="0011210D">
                    <w:rPr>
                      <w:szCs w:val="22"/>
                    </w:rPr>
                    <w:t>artikel 1 van het Eerste Protocol</w:t>
                  </w:r>
                  <w:r>
                    <w:rPr>
                      <w:szCs w:val="22"/>
                    </w:rPr>
                    <w:t>.</w:t>
                  </w:r>
                </w:p>
                <w:p w:rsidRPr="007A1177" w:rsidR="007A1177" w:rsidP="004F6873" w:rsidRDefault="00B37B31">
                  <w:pPr>
                    <w:rPr>
                      <w:szCs w:val="22"/>
                    </w:rPr>
                  </w:pPr>
                </w:p>
                <w:p w:rsidR="00BE009F" w:rsidP="004F6873" w:rsidRDefault="00D47A6C">
                  <w:r>
                    <w:t xml:space="preserve">De Afdeling onderschrijft de wens de thans bestaande eisen inzake het beheerst beloningsbeleid op het niveau van de wet in formele zin neer te leggen. Dit is van belang </w:t>
                  </w:r>
                  <w:r w:rsidRPr="0081400B">
                    <w:t>gelet op het ingrijpende karakter van de maatregelen en de waarborgen die in de wetgevingsprocedure zijn gelegen</w:t>
                  </w:r>
                  <w:r>
                    <w:t xml:space="preserve">. Daarmee wordt voorts uitdrukking gegeven aan het belang dat aan een beheerst beloningsbeleid bij financiële ondernemingen moet worden gehecht. De Afdeling onderschrijft daarbij hetgeen in de toelichting wordt opgemerkt over de wenselijkheid van meer transparantie bij financiële ondernemingen over het beloningsbeleid. Door open te moeten zijn over het beloningsbeleid wordt het mogelijk voor stakeholders om de onderneming aan te spreken op dat beloningsbeleid. </w:t>
                  </w:r>
                </w:p>
                <w:p w:rsidR="00BE009F" w:rsidP="004F6873" w:rsidRDefault="00B37B31"/>
                <w:p w:rsidR="007A1177" w:rsidP="004F6873" w:rsidRDefault="00D47A6C">
                  <w:r>
                    <w:t xml:space="preserve">Het voorgaande roept naar het oordeel van de Afdeling echter de vraag op naar de rechtvaardiging voor de thans voorgestelde nieuwe en vergaande eisen die in de afdelingen 1.7.4 tot en met 1.7.7 Wft zijn neergelegd. Dit geldt temeer waar het aanscherpingen betreft van regels die onlangs of zelfs nog niet in werking zijn getreden en waarvan aldus het effect nog niet kan worden vastgesteld. De Afdeling sluit weliswaar niet uit dat op termijn aanpassing of aanscherping van deze bepalingen wenselijk of noodzakelijk zal worden geacht, maar meent dat de toelichting voor aanscherping op dit moment een onvoldoende motivering bevat. </w:t>
                  </w:r>
                </w:p>
                <w:p w:rsidR="007A1177" w:rsidP="004F6873" w:rsidRDefault="00B37B31"/>
                <w:p w:rsidR="004F6873" w:rsidP="004F6873" w:rsidRDefault="00D47A6C">
                  <w:pPr>
                    <w:rPr>
                      <w:szCs w:val="22"/>
                    </w:rPr>
                  </w:pPr>
                  <w:r>
                    <w:rPr>
                      <w:szCs w:val="22"/>
                    </w:rPr>
                    <w:t xml:space="preserve">De Afdeling adviseert </w:t>
                  </w:r>
                  <w:r w:rsidRPr="007A1177">
                    <w:rPr>
                      <w:szCs w:val="22"/>
                    </w:rPr>
                    <w:t xml:space="preserve">de </w:t>
                  </w:r>
                  <w:r>
                    <w:rPr>
                      <w:szCs w:val="22"/>
                    </w:rPr>
                    <w:t xml:space="preserve">afdelingen </w:t>
                  </w:r>
                  <w:r w:rsidRPr="007A1177">
                    <w:rPr>
                      <w:szCs w:val="22"/>
                    </w:rPr>
                    <w:t>1.7.4 tot en met 1.7.7</w:t>
                  </w:r>
                  <w:r>
                    <w:rPr>
                      <w:szCs w:val="22"/>
                    </w:rPr>
                    <w:t xml:space="preserve"> Wft in het licht van het bovenstaande dragend te motiveren. </w:t>
                  </w:r>
                </w:p>
                <w:p w:rsidR="004F6873" w:rsidP="004F6873" w:rsidRDefault="00B37B31">
                  <w:pPr>
                    <w:rPr>
                      <w:szCs w:val="22"/>
                    </w:rPr>
                  </w:pPr>
                </w:p>
                <w:p w:rsidR="004F6873" w:rsidP="004F6873" w:rsidRDefault="00D47A6C">
                  <w:pPr>
                    <w:rPr>
                      <w:szCs w:val="22"/>
                      <w:u w:val="single"/>
                    </w:rPr>
                  </w:pPr>
                  <w:r>
                    <w:rPr>
                      <w:szCs w:val="22"/>
                    </w:rPr>
                    <w:t>2.</w:t>
                  </w:r>
                  <w:r>
                    <w:rPr>
                      <w:szCs w:val="22"/>
                    </w:rPr>
                    <w:tab/>
                  </w:r>
                  <w:r>
                    <w:rPr>
                      <w:szCs w:val="22"/>
                      <w:u w:val="single"/>
                    </w:rPr>
                    <w:t>Reikwijdte</w:t>
                  </w:r>
                </w:p>
                <w:p w:rsidR="004F6873" w:rsidP="004F6873" w:rsidRDefault="00B37B31">
                  <w:pPr>
                    <w:rPr>
                      <w:szCs w:val="22"/>
                      <w:u w:val="single"/>
                    </w:rPr>
                  </w:pPr>
                </w:p>
                <w:p w:rsidRPr="00463957" w:rsidR="004F6873" w:rsidP="004F6873" w:rsidRDefault="00D47A6C">
                  <w:pPr>
                    <w:rPr>
                      <w:i/>
                      <w:szCs w:val="22"/>
                    </w:rPr>
                  </w:pPr>
                  <w:r>
                    <w:rPr>
                      <w:i/>
                      <w:szCs w:val="22"/>
                    </w:rPr>
                    <w:t xml:space="preserve">a. </w:t>
                  </w:r>
                  <w:r>
                    <w:rPr>
                      <w:i/>
                      <w:szCs w:val="22"/>
                    </w:rPr>
                    <w:tab/>
                    <w:t>Financiële ondernemingen</w:t>
                  </w:r>
                </w:p>
                <w:p w:rsidR="004F6873" w:rsidP="004F6873" w:rsidRDefault="00D47A6C">
                  <w:pPr>
                    <w:rPr>
                      <w:szCs w:val="22"/>
                    </w:rPr>
                  </w:pPr>
                  <w:r>
                    <w:rPr>
                      <w:szCs w:val="22"/>
                    </w:rPr>
                    <w:t xml:space="preserve">De in het voorstel opgenomen bepalingen met betrekking tot het beheerst beloningsbeleid (afdeling 1.7.2) en de daarbij behorende publicatieverplichtingen (afdeling 1.7.3) </w:t>
                  </w:r>
                  <w:r w:rsidRPr="00463957">
                    <w:rPr>
                      <w:szCs w:val="22"/>
                    </w:rPr>
                    <w:t>zijn</w:t>
                  </w:r>
                  <w:r>
                    <w:rPr>
                      <w:szCs w:val="22"/>
                    </w:rPr>
                    <w:t>, net als de thans geldende regelgeving inzake het beheerst beloningsbeleid, van toepassing op alle financiële onder</w:t>
                  </w:r>
                  <w:r w:rsidRPr="00463957">
                    <w:rPr>
                      <w:szCs w:val="22"/>
                    </w:rPr>
                    <w:t xml:space="preserve">nemingen </w:t>
                  </w:r>
                  <w:r>
                    <w:rPr>
                      <w:szCs w:val="22"/>
                    </w:rPr>
                    <w:t>met zetel in Nederland waarop de artikelen 3:17, 4:14, of 4:15 van de Wet op het financieel toezicht (Wft) van toepassing zijn.</w:t>
                  </w:r>
                  <w:r>
                    <w:rPr>
                      <w:rStyle w:val="Voetnootmarkering"/>
                      <w:szCs w:val="22"/>
                    </w:rPr>
                    <w:footnoteReference w:id="16"/>
                  </w:r>
                  <w:r>
                    <w:rPr>
                      <w:szCs w:val="22"/>
                    </w:rPr>
                    <w:t xml:space="preserve"> De afdelingen die de nieuwe bijzondere bepalingen over </w:t>
                  </w:r>
                  <w:r>
                    <w:rPr>
                      <w:szCs w:val="22"/>
                    </w:rPr>
                    <w:lastRenderedPageBreak/>
                    <w:t>het beloningsbeleid bevatten (1.7.4 tot en met 1.7.6) zijn van toepassing op alle financiële ondernemingen met zetel in Nederland. In beide gevallen dient de financiële onderneming er zorg voor te dragen dat de regels ook worden toegepast door haar dochterondernemingen (1:113). Indien de financiële onderneming deel uitmaakt van een groep wordt de aan het hoofd van de groep staande groepsmaatschappij opgedragen ervoor zorg te dragen dat de regels worden toegepast door alle tot de groep behorende rechtspersonen en vennootschappen (1:114).</w:t>
                  </w:r>
                  <w:r>
                    <w:rPr>
                      <w:rStyle w:val="Voetnootmarkering"/>
                      <w:szCs w:val="22"/>
                    </w:rPr>
                    <w:footnoteReference w:id="17"/>
                  </w:r>
                  <w:r>
                    <w:rPr>
                      <w:szCs w:val="22"/>
                    </w:rPr>
                    <w:t xml:space="preserve"> De regels zijn aldus ook direct of indirect van toepassing op ondernemingen die geen financiële onderneming zijn (g</w:t>
                  </w:r>
                  <w:r w:rsidRPr="00463957">
                    <w:rPr>
                      <w:szCs w:val="22"/>
                    </w:rPr>
                    <w:t>een Wft-vergunning bezitten</w:t>
                  </w:r>
                  <w:r>
                    <w:rPr>
                      <w:szCs w:val="22"/>
                    </w:rPr>
                    <w:t xml:space="preserve">) en gevestigd zijn buiten Nederland. </w:t>
                  </w:r>
                </w:p>
                <w:p w:rsidR="004F6873" w:rsidP="004F6873" w:rsidRDefault="00B37B31">
                  <w:pPr>
                    <w:rPr>
                      <w:szCs w:val="22"/>
                    </w:rPr>
                  </w:pPr>
                </w:p>
                <w:p w:rsidR="00EA7BF9" w:rsidP="00EA7BF9" w:rsidRDefault="00D47A6C">
                  <w:pPr>
                    <w:rPr>
                      <w:szCs w:val="22"/>
                    </w:rPr>
                  </w:pPr>
                  <w:r>
                    <w:rPr>
                      <w:szCs w:val="22"/>
                    </w:rPr>
                    <w:t>Het wetsvoorstel kent een ruime reikwijdte. Het is van toepassing op een groep ongelijksoortige financiële en niet-financiële ondernemingen. Uit de toelichting blijkt dat daarvoor bewust is gekozen. De toelichting stelt dat d</w:t>
                  </w:r>
                  <w:r w:rsidRPr="00463957">
                    <w:rPr>
                      <w:szCs w:val="22"/>
                    </w:rPr>
                    <w:t>e crisis de hele financiële sector heeft</w:t>
                  </w:r>
                  <w:r>
                    <w:rPr>
                      <w:szCs w:val="22"/>
                    </w:rPr>
                    <w:t xml:space="preserve"> </w:t>
                  </w:r>
                  <w:r w:rsidRPr="00463957">
                    <w:rPr>
                      <w:szCs w:val="22"/>
                    </w:rPr>
                    <w:t xml:space="preserve">geraakt en </w:t>
                  </w:r>
                  <w:r>
                    <w:rPr>
                      <w:szCs w:val="22"/>
                    </w:rPr>
                    <w:t xml:space="preserve">dat </w:t>
                  </w:r>
                  <w:r w:rsidRPr="00463957">
                    <w:rPr>
                      <w:szCs w:val="22"/>
                    </w:rPr>
                    <w:t>steunmaatregelen -</w:t>
                  </w:r>
                  <w:r>
                    <w:rPr>
                      <w:szCs w:val="22"/>
                    </w:rPr>
                    <w:t xml:space="preserve"> </w:t>
                  </w:r>
                  <w:r w:rsidRPr="00463957">
                    <w:rPr>
                      <w:szCs w:val="22"/>
                    </w:rPr>
                    <w:t>direct of indirect</w:t>
                  </w:r>
                  <w:r>
                    <w:rPr>
                      <w:szCs w:val="22"/>
                    </w:rPr>
                    <w:t xml:space="preserve"> </w:t>
                  </w:r>
                  <w:r w:rsidRPr="00463957">
                    <w:rPr>
                      <w:szCs w:val="22"/>
                    </w:rPr>
                    <w:t>- ten goede zijn</w:t>
                  </w:r>
                  <w:r>
                    <w:rPr>
                      <w:szCs w:val="22"/>
                    </w:rPr>
                    <w:t xml:space="preserve"> </w:t>
                  </w:r>
                  <w:r w:rsidRPr="00463957">
                    <w:rPr>
                      <w:szCs w:val="22"/>
                    </w:rPr>
                    <w:t xml:space="preserve">gekomen aan de gehele financiële sector. </w:t>
                  </w:r>
                  <w:r>
                    <w:rPr>
                      <w:szCs w:val="22"/>
                    </w:rPr>
                    <w:t>‘</w:t>
                  </w:r>
                  <w:r w:rsidRPr="00463957">
                    <w:rPr>
                      <w:szCs w:val="22"/>
                    </w:rPr>
                    <w:t>Door de sterke verwevenheid binnen de financiële</w:t>
                  </w:r>
                  <w:r>
                    <w:rPr>
                      <w:szCs w:val="22"/>
                    </w:rPr>
                    <w:t xml:space="preserve"> </w:t>
                  </w:r>
                  <w:r w:rsidRPr="00463957">
                    <w:rPr>
                      <w:szCs w:val="22"/>
                    </w:rPr>
                    <w:t>sector in Nederland zouden alle delen van de financiële sector aanmerkelijke schade hebben geleden wanneer</w:t>
                  </w:r>
                  <w:r>
                    <w:rPr>
                      <w:szCs w:val="22"/>
                    </w:rPr>
                    <w:t xml:space="preserve"> geen steun zou zijn verstrekt.’</w:t>
                  </w:r>
                  <w:r>
                    <w:rPr>
                      <w:rStyle w:val="Voetnootmarkering"/>
                      <w:szCs w:val="22"/>
                    </w:rPr>
                    <w:footnoteReference w:id="18"/>
                  </w:r>
                  <w:r>
                    <w:rPr>
                      <w:szCs w:val="22"/>
                    </w:rPr>
                    <w:t xml:space="preserve"> Voorts wordt ten aanzien van de maximering van de variabele beloning opgemerkt dat het bonusplafond</w:t>
                  </w:r>
                  <w:r w:rsidRPr="00463957">
                    <w:rPr>
                      <w:szCs w:val="22"/>
                    </w:rPr>
                    <w:t xml:space="preserve"> in beginsel van toepassin</w:t>
                  </w:r>
                  <w:r>
                    <w:rPr>
                      <w:szCs w:val="22"/>
                    </w:rPr>
                    <w:t>g is op de gehele financiële sector. ‘H</w:t>
                  </w:r>
                  <w:r w:rsidRPr="00463957">
                    <w:rPr>
                      <w:szCs w:val="22"/>
                    </w:rPr>
                    <w:t>ier is voor gekozen omdat risico’s zich vanwege de sterke verwevenheid van activiteiten door de gehele financiële sector heen kunnen voltrekken</w:t>
                  </w:r>
                  <w:r>
                    <w:rPr>
                      <w:szCs w:val="22"/>
                    </w:rPr>
                    <w:t>’, aldus de toelichting.</w:t>
                  </w:r>
                  <w:r>
                    <w:rPr>
                      <w:rStyle w:val="Voetnootmarkering"/>
                      <w:szCs w:val="22"/>
                    </w:rPr>
                    <w:footnoteReference w:id="19"/>
                  </w:r>
                  <w:r>
                    <w:rPr>
                      <w:szCs w:val="22"/>
                    </w:rPr>
                    <w:t xml:space="preserve"> Deze motivering overtuigt de Afdeling vooralsnog niet. Zij merkt op dat de crisis niet alleen de financiële sector maar de gehele economie heeft geraakt.  </w:t>
                  </w:r>
                </w:p>
                <w:p w:rsidR="004F6873" w:rsidP="004F6873" w:rsidRDefault="00B37B31">
                  <w:pPr>
                    <w:rPr>
                      <w:szCs w:val="22"/>
                    </w:rPr>
                  </w:pPr>
                </w:p>
                <w:p w:rsidR="004F6873" w:rsidP="004F6873" w:rsidRDefault="00D47A6C">
                  <w:pPr>
                    <w:rPr>
                      <w:szCs w:val="22"/>
                      <w:u w:val="single"/>
                    </w:rPr>
                  </w:pPr>
                  <w:r>
                    <w:rPr>
                      <w:szCs w:val="22"/>
                    </w:rPr>
                    <w:t xml:space="preserve">De Afdeling is van oordeel dat de reikwijdte van voorgestelde regelgeving dient te zijn gerelateerd aan het oogmerk van die maatregelen. Dat wil zeggen dat de maatregelen dienen te worden gericht op die financiële ondernemingen waar het risico bestaat (of zich heeft gematerialiseerd) dat door het beloningsbeleid </w:t>
                  </w:r>
                  <w:r w:rsidRPr="00463957">
                    <w:rPr>
                      <w:szCs w:val="22"/>
                    </w:rPr>
                    <w:t>ongewenste en onverantwoorde risico</w:t>
                  </w:r>
                  <w:r>
                    <w:rPr>
                      <w:szCs w:val="22"/>
                    </w:rPr>
                    <w:t>’</w:t>
                  </w:r>
                  <w:r w:rsidRPr="00463957">
                    <w:rPr>
                      <w:szCs w:val="22"/>
                    </w:rPr>
                    <w:t xml:space="preserve">s </w:t>
                  </w:r>
                  <w:r>
                    <w:rPr>
                      <w:szCs w:val="22"/>
                    </w:rPr>
                    <w:t xml:space="preserve">worden genomen dan wel waar het risico bestaat dat het beloningsbeleid </w:t>
                  </w:r>
                  <w:r w:rsidRPr="00463957">
                    <w:rPr>
                      <w:szCs w:val="22"/>
                    </w:rPr>
                    <w:t>prikkels</w:t>
                  </w:r>
                  <w:r>
                    <w:rPr>
                      <w:szCs w:val="22"/>
                    </w:rPr>
                    <w:t xml:space="preserve"> genereert</w:t>
                  </w:r>
                  <w:r w:rsidRPr="00463957">
                    <w:rPr>
                      <w:szCs w:val="22"/>
                    </w:rPr>
                    <w:t xml:space="preserve"> die ertoe kunnen leiden dat het klantbelang wordt veronachtzaamd</w:t>
                  </w:r>
                  <w:r>
                    <w:rPr>
                      <w:szCs w:val="22"/>
                    </w:rPr>
                    <w:t xml:space="preserve">. Uit de toelichting blijkt echter de genoemde relatie tussen het oogmerk en de reikwijdte van het voorstel onvoldoende. Dit geldt temeer nu het voorstel via de voorgestelde artikelen 1:113 en 1:114 Wft ook van toepassing kan zijn op niet-financiële ondernemingen. Daarmee rijst naar het oordeel van de Afdeling de vraag of het voorstel op onderdelen niet verder gaat dan noodzakelijk is. </w:t>
                  </w:r>
                </w:p>
                <w:p w:rsidR="007A1177" w:rsidP="004F6873" w:rsidRDefault="00B37B31">
                  <w:pPr>
                    <w:rPr>
                      <w:szCs w:val="22"/>
                      <w:u w:val="single"/>
                    </w:rPr>
                  </w:pPr>
                </w:p>
                <w:p w:rsidRPr="004D0229" w:rsidR="004F6873" w:rsidP="004F6873" w:rsidRDefault="00D47A6C">
                  <w:pPr>
                    <w:rPr>
                      <w:szCs w:val="22"/>
                    </w:rPr>
                  </w:pPr>
                  <w:r w:rsidRPr="00C34E06">
                    <w:rPr>
                      <w:szCs w:val="22"/>
                    </w:rPr>
                    <w:t>De Afdeling adviseert de ruime reikwijdte van het voorstel te voorzien van een dragende motivering en bij gebreke daarvan de reikwijdte van het voorstel te beperken.</w:t>
                  </w:r>
                </w:p>
                <w:p w:rsidR="004F6873" w:rsidP="004F6873" w:rsidRDefault="00B37B31">
                  <w:pPr>
                    <w:rPr>
                      <w:szCs w:val="22"/>
                    </w:rPr>
                  </w:pPr>
                </w:p>
                <w:p w:rsidRPr="00463957" w:rsidR="004F6873" w:rsidP="004F6873" w:rsidRDefault="00D47A6C">
                  <w:pPr>
                    <w:rPr>
                      <w:i/>
                      <w:szCs w:val="22"/>
                    </w:rPr>
                  </w:pPr>
                  <w:r>
                    <w:rPr>
                      <w:i/>
                      <w:szCs w:val="22"/>
                    </w:rPr>
                    <w:t>b. personen werkzaam onder verantwoordelijkheid van een financiële onderneming</w:t>
                  </w:r>
                </w:p>
                <w:p w:rsidRPr="00463957" w:rsidR="004F6873" w:rsidP="004F6873" w:rsidRDefault="00D47A6C">
                  <w:r w:rsidRPr="00463957">
                    <w:t xml:space="preserve">De bepalingen in dit wetsvoorstel hebben gevolgen voor alle personen werkzaam bij één van de </w:t>
                  </w:r>
                  <w:r>
                    <w:t>onder de reikwijdte van het voorstel vallende</w:t>
                  </w:r>
                  <w:r w:rsidRPr="00463957">
                    <w:t xml:space="preserve"> ondernemingen. Een aantal regels</w:t>
                  </w:r>
                  <w:r>
                    <w:t>, waaronder de maximering van de variabele beloning,</w:t>
                  </w:r>
                  <w:r w:rsidRPr="00463957">
                    <w:t xml:space="preserve"> </w:t>
                  </w:r>
                  <w:r>
                    <w:t>is</w:t>
                  </w:r>
                  <w:r w:rsidRPr="00463957">
                    <w:t xml:space="preserve"> van toepassing op “natuurlijke personen werkzaam onder verantwoordelijkheid van de financiële </w:t>
                  </w:r>
                  <w:r w:rsidRPr="00463957">
                    <w:lastRenderedPageBreak/>
                    <w:t>onderneming”. Hier valt</w:t>
                  </w:r>
                  <w:r>
                    <w:t xml:space="preserve"> blijkens de toelichting</w:t>
                  </w:r>
                  <w:r w:rsidRPr="00463957">
                    <w:t xml:space="preserve"> een brede groep personen onder. Het betreft zowel personen in dienst van de onderneming via een regulier arbeidscontract al</w:t>
                  </w:r>
                  <w:r>
                    <w:t>s personen die werkzaamheden ve</w:t>
                  </w:r>
                  <w:r w:rsidRPr="00463957">
                    <w:t xml:space="preserve">rrichten op basis van andere overeenkomsten. Het gaat dan bijvoorbeeld om bestuurders die een opdrachtovereenkomst met de onderneming hebben gesloten of gedetacheerden en uitzendkrachten. Het doel van de brede groep is het tegengaan van ontwijkingsconstructies. Om deze reden vallen ook personen die worden ingehuurd onder de </w:t>
                  </w:r>
                  <w:r>
                    <w:t>reikwijdte van deze formulering, aldus de toelichting.</w:t>
                  </w:r>
                  <w:r>
                    <w:rPr>
                      <w:rStyle w:val="Voetnootmarkering"/>
                    </w:rPr>
                    <w:footnoteReference w:id="20"/>
                  </w:r>
                  <w:r w:rsidRPr="00463957">
                    <w:t xml:space="preserve"> </w:t>
                  </w:r>
                </w:p>
                <w:p w:rsidR="004F6873" w:rsidP="004F6873" w:rsidRDefault="00B37B31"/>
                <w:p w:rsidR="004F6873" w:rsidP="004F6873" w:rsidRDefault="00D47A6C">
                  <w:r>
                    <w:t>Er is niet gekozen voor een beperktere reikwijdte zoals die bijvoorbeeld volgt uit de Richtlijn kapitaalvereisten of is voorgesteld in het v</w:t>
                  </w:r>
                  <w:r w:rsidRPr="00C44549">
                    <w:t xml:space="preserve">oorstel van wet tot wijziging van de Wet op het financieel toezicht en enige andere wetten op het terrein van de financiële markten </w:t>
                  </w:r>
                  <w:r>
                    <w:t xml:space="preserve">(Wijzigingswet financiële markten 2015) waar het de verplichting tot het afleggen van een eed of belofte betreft, namelijk ‘personen wier werkzaamheden het risicoprofiel van de onderneming wezenlijk kunnen beïnvloeden of die zich rechtstreeks bezighouden met het verlenen van financiële diensten’. Ziet de Afdeling het goed dan is het doel van deze maatregelen vergelijkbaar; te weten het voorkomen van ‘ongewenst’ gedrag. </w:t>
                  </w:r>
                </w:p>
                <w:p w:rsidR="004F6873" w:rsidP="004F6873" w:rsidRDefault="00B37B31"/>
                <w:p w:rsidR="004F6873" w:rsidP="004F6873" w:rsidRDefault="00D47A6C">
                  <w:r>
                    <w:t>Het voorstel heeft daarmee ook een ruime personele werkingssfeer. In de toelichting wordt daarover opgemerkt dat het kabinet wat betreft personeel juist kiest voor een zo groot mogelijke reikwijdte. ‘Het beloningsbeleid binnen de financiële sector is een belangrijke en in het oog springende manier om de cultuur in de sector te veranderen. Mede daarom is het van belang dat de normen met betrekking tot beloningsbeleid gelden voor iedereen die werkzaam is in de financiële sector in Nederland’, aldus de toelichting.</w:t>
                  </w:r>
                  <w:r>
                    <w:rPr>
                      <w:rStyle w:val="Voetnootmarkering"/>
                    </w:rPr>
                    <w:footnoteReference w:id="21"/>
                  </w:r>
                </w:p>
                <w:p w:rsidR="004F6873" w:rsidP="004F6873" w:rsidRDefault="00B37B31"/>
                <w:p w:rsidR="004F6873" w:rsidP="004F6873" w:rsidRDefault="00D47A6C">
                  <w:pPr>
                    <w:rPr>
                      <w:b/>
                    </w:rPr>
                  </w:pPr>
                  <w:r>
                    <w:t xml:space="preserve">Ook ten aanzien hiervan merkt de Afdeling op dat het verband tussen het doel van de voorgestelde regels en de gekozen reikwijdte van het voorstel onduidelijk is. Met name ten aanzien van personen die niet werkzaam zijn in functies in het ‘primaire proces’ van de onderneming (bijvoorbeeld HR, ICT, catering) valt niet goed in te zien op welke wijze hun beloningsstructuur materieel van invloed is op het risicoprofiel van de onderneming of op de wijze waarop de onderneming het belang van haar klanten behartigt. Ook hier geldt aldus de vraag of het voorstel op onderdelen niet verder gaat dan noodzakelijk om het gewenste doel te bereiken. </w:t>
                  </w:r>
                </w:p>
                <w:p w:rsidR="004F6873" w:rsidP="004F6873" w:rsidRDefault="00B37B31"/>
                <w:p w:rsidRPr="004D0229" w:rsidR="004F6873" w:rsidP="004F6873" w:rsidRDefault="00D47A6C">
                  <w:pPr>
                    <w:rPr>
                      <w:szCs w:val="22"/>
                    </w:rPr>
                  </w:pPr>
                  <w:r w:rsidRPr="00C34E06">
                    <w:rPr>
                      <w:szCs w:val="22"/>
                    </w:rPr>
                    <w:t>De Afdeling adviseert de ruime reikwijdte van het voorstel te voorzien van een dragende motivering en bij gebreke daarvan de reikwijdte van het voorstel te beperken.</w:t>
                  </w:r>
                </w:p>
                <w:p w:rsidR="004F6873" w:rsidP="004F6873" w:rsidRDefault="00B37B31"/>
                <w:p w:rsidRPr="00463957" w:rsidR="004F6873" w:rsidP="004F6873" w:rsidRDefault="00D47A6C">
                  <w:pPr>
                    <w:rPr>
                      <w:i/>
                    </w:rPr>
                  </w:pPr>
                  <w:r>
                    <w:rPr>
                      <w:i/>
                    </w:rPr>
                    <w:t xml:space="preserve">c. </w:t>
                  </w:r>
                  <w:r>
                    <w:rPr>
                      <w:i/>
                    </w:rPr>
                    <w:tab/>
                    <w:t>Territoriale reikwijdte</w:t>
                  </w:r>
                </w:p>
                <w:p w:rsidR="004F6873" w:rsidP="00D37F9F" w:rsidRDefault="00D47A6C">
                  <w:r>
                    <w:t xml:space="preserve">Het ‘aangrijpingspunt’ van het voorstel is een financiële onderneming met zetel in Nederland. Via de ‘zorgplichten’ in de artikelen 1:113 en 1:114 Wft </w:t>
                  </w:r>
                  <w:r w:rsidRPr="00D37F9F">
                    <w:t>zijn</w:t>
                  </w:r>
                  <w:r>
                    <w:t xml:space="preserve"> de regels over het beloningsbeleid</w:t>
                  </w:r>
                  <w:r w:rsidRPr="00D37F9F">
                    <w:t xml:space="preserve"> ook </w:t>
                  </w:r>
                  <w:r>
                    <w:t>in</w:t>
                  </w:r>
                  <w:r w:rsidRPr="00D37F9F">
                    <w:t xml:space="preserve">direct van toepassing op ondernemingen </w:t>
                  </w:r>
                  <w:r>
                    <w:t>die</w:t>
                  </w:r>
                  <w:r w:rsidRPr="00D37F9F">
                    <w:t xml:space="preserve"> </w:t>
                  </w:r>
                  <w:r>
                    <w:t>hun zetel hebben</w:t>
                  </w:r>
                  <w:r w:rsidRPr="00D37F9F">
                    <w:t xml:space="preserve"> buiten Nederland</w:t>
                  </w:r>
                  <w:r>
                    <w:t>. Het voorgestelde artikel 1:122, zesde lid, Wft bepaalt in aanvulling hierop dat de maximering van de variabele beloning ook van toepassing is op in Nederland gelegen bijkantoren van financiële ondernemingen met zetel in een andere staat.</w:t>
                  </w:r>
                  <w:r>
                    <w:rPr>
                      <w:rStyle w:val="Voetnootmarkering"/>
                    </w:rPr>
                    <w:footnoteReference w:id="22"/>
                  </w:r>
                  <w:r>
                    <w:t xml:space="preserve">  </w:t>
                  </w:r>
                </w:p>
                <w:p w:rsidR="004F6873" w:rsidP="004F6873" w:rsidRDefault="00D47A6C">
                  <w:r>
                    <w:lastRenderedPageBreak/>
                    <w:t xml:space="preserve"> </w:t>
                  </w:r>
                </w:p>
                <w:p w:rsidR="004F6873" w:rsidP="004F6873" w:rsidRDefault="00D47A6C">
                  <w:r>
                    <w:rPr>
                      <w:i/>
                    </w:rPr>
                    <w:t xml:space="preserve">c.1 </w:t>
                  </w:r>
                  <w:r>
                    <w:t>In het voorstel wordt blijkens de toelichting</w:t>
                  </w:r>
                  <w:r>
                    <w:rPr>
                      <w:rStyle w:val="Voetnootmarkering"/>
                    </w:rPr>
                    <w:footnoteReference w:id="23"/>
                  </w:r>
                  <w:r>
                    <w:t xml:space="preserve"> het stelsel van artikel 92 van de richtlijn kapitaalvereisten tot uitgangspunt genomen. Daarin wordt bepaald dat d</w:t>
                  </w:r>
                  <w:r w:rsidRPr="00463957">
                    <w:t>e bevoegde autoriteiten erop toe</w:t>
                  </w:r>
                  <w:r>
                    <w:t>zien ‘</w:t>
                  </w:r>
                  <w:r w:rsidRPr="00463957">
                    <w:t xml:space="preserve">dat </w:t>
                  </w:r>
                  <w:r>
                    <w:t xml:space="preserve">de in de richtlijn opgenomen beloningsregels </w:t>
                  </w:r>
                  <w:r w:rsidRPr="00463957">
                    <w:t>voor instellingen op het niveau van de groep, de moederonderneming en haar dochterondernemingen worden toegepast, met inbegrip van vestigingen in offshore financiële centra.</w:t>
                  </w:r>
                  <w:r>
                    <w:t xml:space="preserve">’ Hieruit kan worden afgeleid dat ten aanzien van banken en beleggingsondernemingen tegen de territoriale reikwijdte van het voorstel geen bezwaren lijken te bestaan. Ook niet vanuit het uitgangspunt van </w:t>
                  </w:r>
                  <w:r>
                    <w:rPr>
                      <w:i/>
                    </w:rPr>
                    <w:t>home country control</w:t>
                  </w:r>
                  <w:r>
                    <w:t>, zoals blijkens de toelichting in de consultatie is gesuggereerd.</w:t>
                  </w:r>
                  <w:r>
                    <w:rPr>
                      <w:rStyle w:val="Voetnootmarkering"/>
                    </w:rPr>
                    <w:footnoteReference w:id="24"/>
                  </w:r>
                  <w:r>
                    <w:t xml:space="preserve">  </w:t>
                  </w:r>
                </w:p>
                <w:p w:rsidR="004F6873" w:rsidP="004F6873" w:rsidRDefault="00B37B31"/>
                <w:p w:rsidR="004F6873" w:rsidP="004F6873" w:rsidRDefault="00D47A6C">
                  <w:r>
                    <w:t>De Afdeling merkt evenwel op dat uit de toelichting niet blijkt in hoeverre andere richtlijnen, zoals bijvoorbeeld de Solvency II-richtlijn voor verzekeraars of MIFID, een vergelijkbaar regime kennen. Uit de toelichting blijkt dat onduidelijkheid bestaat over de groepstoepassing van artikel 92 van de Richtlijn kapitaalvereisten. Naar aanleiding van deze opmerking is, zo stelt de toelichting, aan de Europese Commissie de vraag gesteld of de groepstoepassing zich ook uitstrekt tot financiële ondernemingen binnen een bancaire groep die zelf onder een andere Europese richtlijn vallen.</w:t>
                  </w:r>
                  <w:r>
                    <w:rPr>
                      <w:rStyle w:val="Voetnootmarkering"/>
                    </w:rPr>
                    <w:footnoteReference w:id="25"/>
                  </w:r>
                  <w:r>
                    <w:t xml:space="preserve"> De Afdeling merkt op dat deze onduidelijkheid nog sterker geldt indien geen sprake is van een bancaire groep. Het in de toelichting genoemde voorbeeld van een verzekeraar in Duitsland met een holdingmaatschappij met zetel in Nederland, waarbij wordt opgemerkt dat wordt aangesloten bij het uitgangspunt van de Richtlijn kapitaalvereisten, valt dan ook niet goed te begrijpen.</w:t>
                  </w:r>
                  <w:r>
                    <w:rPr>
                      <w:rStyle w:val="Voetnootmarkering"/>
                    </w:rPr>
                    <w:footnoteReference w:id="26"/>
                  </w:r>
                  <w:r>
                    <w:t xml:space="preserve"> De Afdeling is van oordeel dat in de toelichting dient te worden ingegaan op de verhouding van de reikwijdte van het voorstel tot de bevoegdheidsverdeling tussen verschillende lidstaten voor de regulering van verschillende typen financiële ondernemingen zoals die volgt uit de diverse richtlijnen. </w:t>
                  </w:r>
                </w:p>
                <w:p w:rsidR="0011210D" w:rsidP="0011210D" w:rsidRDefault="00B37B31"/>
                <w:p w:rsidR="0011210D" w:rsidP="0011210D" w:rsidRDefault="00D47A6C">
                  <w:r>
                    <w:t xml:space="preserve">De Afdeling adviseert de toelichting in het licht van het voorgaande aan te vullen en zo nodig het voorstel aan te passen.  </w:t>
                  </w:r>
                </w:p>
                <w:p w:rsidR="004F6873" w:rsidP="004F6873" w:rsidRDefault="00B37B31"/>
                <w:p w:rsidR="004F6873" w:rsidP="004F6873" w:rsidRDefault="00D47A6C">
                  <w:r>
                    <w:rPr>
                      <w:i/>
                    </w:rPr>
                    <w:t xml:space="preserve">c.2 </w:t>
                  </w:r>
                  <w:r>
                    <w:t>In de toelichting  wordt opgemerkt dat het denkbaar is ‘dat de reikwijdte van het wetsvoorstel conflicteert met het lokale recht van andere staten, bijvoorbeeld waar het gaat om het recht dat arbeidsovereenkomsten beheerst. Dit kan tot gevolg hebben dat het voor een onderneming niet mogelijk is om volledig uitvoering te geven aan een norm uit dit wetsvoorstel’.</w:t>
                  </w:r>
                  <w:r>
                    <w:rPr>
                      <w:rStyle w:val="Voetnootmarkering"/>
                    </w:rPr>
                    <w:footnoteReference w:id="27"/>
                  </w:r>
                  <w:r>
                    <w:t xml:space="preserve"> Het is naar het oordeel van de Afdeling niet aanvaardbaar dat wetgeving wordt voorgesteld waarbij aan burgers of bedrijven verplichtingen worden opgelegd waarvan reeds bij voorbaat vast staat dat daaraan niet kan worden voldaan. De Afdeling adviseert het voorstel aan te passen.       </w:t>
                  </w:r>
                </w:p>
                <w:p w:rsidR="004F6873" w:rsidP="004F6873" w:rsidRDefault="00B37B31"/>
                <w:p w:rsidRPr="00EA7BF9" w:rsidR="00E77E7A" w:rsidP="004F6873" w:rsidRDefault="00D47A6C">
                  <w:pPr>
                    <w:rPr>
                      <w:u w:val="single"/>
                    </w:rPr>
                  </w:pPr>
                  <w:r>
                    <w:t>3.</w:t>
                  </w:r>
                  <w:r>
                    <w:tab/>
                  </w:r>
                  <w:r>
                    <w:rPr>
                      <w:u w:val="single"/>
                    </w:rPr>
                    <w:t xml:space="preserve">Beperking vaste beloning; conversie </w:t>
                  </w:r>
                </w:p>
                <w:p w:rsidR="00E77E7A" w:rsidP="004F6873" w:rsidRDefault="00B37B31"/>
                <w:p w:rsidR="00C31F82" w:rsidP="00C31F82" w:rsidRDefault="00D47A6C">
                  <w:r>
                    <w:t xml:space="preserve">Het voorgestelde artikel 1:124, tweede lid, Wft bepaalt dat bij of krachtens algemene maatregel van bestuur ten aanzien van variabele beloningen, voortvloeiend uit vóór 1 januari 2015 aangegane verplichtingen, regels kunnen worden gesteld met betrekking </w:t>
                  </w:r>
                  <w:r>
                    <w:lastRenderedPageBreak/>
                    <w:t xml:space="preserve">tot de conversie van die beloningen naar vaste beloningen en de daarbij toe te passen conversiefactor. De regering behoudt zich hier blijkens de toelichting de mogelijkheid voor om de compensatie die een onderneming met de werknemer overeenkomt, bijvoorbeeld door de vaste beloning te verhogen, te begrenzen. </w:t>
                  </w:r>
                </w:p>
                <w:p w:rsidR="00C31F82" w:rsidP="00C31F82" w:rsidRDefault="00B37B31"/>
                <w:p w:rsidR="00C31F82" w:rsidP="00C31F82" w:rsidRDefault="00D47A6C">
                  <w:r>
                    <w:t xml:space="preserve">De toelichting merkt daarover op dat ‘Hoewel compensatie juridisch verdedigbaar is wil het kabinet benadrukken dat compensatie uiterst sober zou moeten zijn gelet op de uitdagingen waar de sector voor staat, de reeds hoge vaste beloningen binnen de financiële sector in vergelijking tot andere sectoren en de maatschappelijke onrust die bestaat over het beloningsbeleid in de financiële sector. Geen verhoging van de vaste  beloning, of een zeer beperkte, levert een bijdrage aan het herstellen van de vertrouwensbreuk tussen de financiële sector en haar klanten. […] De open benadering biedt de onderneming de mogelijkheid van individueel maatwerk. Wel kent het tweede lid de mogelijkheid om regels te stellen wanneer blijkt dat met de conversie bijzonder ruim wordt omgegaan’, aldus de toelichting. </w:t>
                  </w:r>
                  <w:r w:rsidRPr="00EA7BF9">
                    <w:rPr>
                      <w:rStyle w:val="Voetnootmarkering"/>
                    </w:rPr>
                    <w:footnoteReference w:id="28"/>
                  </w:r>
                  <w:r>
                    <w:t xml:space="preserve"> </w:t>
                  </w:r>
                </w:p>
                <w:p w:rsidR="00C31F82" w:rsidP="00C31F82" w:rsidRDefault="00B37B31"/>
                <w:p w:rsidR="00C31F82" w:rsidP="00C31F82" w:rsidRDefault="00D47A6C">
                  <w:r>
                    <w:t xml:space="preserve">De Afdeling merkt op dat hiermee onduidelijkheid wordt geschapen ten aanzien van de mogelijkheid om naar aanleiding van de in het voorstel opgenomen beperking van de variabele beloning bestaande contracten aan te passen. Voorts wordt ten minste de suggestie gewekt dat compensatie van de variabele beloning in deze bestaande contracten door een vaste beloning, anders dan een ‘zeer beperkte’ verhoging van het vaste salaris, zal worden verboden. Nu van de vaste beloning in beginsel niet dezelfde perverse </w:t>
                  </w:r>
                  <w:r w:rsidRPr="00C31F82">
                    <w:t xml:space="preserve">prikkels </w:t>
                  </w:r>
                  <w:r>
                    <w:t xml:space="preserve">uitgaan die van een variabele beloning kunnen uitgaan, dient een van overheidswege opgelegde beperking van de vaste beloning overtuigend te worden gemotiveerd. De Afdeling meent dat het feit dat een beperkte compensatie een bijdrage kan leveren aan het vergroten van het vertrouwen in de financiële sector op zichzelf een onvoldoende motivering is voor een zo verregaande ingreep in private verhoudingen. Dit is te meer van belang nu de mogelijkheid van compensatie van belang is in het licht van  </w:t>
                  </w:r>
                  <w:r w:rsidRPr="00EA7BF9">
                    <w:t>verenigbaarheid van dit voorstel met het in artikel 1 van het Eerste Protocol bij het Europese Verdrag voor de Rechten van de Mens en de Fundamentele Vrijheden (EP), alsook artikel 17 van het Handvest van de grondrechten van de Europese Unie, geregelde recht op ongestoord genot van eigendom.</w:t>
                  </w:r>
                  <w:r>
                    <w:t xml:space="preserve"> Daarop zal hieronder onder 5. nader worden ingegaan. </w:t>
                  </w:r>
                  <w:r w:rsidRPr="00EA7BF9">
                    <w:t xml:space="preserve"> </w:t>
                  </w:r>
                </w:p>
                <w:p w:rsidR="00C31F82" w:rsidP="00C31F82" w:rsidRDefault="00B37B31"/>
                <w:p w:rsidR="00C31F82" w:rsidP="00C31F82" w:rsidRDefault="00D47A6C">
                  <w:r>
                    <w:t>De Afdeling is voorts van oordeel dat over een dergelijke ingreep niet op het niveau van een ministeriële regeling regels kunnen worden gesteld.  Zij</w:t>
                  </w:r>
                  <w:r w:rsidRPr="00C31F82">
                    <w:t xml:space="preserve"> wijst er op dat delegatie aan een minister beperkt dient te blijven tot voorschriften van administratieve aard, uitwerking van de details van een regeling, voorschriften die dikwijls wijziging behoeven en voorschriften waarvan te voorzien is dat zij mogelijk met grote spoed moeten worden vastgesteld. </w:t>
                  </w:r>
                  <w:r>
                    <w:t xml:space="preserve">Daarvan is in dit geval geen sprake. De Afdeling adviseert in dit verband af te zien van delegatie aan de minister. </w:t>
                  </w:r>
                </w:p>
                <w:p w:rsidR="00C31F82" w:rsidP="00C31F82" w:rsidRDefault="00B37B31"/>
                <w:p w:rsidR="00C31F82" w:rsidP="00C31F82" w:rsidRDefault="00D47A6C">
                  <w:r>
                    <w:t xml:space="preserve">De Afdeling adviseert het voorgestelde artikel 1:124 Wft in het licht van het bovenstaande aan te passen. </w:t>
                  </w:r>
                </w:p>
                <w:p w:rsidR="00E77E7A" w:rsidP="004F6873" w:rsidRDefault="00B37B31"/>
                <w:p w:rsidR="004F6873" w:rsidP="004F6873" w:rsidRDefault="00D47A6C">
                  <w:r>
                    <w:t>4.</w:t>
                  </w:r>
                  <w:r>
                    <w:tab/>
                  </w:r>
                  <w:r w:rsidRPr="00B428AB">
                    <w:rPr>
                      <w:u w:val="single"/>
                    </w:rPr>
                    <w:t>Verenigbaarheid met het recht van de Europese Unie</w:t>
                  </w:r>
                </w:p>
                <w:p w:rsidR="004F6873" w:rsidP="004F6873" w:rsidRDefault="00B37B31"/>
                <w:p w:rsidRPr="00EA7BF9" w:rsidR="007A1177" w:rsidP="004F6873" w:rsidRDefault="00D47A6C">
                  <w:pPr>
                    <w:rPr>
                      <w:i/>
                    </w:rPr>
                  </w:pPr>
                  <w:r>
                    <w:rPr>
                      <w:i/>
                    </w:rPr>
                    <w:t xml:space="preserve">a. </w:t>
                  </w:r>
                  <w:r>
                    <w:rPr>
                      <w:i/>
                    </w:rPr>
                    <w:tab/>
                    <w:t>Harmonisatie</w:t>
                  </w:r>
                </w:p>
                <w:p w:rsidR="0081400B" w:rsidP="004F6873" w:rsidRDefault="00D47A6C">
                  <w:r>
                    <w:lastRenderedPageBreak/>
                    <w:t>In de memorie van toelichting</w:t>
                  </w:r>
                  <w:r>
                    <w:rPr>
                      <w:rStyle w:val="Voetnootmarkering"/>
                    </w:rPr>
                    <w:footnoteReference w:id="29"/>
                  </w:r>
                  <w:r>
                    <w:t xml:space="preserve"> wordt aandacht besteed aan de verenigbaarheid van het voorstel met het vrij verkeer van diensten en dat van vestiging.</w:t>
                  </w:r>
                  <w:r>
                    <w:rPr>
                      <w:rStyle w:val="Voetnootmarkering"/>
                    </w:rPr>
                    <w:footnoteReference w:id="30"/>
                  </w:r>
                  <w:r>
                    <w:t xml:space="preserve"> </w:t>
                  </w:r>
                </w:p>
                <w:p w:rsidR="0081400B" w:rsidP="004F6873" w:rsidRDefault="00D47A6C">
                  <w:r>
                    <w:t>De Afdeling merkt vooraleerst op dat d</w:t>
                  </w:r>
                  <w:r w:rsidRPr="0081400B">
                    <w:t>e rechtspraak van het Hof</w:t>
                  </w:r>
                  <w:r>
                    <w:t xml:space="preserve"> van Justitie</w:t>
                  </w:r>
                  <w:r w:rsidRPr="0081400B">
                    <w:t xml:space="preserve"> laat zien dat, in een geval van volledige harmonisatie (uitputtende regeling) de toetsing van de verdergaande nationale maatregel niet gebeurt op grond van de vrij verkeersbepalingen in het verdrag, maar op grond van de bepalingen van de richtlijn.</w:t>
                  </w:r>
                  <w:r>
                    <w:rPr>
                      <w:rStyle w:val="Voetnootmarkering"/>
                    </w:rPr>
                    <w:footnoteReference w:id="31"/>
                  </w:r>
                  <w:r w:rsidRPr="0081400B">
                    <w:t xml:space="preserve"> (voetnoot zaak C-470/03) Indien de beoogde maatregelen in het voorstel onder de werking van een van de richtlijnen of verordeningen vallen, kan niet meer getoetst worden aan het primaire Unie-recht. </w:t>
                  </w:r>
                </w:p>
                <w:p w:rsidR="0081400B" w:rsidP="004F6873" w:rsidRDefault="00B37B31"/>
                <w:p w:rsidR="007A1177" w:rsidP="004F6873" w:rsidRDefault="00D47A6C">
                  <w:r>
                    <w:t xml:space="preserve">Een niet onaanzienlijk deel van de Nederlandse regelgeving op het terrein van de financiële markten vindt zijn oorsprong in Europese richtlijnen en verordeningen. Daarbij is sprake van een steeds </w:t>
                  </w:r>
                  <w:r w:rsidRPr="00C31F82">
                    <w:t xml:space="preserve">verdergaande harmonisatie van </w:t>
                  </w:r>
                  <w:r>
                    <w:t xml:space="preserve">in ieder geval </w:t>
                  </w:r>
                  <w:r w:rsidRPr="00C31F82">
                    <w:t>de prudentiële regelgeving binnen de Europese Unie</w:t>
                  </w:r>
                  <w:r>
                    <w:t>.</w:t>
                  </w:r>
                  <w:r>
                    <w:rPr>
                      <w:rStyle w:val="Voetnootmarkering"/>
                    </w:rPr>
                    <w:footnoteReference w:id="32"/>
                  </w:r>
                </w:p>
                <w:p w:rsidR="00C31F82" w:rsidP="00C31F82" w:rsidRDefault="00D47A6C">
                  <w:r>
                    <w:t xml:space="preserve">Ten minste een aantal van deze richtlijnen vormt een volledige of maximum harmonisatie ten aanzien van de onderwerpen die in die richtlijn geregeld zijn. Dit roept de vraag op naar de mogelijkheden voor de nationale regelgever om aanvullende regels te stellen, bijvoorbeeld ten aanzien van het beloningsbeleid. </w:t>
                  </w:r>
                </w:p>
                <w:p w:rsidR="00C31F82" w:rsidP="00C31F82" w:rsidRDefault="00B37B31"/>
                <w:p w:rsidR="00C31F82" w:rsidP="00C31F82" w:rsidRDefault="00D47A6C">
                  <w:r>
                    <w:t>In de toelichting wordt hierover, naar aanleiding van de reacties op de internetconsulatie, het volgende opgemerkt. ‘De toepasselijke Europese richtlijnen bieden ruimte voor deze in- en aanvullingen van de in die richtlijnen opgenomen regels met betrekking tot beloningen. Ook wanneer richtlijnen grotendeels maximum harmonisatie zijn, is er vaak ruimte voor aanvulling en invulling. Wanneer een richtlijn bijvoorbeeld alleen regels stelt voor een specifiek deel van het personeel, hebben lidstaten de mogelijkheid om regels te stellen voor al het personeel.’</w:t>
                  </w:r>
                  <w:r>
                    <w:rPr>
                      <w:rStyle w:val="Voetnootmarkering"/>
                    </w:rPr>
                    <w:footnoteReference w:id="33"/>
                  </w:r>
                </w:p>
                <w:p w:rsidR="00C31F82" w:rsidP="004F6873" w:rsidRDefault="00B37B31"/>
                <w:p w:rsidR="00BE009F" w:rsidP="004F6873" w:rsidRDefault="00D47A6C">
                  <w:r>
                    <w:t xml:space="preserve">De Afdeling merkt op dat het voorgaande slechts opgaat indien vast staat dat door de Uniewetgever niet is beoogd een uitputtende regeling te treffen. </w:t>
                  </w:r>
                </w:p>
                <w:p w:rsidR="0081400B" w:rsidP="004F6873" w:rsidRDefault="00B37B31"/>
                <w:p w:rsidR="00BE009F" w:rsidP="004F6873" w:rsidRDefault="00D47A6C">
                  <w:r>
                    <w:t xml:space="preserve">Zo is reeds opgemerkt dat in de richtlijn kapitaalvereisten een </w:t>
                  </w:r>
                  <w:r w:rsidRPr="00BE009F">
                    <w:t>regel</w:t>
                  </w:r>
                  <w:r>
                    <w:t>ing is</w:t>
                  </w:r>
                  <w:r w:rsidRPr="00BE009F">
                    <w:t xml:space="preserve"> opgenomen over het beloningsbeleid van een specifieke categorie medewerkers  van banken en beleggingsondernemingen. </w:t>
                  </w:r>
                  <w:r>
                    <w:t xml:space="preserve">De richtlijn kapitaalvereisten behelst in beginsel een volledige harmonisatie behoudens de onderwerpen waarbij uitdrukkelijk is bepaald dat de lidstaten nadere regels mogen stellen. Zo mag Nederland een lager maximum stellen ten aanzien van de verhouding tussen de vaste en de variabele beloning voor deze categorie. De vraag rijst of de Uniewetgever heeft beoogd om ten aanzien van het gehele beloningsbeleid van banken en beleggingsonderneming een uitputtende regeling te treffen. Het feit dat andere medewerkers dan de groep die in de richtlijn expliciet wordt aangewezen, niet zijn genoemd kan betekenen dat de Uniewetgever niet wil dat voor die groep regels over het beloningsbeleid worden gesteld. In die lezing kan ook de lidstaat voor die groep geen regels stellen en is het voorstel in strijd met (het uitputtende karakter van) de richtlijn. De toelichting lijkt er daarentegen vanuit te gaan dat deze richtlijn slechts regels stelt over het beloningsbeleid van de  </w:t>
                  </w:r>
                  <w:r w:rsidRPr="00BE009F">
                    <w:t xml:space="preserve">groep die in </w:t>
                  </w:r>
                  <w:r w:rsidRPr="00BE009F">
                    <w:lastRenderedPageBreak/>
                    <w:t>de richtlijn expliciet wordt aangewezen</w:t>
                  </w:r>
                  <w:r>
                    <w:t xml:space="preserve">, de overige medewerkers zouden dan buiten het toepassingsbereik van de richtlijn vallen. Dit laat ruimte voor de lidstaten om eigen regels te stellen. De toelichting bevat daarvoor echter geen argumenten. In dezelfde zin verwijst de Afdeling naar de Solvency II-richtlijn en ook MIFID die op onderdelen eveneens volledige harmonisatie behelzen.   </w:t>
                  </w:r>
                </w:p>
                <w:p w:rsidR="00BE009F" w:rsidP="004F6873" w:rsidRDefault="00B37B31"/>
                <w:p w:rsidR="0081400B" w:rsidP="0081400B" w:rsidRDefault="00D47A6C">
                  <w:r w:rsidRPr="00265C49">
                    <w:t xml:space="preserve">De Afdeling adviseert </w:t>
                  </w:r>
                  <w:r>
                    <w:t xml:space="preserve">op dit punt in overleg te treden met de Europese Commissie en het voorstel zo nodig aan te passen. </w:t>
                  </w:r>
                </w:p>
                <w:p w:rsidR="00C31F82" w:rsidP="004F6873" w:rsidRDefault="00B37B31"/>
                <w:p w:rsidRPr="00EA7BF9" w:rsidR="007A1177" w:rsidP="004F6873" w:rsidRDefault="00D47A6C">
                  <w:pPr>
                    <w:rPr>
                      <w:i/>
                    </w:rPr>
                  </w:pPr>
                  <w:r>
                    <w:rPr>
                      <w:i/>
                    </w:rPr>
                    <w:t xml:space="preserve">b. </w:t>
                  </w:r>
                  <w:r>
                    <w:rPr>
                      <w:i/>
                    </w:rPr>
                    <w:tab/>
                    <w:t>Primair Unie-recht</w:t>
                  </w:r>
                </w:p>
                <w:p w:rsidR="004F6873" w:rsidP="004F6873" w:rsidRDefault="00D47A6C">
                  <w:r>
                    <w:t>In de memorie van toelichting</w:t>
                  </w:r>
                  <w:r>
                    <w:rPr>
                      <w:rStyle w:val="Voetnootmarkering"/>
                    </w:rPr>
                    <w:footnoteReference w:id="34"/>
                  </w:r>
                  <w:r>
                    <w:t xml:space="preserve"> wordt terecht geconcludeerd dat ten aanzien van het bonusplafond sprake is van een belemmering van het vrij verkeer van diensten. De Afdeling merkt daarbij op dat deze conclusie niet alleen geldt voor de maximering van de variabele beloning maar evenzeer voor de overige maatregelen uit de afdelingen 1.7.4-1.7.7 Wft. Ook ten aanzien van deze maatregelen is sprake van een belemmering van het vrij verkeer. </w:t>
                  </w:r>
                </w:p>
                <w:p w:rsidR="004F6873" w:rsidP="004F6873" w:rsidRDefault="00D47A6C">
                  <w:r>
                    <w:t xml:space="preserve"> </w:t>
                  </w:r>
                </w:p>
                <w:p w:rsidR="004F6873" w:rsidP="004F6873" w:rsidRDefault="00D47A6C">
                  <w:r>
                    <w:t>Teneinde dergelijke maatregelen te rechtvaardigen, moet een beroep worden gedaan op de in de jurisprudentie van het Hof van Justitie van de Europese Unie onderkende 'dwingende redenen van algemeen belang'. Wil een dergelijk beroep slagen, dan dient aan twee cumulatieve voorwaarden te worden voldaan: een dergelijke regeling kan enkel worden toegepast zonder onderscheid naar herkomst en de maatregel dient proportioneel te zijn, hetgeen inhoudt dat deze geschikt moet zijn om het doel te bereiken en niet verder gaan dan strikt noodzakelijk is.</w:t>
                  </w:r>
                </w:p>
                <w:p w:rsidR="004F6873" w:rsidP="004F6873" w:rsidRDefault="00D47A6C">
                  <w:r>
                    <w:t xml:space="preserve"> </w:t>
                  </w:r>
                </w:p>
                <w:p w:rsidR="004F6873" w:rsidP="004F6873" w:rsidRDefault="00D47A6C">
                  <w:r>
                    <w:t xml:space="preserve">In de toelichting wordt het beoordelingskader uitvoerig uiteengezet. De toetsing aan dat kader is daarentegen summier. Er wordt opgemerkt dat het kabinet de invoering van een bonusplafond binnen Nederland gewenst acht ‘ter bescherming van een publiek belang, namelijk bescherming van de consument. Het bonusplafond heeft het gewenste effect: variabele beloningen worden in hoogte gemaximeerd, waarmee ongewenste prikkels die uitgaan van de variabele beloning worden verminderd. Een betere maatregel die hetzelfde doel bereikt is niet denkbaar. De maatregel gaat ook niet verder dan het te bereiken doel. Uit het voorgaande volgt dat voldaan is aan de Europese eisen die aan mogelijk belemmerende maatregelen worden gesteld,’ aldus de toelichting. </w:t>
                  </w:r>
                </w:p>
                <w:p w:rsidR="004F6873" w:rsidP="004F6873" w:rsidRDefault="00B37B31"/>
                <w:p w:rsidR="007A1177" w:rsidP="004F6873" w:rsidRDefault="00D47A6C">
                  <w:r>
                    <w:t xml:space="preserve">De Afdeling merkt vooraleerst op dat slechts ten aanzien van het bonusplafond in de toelichting wordt ingegaan op de verenigbaarheid met het vrij verkeer van diensten en dat van vestiging. Ten aanzien van de overige maatregelen </w:t>
                  </w:r>
                  <w:r w:rsidRPr="00EA7BF9">
                    <w:t>uit de afdelingen 1.7.4-1.7.7 Wft</w:t>
                  </w:r>
                  <w:r>
                    <w:t xml:space="preserve"> ontbreekt een dergelijke motivering. De Afdeling merkt vervolgens op dat, zoals zij onder 1. reeds heeft vastgesteld, de noodzaak om thans de maatregelen opgenomen in de </w:t>
                  </w:r>
                  <w:r>
                    <w:rPr>
                      <w:szCs w:val="22"/>
                    </w:rPr>
                    <w:t>afdelingen</w:t>
                  </w:r>
                  <w:r w:rsidRPr="007A1177">
                    <w:rPr>
                      <w:szCs w:val="22"/>
                    </w:rPr>
                    <w:t xml:space="preserve"> 1.7.4 tot en met 1.7.7</w:t>
                  </w:r>
                  <w:r>
                    <w:t xml:space="preserve"> te nemen ontoereikend is gemotiveerd. Voorts is twijfelachtig of het voorstel niet verder gaat dan noodzakelijk is in het licht van het doel, gelet op de zeer ruime reikwijdte van het voorstel, in het bijzonder waar het gaat om de kring van werknemers die door het voorstel worden geraakt en de toepasselijkheid op een zeer diverse categorie financiële en zelfs niet-financiële ondernemingen (zie punt 2).</w:t>
                  </w:r>
                </w:p>
                <w:p w:rsidR="00EA7BF9" w:rsidP="004F6873" w:rsidRDefault="00B37B31"/>
                <w:p w:rsidR="004F6873" w:rsidP="004F6873" w:rsidRDefault="00D47A6C">
                  <w:r w:rsidRPr="00983CE5">
                    <w:lastRenderedPageBreak/>
                    <w:t xml:space="preserve">De Afdeling voegt daaraan nog het volgende toe. </w:t>
                  </w:r>
                  <w:r>
                    <w:t>De Afdeling heeft hierboven reeds gewezen op de regeling in de Richtlijn kapitaalvereisten waarin wordt bepaald dat de variabele beloning van een categorie medewerkers van banken en beleggingsondernemingen in beginsel niet meer mag bedragen dan 100% van de vaste beloning. De richtlijn bepaalt daarbij uitdrukkelijk dat de lidstaten een lager maximum mogen vaststellen.</w:t>
                  </w:r>
                  <w:r w:rsidRPr="00983CE5">
                    <w:t xml:space="preserve"> De Afdeling</w:t>
                  </w:r>
                  <w:r>
                    <w:t xml:space="preserve"> wijst er op dat ook in het geval de richtlijn lidstaten de mogelijkheid biedt verdergaande maatregelen te nemen deze maatregelen nog steeds dienen te worden getoetst aan het primaire recht van de EU. Daarbij dient naar het oordeel van de Afdeling de vraag te worden beantwoord waarom de regeling uit de richtlijn onvoldoende is en de verdergaande maatregel geschikt is en niet verder gaat dan strikt noodzakelijk. Een dergelijke motivering van de voorgestelde maximering van de variabele beloning op 20% van de vaste beloning ontbreekt. </w:t>
                  </w:r>
                </w:p>
                <w:p w:rsidR="004F6873" w:rsidP="004F6873" w:rsidRDefault="00B37B31"/>
                <w:p w:rsidR="004F6873" w:rsidP="004F6873" w:rsidRDefault="00D47A6C">
                  <w:r>
                    <w:t xml:space="preserve">De Afdeling is in het licht van al het voorgaande van oordeel dat het voorstel op gespannen voet staat met het vrij verkeer van diensten en dat van vestiging. Zij adviseert het voorstel in het licht van het bovenstaande nader te bezien. </w:t>
                  </w:r>
                </w:p>
                <w:p w:rsidR="004F6873" w:rsidP="004F6873" w:rsidRDefault="00B37B31"/>
                <w:p w:rsidRPr="00C34E06" w:rsidR="004F6873" w:rsidP="004F6873" w:rsidRDefault="00D47A6C">
                  <w:pPr>
                    <w:rPr>
                      <w:b/>
                      <w:u w:val="single"/>
                    </w:rPr>
                  </w:pPr>
                  <w:r>
                    <w:t>5.</w:t>
                  </w:r>
                  <w:r>
                    <w:tab/>
                  </w:r>
                  <w:r>
                    <w:rPr>
                      <w:u w:val="single"/>
                    </w:rPr>
                    <w:t xml:space="preserve">Artikel 1 van het Eerste Protocol </w:t>
                  </w:r>
                </w:p>
                <w:p w:rsidR="004F6873" w:rsidP="004F6873" w:rsidRDefault="00B37B31">
                  <w:pPr>
                    <w:rPr>
                      <w:u w:val="single"/>
                    </w:rPr>
                  </w:pPr>
                </w:p>
                <w:p w:rsidR="00C31F82" w:rsidP="004F6873" w:rsidRDefault="00D47A6C">
                  <w:r>
                    <w:t>In de memorie van toelichting</w:t>
                  </w:r>
                  <w:r>
                    <w:rPr>
                      <w:rStyle w:val="Voetnootmarkering"/>
                    </w:rPr>
                    <w:footnoteReference w:id="35"/>
                  </w:r>
                  <w:r>
                    <w:t xml:space="preserve"> wordt ten aanzien van het bonusplafond ingegaan op de verenigbaarheid van dit voorstel met het in</w:t>
                  </w:r>
                  <w:r w:rsidRPr="00167419">
                    <w:t xml:space="preserve"> artikel 1 van het Eerste Protocol bij het E</w:t>
                  </w:r>
                  <w:r>
                    <w:t xml:space="preserve">uropese </w:t>
                  </w:r>
                  <w:r w:rsidRPr="00167419">
                    <w:t>V</w:t>
                  </w:r>
                  <w:r>
                    <w:t xml:space="preserve">erdrag voor de </w:t>
                  </w:r>
                  <w:r w:rsidRPr="00167419">
                    <w:t>R</w:t>
                  </w:r>
                  <w:r>
                    <w:t xml:space="preserve">echten van de </w:t>
                  </w:r>
                  <w:r w:rsidRPr="00167419">
                    <w:t>M</w:t>
                  </w:r>
                  <w:r>
                    <w:t>ens en de Fundamentele Vrijheden</w:t>
                  </w:r>
                  <w:r w:rsidRPr="00167419">
                    <w:t xml:space="preserve"> (EP), alsook artikel 17 van het Handvest van de grondrechten van de Europese Unie, </w:t>
                  </w:r>
                  <w:r>
                    <w:t>geregelde</w:t>
                  </w:r>
                  <w:r w:rsidRPr="00167419">
                    <w:t xml:space="preserve"> recht op ongestoord genot van</w:t>
                  </w:r>
                  <w:r>
                    <w:t xml:space="preserve"> eigendom</w:t>
                  </w:r>
                  <w:r w:rsidRPr="00167419">
                    <w:t>.</w:t>
                  </w:r>
                  <w:r>
                    <w:t xml:space="preserve"> </w:t>
                  </w:r>
                </w:p>
                <w:p w:rsidR="00C31F82" w:rsidP="004F6873" w:rsidRDefault="00B37B31"/>
                <w:p w:rsidRPr="00ED7238" w:rsidR="004F6873" w:rsidP="004F6873" w:rsidRDefault="00D47A6C">
                  <w:pPr>
                    <w:rPr>
                      <w:b/>
                    </w:rPr>
                  </w:pPr>
                  <w:r>
                    <w:t>De toelichting onderkent dat g</w:t>
                  </w:r>
                  <w:r w:rsidRPr="00167419">
                    <w:t>emaakte salarisafspr</w:t>
                  </w:r>
                  <w:r>
                    <w:t>aken over variabele beloningen, indien sprake is van gewettigde verwachtingen, aan</w:t>
                  </w:r>
                  <w:r w:rsidRPr="00167419">
                    <w:t xml:space="preserve"> te merken zijn</w:t>
                  </w:r>
                  <w:r>
                    <w:t xml:space="preserve"> </w:t>
                  </w:r>
                  <w:r w:rsidRPr="00167419">
                    <w:t>als toekomstige vorderingen op de werkgever, die naar verwachting door de nationale rechter en het EHRM zullen worden aangemerkt als eigendom in de zin van artikel 1 EP en artikel 17 van het Handvest. Wil een inmenging in eigendomsrechten rechtmatig zijn, dan moet voldaan worden aan bepaalde voorwaarden. Zo moet de inmenging een wettelijke basis hebben, een legitiem doel dienen dat past in het kader van het algemeen belang en proportioneel zijn.</w:t>
                  </w:r>
                  <w:r>
                    <w:t xml:space="preserve"> </w:t>
                  </w:r>
                </w:p>
                <w:p w:rsidR="004F6873" w:rsidP="004F6873" w:rsidRDefault="00B37B31"/>
                <w:p w:rsidR="004F6873" w:rsidP="004F6873" w:rsidRDefault="00D47A6C">
                  <w:r>
                    <w:t>De Afdeling merkt in de eerste plaats op</w:t>
                  </w:r>
                  <w:r w:rsidRPr="00167419">
                    <w:t xml:space="preserve"> dat deze conclusie niet alleen geldt voor de maximering van de variabele beloning maar evenzeer voor</w:t>
                  </w:r>
                  <w:r>
                    <w:t xml:space="preserve"> bepalingen in bestaande overeenkomsten die vallen onder het </w:t>
                  </w:r>
                  <w:r w:rsidRPr="00167419">
                    <w:t xml:space="preserve">verbod op </w:t>
                  </w:r>
                  <w:r>
                    <w:t xml:space="preserve">een </w:t>
                  </w:r>
                  <w:r w:rsidRPr="00167419">
                    <w:t>gegarandeerde variabele beloning, de maxim</w:t>
                  </w:r>
                  <w:r>
                    <w:t>ering van de</w:t>
                  </w:r>
                  <w:r w:rsidRPr="00167419">
                    <w:t xml:space="preserve"> vertrekvergoeding en de regels ter zake van de </w:t>
                  </w:r>
                  <w:r>
                    <w:t xml:space="preserve">(verplichte) </w:t>
                  </w:r>
                  <w:r w:rsidRPr="00167419">
                    <w:t>terugvordering en aanpassing van variabele beloningen.</w:t>
                  </w:r>
                  <w:r>
                    <w:rPr>
                      <w:rStyle w:val="Voetnootmarkering"/>
                    </w:rPr>
                    <w:footnoteReference w:id="36"/>
                  </w:r>
                  <w:r w:rsidRPr="00167419">
                    <w:t xml:space="preserve"> </w:t>
                  </w:r>
                  <w:r>
                    <w:t xml:space="preserve">Op dit punt is alsnog een beoordeling in het licht van artikel 1 EP en artikel 17 van het Handvest vereist.  </w:t>
                  </w:r>
                </w:p>
                <w:p w:rsidR="00C31F82" w:rsidP="004F6873" w:rsidRDefault="00B37B31"/>
                <w:p w:rsidR="004F6873" w:rsidP="004F6873" w:rsidRDefault="00D47A6C">
                  <w:r>
                    <w:t xml:space="preserve">De Afdeling verwijst voorts naar hetgeen zij hiervoor onder 2. heeft  opgemerkt over de reikwijdte van het voorstel. Ten aanzien van de proportionaliteit wordt in de toelichting opgemerkt dat een bonusplafond van 20% nog mogelijkheden biedt voor redelijke variabele beloningen, maar excessen onmogelijk maakt. Dit wordt niet nader toegelicht. De Afdeling merkt vervolgens op dat het voorstel op een aantal andere </w:t>
                  </w:r>
                  <w:r>
                    <w:lastRenderedPageBreak/>
                    <w:t xml:space="preserve">onderdelen een volledig verbod op toekenning van een bepaalde beloningsvorm bevat. Zo mag ingevolge artikel 1:125, eerste lid, Wft in beginsel geen gegarandeerde variabele beloning worden toegekend en mag ingevolge artikel 1:126, eerste lid, onderdeel a, geen vertrekvergoeding worden toegekend indien de arbeidsrelatie voortijdig op verzoek van de rechthebbende wordt beëindigd, tenzij dit het gevolg is van ernstig verwijtbaar handelen van de werkgever. Voorts dient een onderneming ingevolge artikel 1:128, eerste lid, onderdeel c, een toegekende variabele beloning te verlagen indien de onderneming geringere of negatieve prestaties levert ten opzichte van de financiële resultaten van de voorgaande boekjaren. Hierbij is niet voorzien in enige beoordeling van de prestaties van de werknemer.  Dit roept in het licht van de proportionaliteitseis vragen op. </w:t>
                  </w:r>
                </w:p>
                <w:p w:rsidR="004F6873" w:rsidP="004F6873" w:rsidRDefault="00B37B31"/>
                <w:p w:rsidR="0064425E" w:rsidRDefault="00D47A6C">
                  <w:r>
                    <w:t xml:space="preserve">In de toelichting wordt ten slotte gewezen op de voorwaarde van een redelijke compensatie. De toelichting wijst op de overgangstermijn, opgenomen in artikel 1:114 Wft, waarin wordt bepaald dat het bonusplafond tot en met 31 december 2015 niet van toepassing is op de toekenning van variabele beloningen die voortvloeien uit een door een financiële onderneming voorafgaande aan 1 januari 2015 aangegane verplichting. Deze geeft ondernemingen de mogelijkheid om bestaande overeenkomsten en contracten aan te passen aan deze maatregel. </w:t>
                  </w:r>
                </w:p>
                <w:p w:rsidR="0064425E" w:rsidP="004F6873" w:rsidRDefault="00B37B31"/>
                <w:p w:rsidR="004F6873" w:rsidP="004F6873" w:rsidRDefault="00D47A6C">
                  <w:r>
                    <w:t xml:space="preserve">De Afdeling wijst er op dat voor de overige in de afdelingen 1.7.4 tot en met 1.7.7 Wft voorgestelde maatregelen niet in overgangsrecht is voorzien. Bepalingen in bestaande overeenkomsten die bijvoorbeeld betrekking hebben op vertrekvergoedingen bij vrijwillig vertrek zijn daarmee na inwerkingtreding van het voorstel nietig. Een onderneming is na inwerkingtreding van het voorstel ingevolge artikel 1:128 ook verplicht een variabele beloning die is toegekend vóór inwerkingtreding van het voorstel te verlagen, indien de onderneming minder heeft gepresteerd dan het voorafgaande jaar. Voorts wijst de Afdeling op het hiervoor reeds besproken </w:t>
                  </w:r>
                  <w:r w:rsidRPr="00C31F82">
                    <w:t>artikel 1:124, tweede lid,</w:t>
                  </w:r>
                  <w:r>
                    <w:t xml:space="preserve"> Wft waaruit een beperking kan volgen van de mogelijkheid om niet-toegestane variabele beloningen te compenseren met een verhoging van de vaste beloning. In het licht van het voorgaande</w:t>
                  </w:r>
                  <w:r w:rsidRPr="00C31F82">
                    <w:t xml:space="preserve"> </w:t>
                  </w:r>
                  <w:r>
                    <w:t>bestaat na</w:t>
                  </w:r>
                  <w:r w:rsidRPr="00C31F82">
                    <w:t>ar het oordeel van de Afdeling spanning met de voorwaarde van de redelijke compensatie.</w:t>
                  </w:r>
                  <w:r>
                    <w:t xml:space="preserve"> </w:t>
                  </w:r>
                </w:p>
                <w:p w:rsidR="004F6873" w:rsidP="004F6873" w:rsidRDefault="00B37B31">
                  <w:pPr>
                    <w:rPr>
                      <w:i/>
                    </w:rPr>
                  </w:pPr>
                </w:p>
                <w:p w:rsidR="004F6873" w:rsidP="004F6873" w:rsidRDefault="00D47A6C">
                  <w:r w:rsidRPr="00C31F82">
                    <w:t xml:space="preserve">De Afdeling </w:t>
                  </w:r>
                  <w:r>
                    <w:t xml:space="preserve">is </w:t>
                  </w:r>
                  <w:r w:rsidRPr="00C31F82">
                    <w:t xml:space="preserve">in het licht van al het voorgaande </w:t>
                  </w:r>
                  <w:r>
                    <w:t>van oordeel</w:t>
                  </w:r>
                  <w:r w:rsidRPr="00C31F82">
                    <w:t xml:space="preserve"> dat het voorstel</w:t>
                  </w:r>
                  <w:r>
                    <w:t xml:space="preserve">, zoals het thans luidt op een aantal onderdelen, niet </w:t>
                  </w:r>
                  <w:r w:rsidRPr="00C31F82">
                    <w:t xml:space="preserve">verenigbaar is met het in artikel 1 EP en artikel 17 van het Handvest beschermde recht op een ongestoord genot van eigendom. In ieder geval dient te worden voorzien in aanvullend overgangsrecht voor de beperkingen </w:t>
                  </w:r>
                  <w:r>
                    <w:t xml:space="preserve">van de beloning </w:t>
                  </w:r>
                  <w:r w:rsidRPr="00C31F82">
                    <w:t xml:space="preserve">anders dan de maximering van de variabele beloning. Voorts dient nader te worden gemotiveerd waarom de verschillende onderdelen proportioneel zijn in het licht van het doel van het voorstel en dient </w:t>
                  </w:r>
                  <w:r>
                    <w:t>duidelijkheid</w:t>
                  </w:r>
                  <w:r w:rsidRPr="00C31F82">
                    <w:t xml:space="preserve"> te worden geboden over de mogelijkheid om te voorzien in een redelijke compensatie. De Afdeling adviseert het voorstel in het licht van het voorgaande nader te bezien.</w:t>
                  </w:r>
                  <w:r>
                    <w:t xml:space="preserve">   </w:t>
                  </w:r>
                </w:p>
                <w:p w:rsidR="004F6873" w:rsidP="004F6873" w:rsidRDefault="00B37B31"/>
                <w:p w:rsidR="004F6873" w:rsidP="004F6873" w:rsidRDefault="00D47A6C">
                  <w:pPr>
                    <w:rPr>
                      <w:u w:val="single"/>
                    </w:rPr>
                  </w:pPr>
                  <w:r>
                    <w:t>6.</w:t>
                  </w:r>
                  <w:r>
                    <w:tab/>
                  </w:r>
                  <w:r>
                    <w:rPr>
                      <w:u w:val="single"/>
                    </w:rPr>
                    <w:t>Terugvordering en aanpassing van variabele beloningen</w:t>
                  </w:r>
                </w:p>
                <w:p w:rsidR="004F6873" w:rsidP="004F6873" w:rsidRDefault="00B37B31">
                  <w:pPr>
                    <w:rPr>
                      <w:u w:val="single"/>
                    </w:rPr>
                  </w:pPr>
                </w:p>
                <w:p w:rsidR="004F6873" w:rsidP="004F6873" w:rsidRDefault="00D47A6C">
                  <w:r>
                    <w:t xml:space="preserve">De voorgestelde artikelen 1:127 en 1:128 Wft hebben betrekking op het terugvorderen of aanpassen van een toegekende variabele beloning door de financiële onderneming. Artikel 1:127 strekt er, kort gezegd, toe om de reikwijdte van de aanpassings- en terugvorderingsbevoegdheid die in artikel 2:135 BW is opgenomen ten aanzien van de bezoldiging van bestuurders van naamloze vennootschappen (NV) uit te breiden tot </w:t>
                  </w:r>
                  <w:r>
                    <w:lastRenderedPageBreak/>
                    <w:t xml:space="preserve">alle natuurlijke personen werkzaam onder verantwoordelijkheid van financiële ondernemingen met zetel in Nederland, dochterondernemingen daarvan en de overige tot dezelfde groep behorende rechtspersonen en vennootschappen. Artikel 1:128 Wft bepaalt vervolgens onder meer dat de onderneming de hoogte van een aan een natuurlijk </w:t>
                  </w:r>
                </w:p>
                <w:p w:rsidR="004F6873" w:rsidP="004F6873" w:rsidRDefault="00D47A6C">
                  <w:r>
                    <w:t xml:space="preserve">persoon werkzaam onder haar verantwoordelijkheid toegekende variabele beloning in ieder geval verlaagt, a. indien de persoon niet heeft voldaan aan passende normen inzake bekwaamheid en correct gedrag, b. de persoon verantwoordelijk was voor gedragingen die ertoe hebben geleid dat de financiële positie van de onderneming aanmerkelijk is verslechterd of c. de onderneming geringere of negatieve prestaties levert ten opzichte van de financiële resultaten van de voorgaande boekjaren. Het derde lid bepaalt dat de onderneming een aan een natuurlijk persoon werkzaam onder haar verantwoordelijkheid uitgekeerde variabele beloning in ieder geval terugvordert, indien die persoon a. niet heeft voldaan aan passende normen inzake bekwaamheid en correct gedrag; of b. verantwoordelijk was voor gedragingen die ertoe hebben geleid dat de </w:t>
                  </w:r>
                </w:p>
                <w:p w:rsidR="004F6873" w:rsidP="004F6873" w:rsidRDefault="00D47A6C">
                  <w:r>
                    <w:t>positie van de onderneming aanmerkelijk is verslechterd.</w:t>
                  </w:r>
                </w:p>
                <w:p w:rsidR="0011210D" w:rsidP="0011210D" w:rsidRDefault="00B37B31"/>
                <w:p w:rsidR="0011210D" w:rsidP="0011210D" w:rsidRDefault="00D47A6C">
                  <w:r>
                    <w:t>Het voorstel grijpt ten aanzien van de verplichting om de variabele beloning te verlagen en een reeds uitgekeerde beloning terug te vorderen diepgaand in in de interne verhoudingen binnen de onderneming. Dit raakt aan de</w:t>
                  </w:r>
                  <w:r>
                    <w:rPr>
                      <w:szCs w:val="22"/>
                    </w:rPr>
                    <w:t xml:space="preserve"> onderscheiden  verantwoordelijkheid van het bestuur van de financiële instelling enerzijds en de verantwoordelijkheid van de overheid anderzijds. De Afdeling heeft daar reeds eerder opmerkingen over gemaakt, zij verwijst daarnaar.</w:t>
                  </w:r>
                  <w:r>
                    <w:rPr>
                      <w:rStyle w:val="Voetnootmarkering"/>
                      <w:szCs w:val="22"/>
                    </w:rPr>
                    <w:footnoteReference w:id="37"/>
                  </w:r>
                  <w:r>
                    <w:rPr>
                      <w:szCs w:val="22"/>
                    </w:rPr>
                    <w:t xml:space="preserve"> </w:t>
                  </w:r>
                </w:p>
                <w:p w:rsidR="004F6873" w:rsidP="004F6873" w:rsidRDefault="00B37B31"/>
                <w:p w:rsidR="004F6873" w:rsidP="004F6873" w:rsidRDefault="00D47A6C">
                  <w:r w:rsidRPr="00425F14">
                    <w:t>Met deze bepalingen worden de bepalingen uit de</w:t>
                  </w:r>
                  <w:r>
                    <w:t xml:space="preserve"> op</w:t>
                  </w:r>
                  <w:r w:rsidRPr="00425F14">
                    <w:t xml:space="preserve"> 1 januari 2014 in werking getreden Wet van 11 december 2013 tot wijziging van boek 2 van het Burgerlijk Wetboek en de Wet op het financieel toezicht in verband met de bevoegdheid tot aanpassing en terugvordering van bonussen en winstdelingen van bestuurders en dagelijks beleidsbepalers, aangescherpt. </w:t>
                  </w:r>
                  <w:r>
                    <w:t>De Afdeling merkt in de eerste plaats op dat de aanscherping en uitbreiding in het onderhavige wetsvoorstel van de zo onlangs in werking getreden bovengenoemde wet niet nader wordt gemotiveerd. Wel wordt in de toelichting gewezen op artikel 94 van de Richtlijn kapitaalvereisten.</w:t>
                  </w:r>
                  <w:r>
                    <w:rPr>
                      <w:rStyle w:val="Voetnootmarkering"/>
                    </w:rPr>
                    <w:footnoteReference w:id="38"/>
                  </w:r>
                  <w:r>
                    <w:t xml:space="preserve"> De Afdeling wijst er op dat de bepalingen inzake de beloning in de Richtlijn kapitaalvereisten van toepassing zijn op een beperkte kring</w:t>
                  </w:r>
                  <w:r w:rsidRPr="00342EAE">
                    <w:t xml:space="preserve"> medewerkers</w:t>
                  </w:r>
                  <w:r>
                    <w:t xml:space="preserve"> en een beperkt aantal financiële ondernemingen. Een verwijzing naar deze richtlijn kan naar het oordeel van de Afdeling dan ook niet volstaan als motivering voor de voorgestelde veel verdergaande regeling. </w:t>
                  </w:r>
                </w:p>
                <w:p w:rsidR="004F6873" w:rsidP="004F6873" w:rsidRDefault="00B37B31"/>
                <w:p w:rsidR="004F6873" w:rsidP="004F6873" w:rsidRDefault="00D47A6C">
                  <w:r>
                    <w:lastRenderedPageBreak/>
                    <w:t>De Afdeling wijst er vervolgens op dat ook de Richtlijn kapitaalvereisten niet zo ver gaat als thans wordt voorgesteld. Zo stelt de richtlijn dat een variabele beloning ‘in het algemeen’ wordt verlaagd en vereist de richtlijn dat ‘</w:t>
                  </w:r>
                  <w:r w:rsidRPr="00342EAE">
                    <w:t>indien de beloning prestatiegerelateerd is, het totale bedrag van de beloning gebaseerd is</w:t>
                  </w:r>
                  <w:r>
                    <w:t xml:space="preserve"> </w:t>
                  </w:r>
                  <w:r w:rsidRPr="00342EAE">
                    <w:t>op een combinatie van de beoordeling van de prestaties van de betrokken persoon, de betrokken bedrijfseenheid en de resultaten van de instelling als geheel, en bij de beoordeling van persoonlijke prestaties  zowel financiële als niet</w:t>
                  </w:r>
                  <w:r>
                    <w:t xml:space="preserve">-financiële criteria </w:t>
                  </w:r>
                  <w:r w:rsidRPr="00342EAE">
                    <w:t>worden</w:t>
                  </w:r>
                  <w:r>
                    <w:t xml:space="preserve"> gehanteerd’.</w:t>
                  </w:r>
                  <w:r>
                    <w:rPr>
                      <w:rStyle w:val="Voetnootmarkering"/>
                    </w:rPr>
                    <w:footnoteReference w:id="39"/>
                  </w:r>
                  <w:r>
                    <w:t xml:space="preserve"> De Afdeling merkt op dat ten aanzien van de verplichting voor </w:t>
                  </w:r>
                  <w:r w:rsidRPr="00342EAE">
                    <w:t xml:space="preserve">de onderneming </w:t>
                  </w:r>
                  <w:r>
                    <w:t xml:space="preserve">om de bonus te verlagen indien de onderneming </w:t>
                  </w:r>
                  <w:r w:rsidRPr="00342EAE">
                    <w:t>geringere of negatieve prestaties levert ten opzichte van de financiële resultaten van de voorgaande boekjaren</w:t>
                  </w:r>
                  <w:r>
                    <w:t xml:space="preserve"> geen verband bestaat met de prestaties van de betrokkene. Dit wordt in de toelichting ook uitdrukkelijk onderkend.</w:t>
                  </w:r>
                  <w:r>
                    <w:rPr>
                      <w:rStyle w:val="Voetnootmarkering"/>
                    </w:rPr>
                    <w:footnoteReference w:id="40"/>
                  </w:r>
                  <w:r>
                    <w:t xml:space="preserve"> Het ligt naar het oordeel van de Afdeling niet voor de hand om de variabele beloning van een medewerker te verlagen indien de onderneming als geheel geringere resultaten heeft behaald terwijl de individuele prestaties van de medewerker de toegekende beloning rechtvaardigen. Dit geldt temeer indien de medewerker werkzaam is in een ondersteunende functie buiten het primaire proces en dus geen (mede)verantwoordelijkheid kan dragen voor de financiële resultaten van de onderneming. </w:t>
                  </w:r>
                </w:p>
                <w:p w:rsidR="004F6873" w:rsidP="004F6873" w:rsidRDefault="00D47A6C">
                  <w:r>
                    <w:t xml:space="preserve"> </w:t>
                  </w:r>
                </w:p>
                <w:p w:rsidR="004F6873" w:rsidP="004F6873" w:rsidRDefault="00D47A6C">
                  <w:r>
                    <w:t xml:space="preserve">De Afdeling adviseert het voorstel op dit punt nader te bezien. </w:t>
                  </w:r>
                </w:p>
                <w:p w:rsidR="004F6873" w:rsidP="004F6873" w:rsidRDefault="00B37B31"/>
                <w:p w:rsidR="002324FE" w:rsidP="004F6873" w:rsidRDefault="00D47A6C">
                  <w:r>
                    <w:t xml:space="preserve">7. </w:t>
                  </w:r>
                  <w:r>
                    <w:tab/>
                  </w:r>
                  <w:r w:rsidRPr="002324FE">
                    <w:rPr>
                      <w:u w:val="single"/>
                    </w:rPr>
                    <w:t>Vertrekvergoeding</w:t>
                  </w:r>
                </w:p>
                <w:p w:rsidR="002324FE" w:rsidP="004F6873" w:rsidRDefault="00B37B31"/>
                <w:p w:rsidR="002324FE" w:rsidP="004F6873" w:rsidRDefault="00D47A6C">
                  <w:r>
                    <w:t xml:space="preserve">Het wetsvoorstel stelt in het voorgestelde artikel 1:126 Wft beperkingen aan de vertrekvergoeding. Ingevolge het eerste lid mag geen vertrekvergoeding worden uitgekeerd indien, kort gezegd, sprake is van </w:t>
                  </w:r>
                  <w:r w:rsidRPr="002324FE">
                    <w:t xml:space="preserve">vrijwillig vertrek, verwijtbaar tekortschieten van een persoon of falen van de onderneming. </w:t>
                  </w:r>
                  <w:r>
                    <w:t>Ingevolge het tweede lid mag geen hogere vergoeding worden uitgekeerd dan de transitievergoeding uit</w:t>
                  </w:r>
                  <w:r w:rsidRPr="002324FE">
                    <w:t xml:space="preserve"> </w:t>
                  </w:r>
                  <w:r>
                    <w:t xml:space="preserve">het </w:t>
                  </w:r>
                  <w:r w:rsidRPr="002324FE">
                    <w:t>wetsvoorstel werk en zekerheid  (d</w:t>
                  </w:r>
                  <w:r>
                    <w:t xml:space="preserve">ie </w:t>
                  </w:r>
                  <w:r w:rsidRPr="002324FE">
                    <w:t>vergoedin</w:t>
                  </w:r>
                  <w:r>
                    <w:t xml:space="preserve">g bedraagt ten hoogste  € 75.000, of </w:t>
                  </w:r>
                  <w:r w:rsidRPr="002324FE">
                    <w:t xml:space="preserve">wanneer het jaarsalaris hoger is </w:t>
                  </w:r>
                  <w:r>
                    <w:t xml:space="preserve">dan </w:t>
                  </w:r>
                  <w:r w:rsidRPr="002324FE">
                    <w:t>€ 75.000, niet meer</w:t>
                  </w:r>
                  <w:r>
                    <w:t xml:space="preserve"> dan 100% van de vaste beloning per jaar</w:t>
                  </w:r>
                  <w:r w:rsidRPr="002324FE">
                    <w:t xml:space="preserve">). </w:t>
                  </w:r>
                </w:p>
                <w:p w:rsidR="002324FE" w:rsidP="004F6873" w:rsidRDefault="00B37B31"/>
                <w:p w:rsidR="002324FE" w:rsidP="002324FE" w:rsidRDefault="00D47A6C">
                  <w:r>
                    <w:t xml:space="preserve">De Afdeling merkt in de eerste plaats op dat het wetsvoorstel werk en zekerheid, anders dan het onderhavige voorstel, geen maximering van de hoogte van de vertrekvergoeding behelst. De genoemde normbedragen betreffen de vergoeding waarop een werknemer (ongeacht een eventueel overeengekomen ontslagvergoeding) een recht kan doen gelden bij beëindiging van de arbeidsovereenkomst op initiatief van de werkgever. Het staat de werkgever en werknemer vrij een hogere vergoeding overeen te komen indien zij daarvoor aanleiding zien. </w:t>
                  </w:r>
                </w:p>
                <w:p w:rsidR="002324FE" w:rsidP="002324FE" w:rsidRDefault="00B37B31"/>
                <w:p w:rsidR="002324FE" w:rsidP="004F6873" w:rsidRDefault="00D47A6C">
                  <w:r>
                    <w:t>Het voorstel maakt een hogere vergoeding onmogelijk, ook wanneer de onderneming een vertrekvergoeding ter hoogte van één jaarsalaris kennelijk onredelijk acht.</w:t>
                  </w:r>
                  <w:r>
                    <w:rPr>
                      <w:rStyle w:val="Voetnootmarkering"/>
                    </w:rPr>
                    <w:footnoteReference w:id="41"/>
                  </w:r>
                  <w:r>
                    <w:t xml:space="preserve"> Daarbij geldt de thans voorgestelde regeling niet slechts voor werknemers met een arbeidscontract, maar ook voor personen die op een andere basis voor een financiële onderneming werkzaamheden verrichten. Naar het oordeel van de Afdeling doet deze beperking, evenals in dezelfde zin het verbod op het toekennen van een vertrekvergoeding bij vrijwillig vertrek, afbreuk aan de mogelijkheden voor een </w:t>
                  </w:r>
                  <w:r>
                    <w:lastRenderedPageBreak/>
                    <w:t xml:space="preserve">onderneming en een medewerker om tot een voor beide partijen aanvaardbare beëindiging van de (arbeids- of andersoortige) overeenkomst te komen. Dit kan onnodig complicerend werken. Zo is een vrijwillig vertrek financieel onaantrekkelijk omdat geen verstrekvergoeding mag worden uitgekeerd. Daardoor zal op een onvrijwillig vertrek (moeten) worden aangestuurd. In dezelfde zin kan een persoon medewerking aan de beëindiging van een overeenkomst weigeren om zo te proberen via de rechter een hogere vergoeding af te dwingen terwijl de werkgever bereid zou zijn die hogere vergoeding toe te kennen om de overeenkomst op een voor beide partijen aanvaardbare wijze te beëindigen. </w:t>
                  </w:r>
                  <w:r w:rsidRPr="002324FE">
                    <w:t>Dit hoeft overigens niet noodzakelijk een ontslagvergoeding of ‘billijke vergoeding’</w:t>
                  </w:r>
                  <w:r>
                    <w:t xml:space="preserve"> in de zin van het wetsvoorstel werk en zekerheid</w:t>
                  </w:r>
                  <w:r w:rsidRPr="002324FE">
                    <w:t xml:space="preserve"> te zijn. Het kan bijvoorbeeld ook gaan om een schadevergoeding uit hoofde van wanprestatie in geval van een overeenkomst van opdracht. </w:t>
                  </w:r>
                  <w:r>
                    <w:t xml:space="preserve">Beide partijen worden in dit geval gedwongen tot een juridische procedure die zij niet zouden willen voeren en die zonder het voorstel niet noodzakelijk zou zijn geweest. Dit lijkt een onwenselijke uitkomst van de voorgestelde regeling. De Afdeling adviseert de afwijking van de norm ten opzichte van de Wet werk en zekerheid toereikend te motiveren en het voorstel zo nodig aan te passen.  </w:t>
                  </w:r>
                </w:p>
                <w:p w:rsidR="007C55D8" w:rsidP="004F6873" w:rsidRDefault="00B37B31"/>
                <w:p w:rsidR="007C55D8" w:rsidP="004F6873" w:rsidRDefault="00D47A6C">
                  <w:r w:rsidRPr="007C55D8">
                    <w:t xml:space="preserve">Nu de beperking van de vertrekvergoeding betrekking heeft op alle medewerkers in de financiële sector, raakt deze ook aan de overeenkomsten die in deze sector veelvuldig zijn gesloten met de vakorganisaties in de vorm van (vaak permanente) sociale plannen. De regeling raakt op dit punt derhalve ook aan de collectieve onderhandelingsvrijheid, zoals onder meer erkend in de verdragen van de Internationale Arbeidsorganisatie en het Europees Sociaal Handvest. De Afdeling adviseert </w:t>
                  </w:r>
                  <w:r>
                    <w:t>het voorstel ook op dit punt toereikend te motiveren en zo nodig aan te passen.</w:t>
                  </w:r>
                </w:p>
                <w:p w:rsidR="00265C49" w:rsidP="004F6873" w:rsidRDefault="00B37B31"/>
                <w:p w:rsidR="004F6873" w:rsidP="004F6873" w:rsidRDefault="00D47A6C">
                  <w:pPr>
                    <w:rPr>
                      <w:u w:val="single"/>
                    </w:rPr>
                  </w:pPr>
                  <w:r>
                    <w:t>8.</w:t>
                  </w:r>
                  <w:r>
                    <w:tab/>
                  </w:r>
                  <w:r>
                    <w:rPr>
                      <w:u w:val="single"/>
                    </w:rPr>
                    <w:t>Overige opmerkingen</w:t>
                  </w:r>
                </w:p>
                <w:p w:rsidR="004F6873" w:rsidP="004F6873" w:rsidRDefault="00B37B31">
                  <w:pPr>
                    <w:rPr>
                      <w:u w:val="single"/>
                    </w:rPr>
                  </w:pPr>
                </w:p>
                <w:p w:rsidR="00531F3A" w:rsidP="00531F3A" w:rsidRDefault="00D47A6C">
                  <w:r>
                    <w:t>a. Ingevolge het voorgestelde artikel 1:114, derde lid, Wft is de uitbereiding van de reikwijdte van het voorstel tot, kort gezegd, andere ondernemingen waarmee de financiële onderneming in een groep is verbonden niet van toepassing indien de hoofdactiviteiten van de groep niet bestaan uit het aanbieden van financiële producten, het verlenen van financiële diensten, het verlenen van beleggingsdiensten of het verrichten van beleggingsactiviteiten. Het voorstel geeft geen handvatten om te bepalen wanneer een groep geacht moet worden een andere hoofdactiviteit dan daar genoemd te verrichten. In de toelichting wordt opgemerkt: ‘De bepalingen of activiteiten hoofdzakelijk binnen de financiële sector worden verricht zal plaats moeten vinden in overleg met de toezichthouder. Daarbij zijn bijvoorbeeld omzet en de activiteiten waarop de werknemers gericht zijn van belang.’</w:t>
                  </w:r>
                  <w:r>
                    <w:rPr>
                      <w:rStyle w:val="Voetnootmarkering"/>
                    </w:rPr>
                    <w:footnoteReference w:id="42"/>
                  </w:r>
                  <w:r>
                    <w:t xml:space="preserve"> </w:t>
                  </w:r>
                </w:p>
                <w:p w:rsidR="00531F3A" w:rsidP="00531F3A" w:rsidRDefault="00B37B31"/>
                <w:p w:rsidR="00531F3A" w:rsidP="00531F3A" w:rsidRDefault="00D47A6C">
                  <w:r>
                    <w:t>De Afdeling is van oordeel dat de reikwijdte van een wettelijke regeling uit de wet en daarbij behorende toelichting moet blijken en niet afhankelijk kan zijn van het oordeel van een toezichthouder.</w:t>
                  </w:r>
                </w:p>
                <w:p w:rsidR="00531F3A" w:rsidP="00531F3A" w:rsidRDefault="00B37B31"/>
                <w:p w:rsidR="00531F3A" w:rsidP="00531F3A" w:rsidRDefault="00D47A6C">
                  <w:r>
                    <w:t xml:space="preserve">De Afdeling adviseert het voorstel en de toelichting aan te passen.   </w:t>
                  </w:r>
                </w:p>
                <w:p w:rsidR="00531F3A" w:rsidP="00425F14" w:rsidRDefault="00B37B31"/>
                <w:p w:rsidR="004F6873" w:rsidP="00425F14" w:rsidRDefault="00D47A6C">
                  <w:r>
                    <w:t>b</w:t>
                  </w:r>
                  <w:r w:rsidRPr="00587FD5">
                    <w:t>.</w:t>
                  </w:r>
                  <w:r>
                    <w:rPr>
                      <w:i/>
                    </w:rPr>
                    <w:t xml:space="preserve"> </w:t>
                  </w:r>
                  <w:r>
                    <w:t xml:space="preserve">Ingevolge het voorgestelde artikel 1:123, eerste lid, Wft kan de financiële onderneming een persoon werkzaam onder haar verantwoordelijkheid onder </w:t>
                  </w:r>
                  <w:r>
                    <w:lastRenderedPageBreak/>
                    <w:t>omstandigheden een hogere variabele beloning toekennen dan 20% van de vaste beloning. Daarvoor is toestemming van de toezichthouder vereist. In de toelichting wordt hierover opgemerkt dat de toezichthouder er ‘in ieder geval’ op zal toezien dat aan de voorwaarden van dit artikel is voldaan.</w:t>
                  </w:r>
                  <w:r>
                    <w:rPr>
                      <w:rStyle w:val="Voetnootmarkering"/>
                    </w:rPr>
                    <w:footnoteReference w:id="43"/>
                  </w:r>
                  <w:r>
                    <w:t xml:space="preserve"> Dit suggereert dat de toezichthouder ook op andere gronden dan hier genoemd goedkeuring zou kunnen onthouden. Nu dit uit het voorstel niet voortvloeit, adviseert de Afdeling de toelichting aan te passen. </w:t>
                  </w:r>
                </w:p>
                <w:p w:rsidR="004F6873" w:rsidP="004F6873" w:rsidRDefault="00B37B31"/>
                <w:p w:rsidR="00587FD5" w:rsidP="00425F14" w:rsidRDefault="00D47A6C">
                  <w:r>
                    <w:t>c</w:t>
                  </w:r>
                  <w:r>
                    <w:rPr>
                      <w:i/>
                    </w:rPr>
                    <w:t xml:space="preserve">. </w:t>
                  </w:r>
                  <w:r>
                    <w:t xml:space="preserve"> Ingevolge het voorgestelde artikel 1:122, eerste lid, Wft bedraagt de variabele beloning die een financiële onderneming met zetel in Nederland toekent aan een natuurlijk persoon werkzaam onder haar verantwoordelijkheid, ten hoogste 20% van de vaste beloning van die persoon op jaarbasis.  De toelichting vermeldt daarbij dat in het geval van een lange termijn variabele beloning die wordt toegekend en over verschillende jaren wordt uitgekeerd, het gaat om de hoogte van de totale lange termijn variabele beloning. Dit geldt ook wanneer sprake is van toegekende aandelen of andere instrumenten. De uiteindelijke uitkering dient qua financiële waarde gelijk te zijn aan de waarde die uitkering zou hebben gehad wanneer uitsluitend sprake zou zijn geweest van toekenning en uitkering in cash. Een stijging van aandelen of andere instrumenten dient bij uitkering dan ook te worden gecorrigeerd.</w:t>
                  </w:r>
                  <w:r>
                    <w:rPr>
                      <w:rStyle w:val="Voetnootmarkering"/>
                    </w:rPr>
                    <w:footnoteReference w:id="44"/>
                  </w:r>
                  <w:r>
                    <w:t xml:space="preserve"> </w:t>
                  </w:r>
                </w:p>
                <w:p w:rsidR="00587FD5" w:rsidP="00587FD5" w:rsidRDefault="00B37B31"/>
                <w:p w:rsidR="00587FD5" w:rsidP="00587FD5" w:rsidRDefault="00D47A6C">
                  <w:r>
                    <w:t xml:space="preserve">Dit leidt er toe dat in het geval een langetermijn-bonus in bijvoorbeeld aandelen wordt toegekend waarbij pas na enige tijd verzilvering kan plaatsvinden, een eventuele waardestijging van die aandelen zal moeten worden gecompenseerd door de ontvanger, als verzilvering leidt tot een beloning die meer bedraagt dan 20% van het vaste salaris ten tijde van de toekenning van de bonus. De Afdeling merkt in de eerste plaats op dat hiermee afbreuk wordt gedaan aan het doel van een langetermijn-beloning in aandelen, namelijk het motiveren van werknemers door perspectief te bieden op een stijging van de waarde van de aandelen. Zij wijst er vervolgens op dat de definitieve vaststelling van de beloning met deze regeling complex wordt, er kan immers gedurende enige jaren een verplichting tot verrekening bestaan. Het ligt daarbij voor de hand dat indien er geen ‘upside’ voor de werknemer bestaat, deze tevens de ‘downside’ zal willen afdekken. De toelichting gaat hierop niet in. </w:t>
                  </w:r>
                </w:p>
                <w:p w:rsidR="00587FD5" w:rsidP="004F6873" w:rsidRDefault="00B37B31"/>
                <w:p w:rsidR="00587FD5" w:rsidP="004F6873" w:rsidRDefault="00D47A6C">
                  <w:r>
                    <w:t xml:space="preserve">De Afdeling adviseert de toelichting in het licht van het bovenstaande aan te vullen en zo nodig het voorstel aan te passen. </w:t>
                  </w:r>
                </w:p>
                <w:p w:rsidR="00587FD5" w:rsidP="004F6873" w:rsidRDefault="00B37B31"/>
                <w:p w:rsidR="00EA7BF9" w:rsidP="004F6873" w:rsidRDefault="00D47A6C">
                  <w:r>
                    <w:t>d. Hierboven is reeds opgemerkt dat de maximering van de hoogte van een variabele beloning ook van toepassing is op uitgestelde beloningen. D</w:t>
                  </w:r>
                  <w:r w:rsidRPr="00EA7BF9">
                    <w:t xml:space="preserve">e </w:t>
                  </w:r>
                  <w:r>
                    <w:t>A</w:t>
                  </w:r>
                  <w:r w:rsidRPr="00EA7BF9">
                    <w:t>fdeling</w:t>
                  </w:r>
                  <w:r>
                    <w:t xml:space="preserve"> merkt </w:t>
                  </w:r>
                  <w:r w:rsidRPr="00EA7BF9">
                    <w:t xml:space="preserve">op dat het voor de waardering van beloningen </w:t>
                  </w:r>
                  <w:r>
                    <w:t>die pas op een latere datum worden uitgekeerd</w:t>
                  </w:r>
                  <w:r w:rsidRPr="00EA7BF9">
                    <w:t>, noodzakelijk is de toekom</w:t>
                  </w:r>
                  <w:r>
                    <w:t>stige waarde contant te maken</w:t>
                  </w:r>
                  <w:r w:rsidRPr="00EA7BF9">
                    <w:t xml:space="preserve">. </w:t>
                  </w:r>
                  <w:r>
                    <w:t xml:space="preserve">Hierop wordt in de toelichting niet ingegaan. De Afdeling wijst in dit verband op </w:t>
                  </w:r>
                </w:p>
                <w:p w:rsidR="00EA7BF9" w:rsidP="004F6873" w:rsidRDefault="00D47A6C">
                  <w:r>
                    <w:t xml:space="preserve">de mogelijkheid </w:t>
                  </w:r>
                  <w:r w:rsidRPr="00EA7BF9">
                    <w:t>die art</w:t>
                  </w:r>
                  <w:r>
                    <w:t>ikel</w:t>
                  </w:r>
                  <w:r w:rsidRPr="00EA7BF9">
                    <w:t xml:space="preserve"> 94 van de richtlij</w:t>
                  </w:r>
                  <w:r>
                    <w:t xml:space="preserve">n kapitaalsvereisten </w:t>
                  </w:r>
                  <w:r w:rsidRPr="00EA7BF9">
                    <w:t>biedt om een disconterings</w:t>
                  </w:r>
                  <w:r>
                    <w:t>voet</w:t>
                  </w:r>
                  <w:r w:rsidRPr="00EA7BF9">
                    <w:t xml:space="preserve"> </w:t>
                  </w:r>
                  <w:r>
                    <w:t>voor te schrijven</w:t>
                  </w:r>
                  <w:r w:rsidRPr="00EA7BF9">
                    <w:t xml:space="preserve">. </w:t>
                  </w:r>
                </w:p>
                <w:p w:rsidR="00EA7BF9" w:rsidP="004F6873" w:rsidRDefault="00B37B31"/>
                <w:p w:rsidR="00EA7BF9" w:rsidP="004F6873" w:rsidRDefault="00D47A6C">
                  <w:r>
                    <w:t>De A</w:t>
                  </w:r>
                  <w:r w:rsidRPr="00EA7BF9">
                    <w:t xml:space="preserve">fdeling adviseert om de toelichting </w:t>
                  </w:r>
                  <w:r>
                    <w:t>aan te vullen</w:t>
                  </w:r>
                  <w:r w:rsidRPr="00EA7BF9">
                    <w:t xml:space="preserve"> en het voorstel zo nodig aan te passen. </w:t>
                  </w:r>
                </w:p>
                <w:p w:rsidR="00EA7BF9" w:rsidP="004F6873" w:rsidRDefault="00B37B31"/>
                <w:p w:rsidR="004F6873" w:rsidP="004F6873" w:rsidRDefault="00D47A6C">
                  <w:r>
                    <w:t xml:space="preserve">e. Ingevolge het voorgestelde artikel 1:125, eerste lid, Wft is het toekennen van gegarandeerde variabele beloningen verboden. Het tweede lid maakt daarop een </w:t>
                  </w:r>
                  <w:r>
                    <w:lastRenderedPageBreak/>
                    <w:t xml:space="preserve">uitzondering onder aantal voorwaarden, waaronder dat de onderneming over een gezond toetsingsvermogen, gezonde solvabiliteitsmarge of gezond eigen vermogen beschikt. </w:t>
                  </w:r>
                </w:p>
                <w:p w:rsidR="004F6873" w:rsidP="004F6873" w:rsidRDefault="00B37B31"/>
                <w:p w:rsidR="004F6873" w:rsidP="004F6873" w:rsidRDefault="00D47A6C">
                  <w:r>
                    <w:t>In het voorstel noch in de toelichting wordt gespecificeerd wat dient te worden verstaan onder ‘gezond’. De toelichting vermeldt dat het aan de toezichthouders is om deze voorwaarde nader in te vullen.</w:t>
                  </w:r>
                  <w:r>
                    <w:rPr>
                      <w:rStyle w:val="Voetnootmarkering"/>
                    </w:rPr>
                    <w:footnoteReference w:id="45"/>
                  </w:r>
                  <w:r>
                    <w:t xml:space="preserve"> De Afdeling is van oordeel dat in de tekst van het voorstel of in de toelichting nader dient te worden omschreven wanneer een onderneming geacht moet worden te beschikken over een </w:t>
                  </w:r>
                  <w:r w:rsidRPr="00342EAE">
                    <w:t xml:space="preserve">gezond toetsingsvermogen, </w:t>
                  </w:r>
                  <w:r>
                    <w:t xml:space="preserve">een </w:t>
                  </w:r>
                  <w:r w:rsidRPr="00342EAE">
                    <w:t xml:space="preserve">gezonde solvabiliteitsmarge of </w:t>
                  </w:r>
                  <w:r>
                    <w:t xml:space="preserve">een </w:t>
                  </w:r>
                  <w:r w:rsidRPr="00342EAE">
                    <w:t>gezond eigen vermogen</w:t>
                  </w:r>
                  <w:r>
                    <w:t xml:space="preserve">. Het ligt daarbij naar het oordeel van de Afdeling overigens in de rede aan te sluiten bij de wettelijke solvabiliteitseisen. </w:t>
                  </w:r>
                </w:p>
                <w:p w:rsidR="004F6873" w:rsidP="004F6873" w:rsidRDefault="00B37B31"/>
                <w:p w:rsidR="004F6873" w:rsidP="0001789A" w:rsidRDefault="00D47A6C">
                  <w:r>
                    <w:t xml:space="preserve">De Afdeling adviseert de toelichting in het licht van het voorgaande aan te vullen en zo nodig het voorstel aan te passen. </w:t>
                  </w:r>
                </w:p>
              </w:sdtContent>
            </w:sdt>
            <w:p w:rsidR="0031089B" w:rsidP="004F6873" w:rsidRDefault="00B37B31">
              <w:pPr>
                <w:pStyle w:val="Lijstalinea"/>
                <w:ind w:left="0"/>
              </w:pP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47A6C">
              <w:r>
                <w:t>9.</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E65EE" w:rsidRDefault="00D47A6C">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W06.14.0040</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29428E" w:rsidP="00D969CB" w:rsidRDefault="00D47A6C">
              <w:pPr>
                <w:numPr>
                  <w:ilvl w:val="0"/>
                  <w:numId w:val="1"/>
                </w:numPr>
              </w:pPr>
              <w:r>
                <w:t xml:space="preserve">In het voorgestelde artikel 1:116, derde lid, Wft  ‘met de strekking van’ schrappen. </w:t>
              </w:r>
            </w:p>
            <w:p w:rsidR="00E70C71" w:rsidP="00D969CB" w:rsidRDefault="00D47A6C">
              <w:pPr>
                <w:numPr>
                  <w:ilvl w:val="0"/>
                  <w:numId w:val="1"/>
                </w:numPr>
              </w:pPr>
              <w:r>
                <w:t>In het voorgestelde 1:116 Wft het gebruik van de term  ‘rechtshandelingen’ bezien, nu het toekennen en uitkeren van een beloning geen rechtshandeling maar een feitelijke handeling betreft.</w:t>
              </w:r>
            </w:p>
          </w:sdtContent>
        </w:sdt>
        <w:p w:rsidR="00C50D4F" w:rsidP="005841EA" w:rsidRDefault="00B37B3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92F9B81" wp14:editId="026D5B1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334" w:rsidRDefault="00D47A6C" w:rsidP="005B3E03">
      <w:r>
        <w:separator/>
      </w:r>
    </w:p>
  </w:footnote>
  <w:footnote w:type="continuationSeparator" w:id="0">
    <w:p w:rsidR="00F41334" w:rsidRDefault="00D47A6C" w:rsidP="005B3E03">
      <w:r>
        <w:continuationSeparator/>
      </w:r>
    </w:p>
  </w:footnote>
  <w:footnote w:id="1">
    <w:p w:rsidR="004F6873" w:rsidRDefault="00D47A6C" w:rsidP="004F6873">
      <w:pPr>
        <w:pStyle w:val="Voetnoottekst"/>
      </w:pPr>
      <w:r>
        <w:rPr>
          <w:rStyle w:val="Voetnootmarkering"/>
        </w:rPr>
        <w:footnoteRef/>
      </w:r>
      <w:r>
        <w:tab/>
        <w:t xml:space="preserve">Artikel 1:118, eerste lid, Wft. </w:t>
      </w:r>
    </w:p>
  </w:footnote>
  <w:footnote w:id="2">
    <w:p w:rsidR="004F6873" w:rsidRDefault="00D47A6C" w:rsidP="004F6873">
      <w:pPr>
        <w:pStyle w:val="Voetnoottekst"/>
      </w:pPr>
      <w:r>
        <w:rPr>
          <w:rStyle w:val="Voetnootmarkering"/>
        </w:rPr>
        <w:footnoteRef/>
      </w:r>
      <w:r>
        <w:tab/>
        <w:t xml:space="preserve">Artikel 1:119, eerste lid, Wft. </w:t>
      </w:r>
    </w:p>
  </w:footnote>
  <w:footnote w:id="3">
    <w:p w:rsidR="004F6873" w:rsidRDefault="00D47A6C" w:rsidP="004F6873">
      <w:pPr>
        <w:pStyle w:val="Voetnoottekst"/>
      </w:pPr>
      <w:r>
        <w:rPr>
          <w:rStyle w:val="Voetnootmarkering"/>
        </w:rPr>
        <w:footnoteRef/>
      </w:r>
      <w:r>
        <w:tab/>
        <w:t xml:space="preserve">Het Besluit prudentiële regels Wft en het Besluit gedragstoezicht financiële ondernemingen Wft. </w:t>
      </w:r>
    </w:p>
  </w:footnote>
  <w:footnote w:id="4">
    <w:p w:rsidR="004F6873" w:rsidRDefault="00D47A6C" w:rsidP="004F6873">
      <w:pPr>
        <w:pStyle w:val="Voetnoottekst"/>
      </w:pPr>
      <w:r>
        <w:rPr>
          <w:rStyle w:val="Voetnootmarkering"/>
        </w:rPr>
        <w:footnoteRef/>
      </w:r>
      <w:r>
        <w:tab/>
        <w:t>Kamerstukken II 2013/14, 33 818, nr. A.</w:t>
      </w:r>
    </w:p>
  </w:footnote>
  <w:footnote w:id="5">
    <w:p w:rsidR="004F6873" w:rsidRDefault="00D47A6C" w:rsidP="004F6873">
      <w:pPr>
        <w:pStyle w:val="Voetnoottekst"/>
      </w:pPr>
      <w:r>
        <w:rPr>
          <w:rStyle w:val="Voetnootmarkering"/>
        </w:rPr>
        <w:footnoteRef/>
      </w:r>
      <w:r>
        <w:tab/>
        <w:t xml:space="preserve">Memorie van toelichting, algemeen deel van de toelichting, paragraaf 2. </w:t>
      </w:r>
    </w:p>
  </w:footnote>
  <w:footnote w:id="6">
    <w:p w:rsidR="007A1177" w:rsidRDefault="00D47A6C">
      <w:pPr>
        <w:pStyle w:val="Voetnoottekst"/>
      </w:pPr>
      <w:r>
        <w:rPr>
          <w:rStyle w:val="Voetnootmarkering"/>
        </w:rPr>
        <w:footnoteRef/>
      </w:r>
      <w:r>
        <w:tab/>
        <w:t xml:space="preserve">Artikel 23f van het Besluit prudentiële regels Wft. </w:t>
      </w:r>
    </w:p>
  </w:footnote>
  <w:footnote w:id="7">
    <w:p w:rsidR="007A1177" w:rsidRDefault="00D47A6C">
      <w:pPr>
        <w:pStyle w:val="Voetnoottekst"/>
      </w:pPr>
      <w:r>
        <w:rPr>
          <w:rStyle w:val="Voetnootmarkering"/>
        </w:rPr>
        <w:footnoteRef/>
      </w:r>
      <w:r>
        <w:tab/>
        <w:t xml:space="preserve">Artikel 86a van het Besluit gedragstoezicht financiële ondernemingen. </w:t>
      </w:r>
    </w:p>
  </w:footnote>
  <w:footnote w:id="8">
    <w:p w:rsidR="007A1177" w:rsidRDefault="00D47A6C">
      <w:pPr>
        <w:pStyle w:val="Voetnoottekst"/>
      </w:pPr>
      <w:r>
        <w:rPr>
          <w:rStyle w:val="Voetnootmarkering"/>
        </w:rPr>
        <w:footnoteRef/>
      </w:r>
      <w:r>
        <w:tab/>
        <w:t xml:space="preserve">Artikel 1:128 Wft. </w:t>
      </w:r>
    </w:p>
  </w:footnote>
  <w:footnote w:id="9">
    <w:p w:rsidR="007A1177" w:rsidRDefault="00D47A6C" w:rsidP="007A1177">
      <w:pPr>
        <w:pStyle w:val="Voetnoottekst"/>
      </w:pPr>
      <w:r>
        <w:rPr>
          <w:rStyle w:val="Voetnootmarkering"/>
        </w:rPr>
        <w:footnoteRef/>
      </w:r>
      <w:r>
        <w:tab/>
      </w:r>
      <w:r w:rsidRPr="00463957">
        <w:t>Richtlijn nr. 2013/36/EU van het Europees Parlement en de Raad van 26 juni 2</w:t>
      </w:r>
      <w:r>
        <w:t xml:space="preserve">013 betreffende toegang tot het </w:t>
      </w:r>
      <w:r w:rsidRPr="00463957">
        <w:t>bedrijf van kredietinstellingen en het prudentieel toezicht op kredietinstellingen en beleggingsondernemingen, tot wijziging van Richtlijn 2002/87/EG en tot intrekking van de Richtlijnen 2006/48/EG en 2006/49/EG (PbEU 2013, L 176).</w:t>
      </w:r>
    </w:p>
  </w:footnote>
  <w:footnote w:id="10">
    <w:p w:rsidR="00E77E7A" w:rsidRDefault="00D47A6C">
      <w:pPr>
        <w:pStyle w:val="Voetnoottekst"/>
      </w:pPr>
      <w:r>
        <w:rPr>
          <w:rStyle w:val="Voetnootmarkering"/>
        </w:rPr>
        <w:footnoteRef/>
      </w:r>
      <w:r>
        <w:tab/>
        <w:t xml:space="preserve">Categorieën van medewerkers, inclusief die verantwoordelijk voor de hoogste leiding, risiconemende functies en controlefuncties, en elke werknemer wiens totale beloning hem op hetzelfde beloningsniveau plaatst als die medewerkers verantwoordelijk voor de hoogste leiding of medewerkers in een risiconemende functie, wier beroepswerkzaamheden het risicoprofiel van die instellingen materieel beïnvloeden. </w:t>
      </w:r>
    </w:p>
  </w:footnote>
  <w:footnote w:id="11">
    <w:p w:rsidR="00E77E7A" w:rsidRDefault="00D47A6C" w:rsidP="00E77E7A">
      <w:pPr>
        <w:pStyle w:val="Voetnoottekst"/>
      </w:pPr>
      <w:r>
        <w:rPr>
          <w:rStyle w:val="Voetnootmarkering"/>
        </w:rPr>
        <w:footnoteRef/>
      </w:r>
      <w:r>
        <w:tab/>
        <w:t>De lidstaten kunnen aandeelhouders, eigenaren of vennoten van de instelling toestaan een hoger maximumniveau van het percentage van de vaste en de variabele component van de beloning goed te keuren, mits het totale niveau van de variabele component niet meer bedraagt dan 200 % van de vaste component van de totale beloning per persoon.</w:t>
      </w:r>
    </w:p>
  </w:footnote>
  <w:footnote w:id="12">
    <w:p w:rsidR="007A1177" w:rsidRDefault="00D47A6C">
      <w:pPr>
        <w:pStyle w:val="Voetnoottekst"/>
      </w:pPr>
      <w:r>
        <w:rPr>
          <w:rStyle w:val="Voetnootmarkering"/>
        </w:rPr>
        <w:footnoteRef/>
      </w:r>
      <w:r>
        <w:tab/>
        <w:t xml:space="preserve">Kamerstukken II, 2013/14, </w:t>
      </w:r>
      <w:r w:rsidRPr="007A1177">
        <w:t>33</w:t>
      </w:r>
      <w:r>
        <w:t xml:space="preserve"> </w:t>
      </w:r>
      <w:r w:rsidRPr="007A1177">
        <w:t>849</w:t>
      </w:r>
      <w:r>
        <w:t>, nr. 2.</w:t>
      </w:r>
    </w:p>
  </w:footnote>
  <w:footnote w:id="13">
    <w:p w:rsidR="007A1177" w:rsidRDefault="00D47A6C">
      <w:pPr>
        <w:pStyle w:val="Voetnoottekst"/>
      </w:pPr>
      <w:r>
        <w:rPr>
          <w:rStyle w:val="Voetnootmarkering"/>
        </w:rPr>
        <w:footnoteRef/>
      </w:r>
      <w:r>
        <w:tab/>
      </w:r>
      <w:r w:rsidRPr="007A1177">
        <w:t>De bepalingen in dit wetsvoorstel hebben gevolgen voor alle personen werkzaam bij één van de onder de reikwijdte van het voorstel vallende ondernemingen. Een aantal regels, waaronder de maximering van de variabele beloning, zijn van toepassing op “natuurlijke personen werkzaam onder verantwoordelijkheid van de financiële onderneming”. Hier valt blijkens de toelichting een brede groep personen onder. ‘Het betreft zowel personen in dienst van de onderneming via een regulier arbeidscontract als personen die werkzaamheden verrichten op basis van andere overeenkomsten. Het gaat dan bijvoorbeeld om bestuurders die een opdrachtovereenkomst met de onderneming hebben gesloten of gedetacheerden en uitzendkrachten.</w:t>
      </w:r>
    </w:p>
  </w:footnote>
  <w:footnote w:id="14">
    <w:p w:rsidR="007A1177" w:rsidRDefault="00D47A6C">
      <w:pPr>
        <w:pStyle w:val="Voetnoottekst"/>
      </w:pPr>
      <w:r>
        <w:rPr>
          <w:rStyle w:val="Voetnootmarkering"/>
        </w:rPr>
        <w:footnoteRef/>
      </w:r>
      <w:r>
        <w:tab/>
      </w:r>
      <w:r w:rsidRPr="007A1177">
        <w:t xml:space="preserve">De in het voorstel opgenomen bepalingen met betrekking tot het beheerst beloningsbeleid (afdeling 1.7.2) en de daarbij behorende publicatieverplichtingen (afdeling 1.7.3) zijn, net als de thans geldende regelgeving inzake het beheerst beloningsbeleid, van toepassing op alle financiële ondernemingen met zetel in Nederland waarop de artikelen 3:17, 4:14, of 4:15 Wet financieel toezicht (Wft) van toepassing zijn.  De afdelingen die de nieuwe specifieke voorschriften over het beloningsbeleid bevatten (1.7.4 tot en met 1.7.6) zijn van toepassing op alle financiële ondernemingen met zetel in Nederland. In beide gevallen dient de financiële onderneming er zorg voor te dragen dat de regels ook worden toegepast door haar dochterondernemingen (1:113). Indien de financiële onderneming deel uitmaakt van een groep wordt de aan het hoofd van de groep staande groepsmaatschappij opgedragen ervoor zorg te dragen dat de regels worden toegepast door alle tot de groep behorende rechtspersonen en vennootschappen (1:114).  De regels zijn aldus ook direct of indirect van toepassing op ondernemingen die geen financiële onderneming zijn (geen Wft-vergunning bezitten) of gevestigd zijn buiten Nederland. </w:t>
      </w:r>
    </w:p>
  </w:footnote>
  <w:footnote w:id="15">
    <w:p w:rsidR="002324FE" w:rsidRDefault="00D47A6C">
      <w:pPr>
        <w:pStyle w:val="Voetnoottekst"/>
      </w:pPr>
      <w:r>
        <w:rPr>
          <w:rStyle w:val="Voetnootmarkering"/>
        </w:rPr>
        <w:footnoteRef/>
      </w:r>
      <w:r>
        <w:t xml:space="preserve"> Memorie van toelichting, algemeen deel, paragraaf 11.</w:t>
      </w:r>
    </w:p>
  </w:footnote>
  <w:footnote w:id="16">
    <w:p w:rsidR="004F6873" w:rsidRDefault="00D47A6C" w:rsidP="004F6873">
      <w:pPr>
        <w:pStyle w:val="Voetnoottekst"/>
      </w:pPr>
      <w:r>
        <w:rPr>
          <w:rStyle w:val="Voetnootmarkering"/>
        </w:rPr>
        <w:footnoteRef/>
      </w:r>
      <w:r>
        <w:tab/>
        <w:t>Artikel 3:17 is van toepassing op afwikkelondernemingen</w:t>
      </w:r>
      <w:r w:rsidRPr="00463957">
        <w:t>, betaalinstelling</w:t>
      </w:r>
      <w:r>
        <w:t>en</w:t>
      </w:r>
      <w:r w:rsidRPr="00463957">
        <w:t>, clearinginstelling</w:t>
      </w:r>
      <w:r>
        <w:t>en</w:t>
      </w:r>
      <w:r w:rsidRPr="00463957">
        <w:t>, elektronischgeldinstelling</w:t>
      </w:r>
      <w:r>
        <w:t>en</w:t>
      </w:r>
      <w:r w:rsidRPr="00463957">
        <w:t>, entiteit</w:t>
      </w:r>
      <w:r>
        <w:t>en</w:t>
      </w:r>
      <w:r w:rsidRPr="00463957">
        <w:t xml:space="preserve"> voor risico-acceptatie, bank</w:t>
      </w:r>
      <w:r>
        <w:t>en</w:t>
      </w:r>
      <w:r w:rsidRPr="00463957">
        <w:t>, premiepensioeninstelling</w:t>
      </w:r>
      <w:r>
        <w:t>en</w:t>
      </w:r>
      <w:r w:rsidRPr="00463957">
        <w:t>, verzekeraar</w:t>
      </w:r>
      <w:r>
        <w:t>s</w:t>
      </w:r>
      <w:r w:rsidRPr="00463957">
        <w:t xml:space="preserve"> </w:t>
      </w:r>
      <w:r>
        <w:t>en</w:t>
      </w:r>
      <w:r w:rsidRPr="00463957">
        <w:t xml:space="preserve"> wisselinstelling</w:t>
      </w:r>
      <w:r>
        <w:t>en.</w:t>
      </w:r>
      <w:r w:rsidRPr="00463957">
        <w:t xml:space="preserve"> </w:t>
      </w:r>
      <w:r>
        <w:t xml:space="preserve">Artikel 4:14 is van toepassing op </w:t>
      </w:r>
      <w:r w:rsidRPr="00463957">
        <w:t>beheerder</w:t>
      </w:r>
      <w:r>
        <w:t>s</w:t>
      </w:r>
      <w:r w:rsidRPr="00463957">
        <w:t xml:space="preserve"> van een beleggingsinstelling, beheerder</w:t>
      </w:r>
      <w:r>
        <w:t>s</w:t>
      </w:r>
      <w:r w:rsidRPr="00463957">
        <w:t xml:space="preserve"> van een icbe, beleggingsinstelling</w:t>
      </w:r>
      <w:r>
        <w:t>en</w:t>
      </w:r>
      <w:r w:rsidRPr="00463957">
        <w:t>, icbe</w:t>
      </w:r>
      <w:r>
        <w:t>’s</w:t>
      </w:r>
      <w:r w:rsidRPr="00463957">
        <w:t>, beleggingsonderneming</w:t>
      </w:r>
      <w:r>
        <w:t>en</w:t>
      </w:r>
      <w:r w:rsidRPr="00463957">
        <w:t>, bewaarder</w:t>
      </w:r>
      <w:r>
        <w:t>s</w:t>
      </w:r>
      <w:r w:rsidRPr="00463957">
        <w:t xml:space="preserve"> van een beleggingsinstelling, bewaarder</w:t>
      </w:r>
      <w:r>
        <w:t>s</w:t>
      </w:r>
      <w:r w:rsidRPr="00463957">
        <w:t xml:space="preserve"> van een icbe </w:t>
      </w:r>
      <w:r>
        <w:t>en</w:t>
      </w:r>
      <w:r w:rsidRPr="00463957">
        <w:t xml:space="preserve"> pensioenbewaarder</w:t>
      </w:r>
      <w:r>
        <w:t xml:space="preserve">s, artikel 4:15 is van toepassing op </w:t>
      </w:r>
      <w:r w:rsidRPr="00463957">
        <w:t>financiëledienstverlener</w:t>
      </w:r>
      <w:r>
        <w:t>s</w:t>
      </w:r>
      <w:r w:rsidRPr="00463957">
        <w:t xml:space="preserve"> die niet het bedrijf van financiële instellin</w:t>
      </w:r>
      <w:r>
        <w:t>g, bank of verzekeraar uitoefenen.</w:t>
      </w:r>
      <w:r w:rsidRPr="00463957">
        <w:t xml:space="preserve"> </w:t>
      </w:r>
    </w:p>
  </w:footnote>
  <w:footnote w:id="17">
    <w:p w:rsidR="004F6873" w:rsidRDefault="00D47A6C" w:rsidP="004F6873">
      <w:pPr>
        <w:pStyle w:val="Voetnoottekst"/>
      </w:pPr>
      <w:r>
        <w:rPr>
          <w:rStyle w:val="Voetnootmarkering"/>
        </w:rPr>
        <w:footnoteRef/>
      </w:r>
      <w:r>
        <w:tab/>
        <w:t xml:space="preserve">Er geldt ingevolge artikel 1:114, derde lid, een uitzondering indien de hoofdactiviteit van de groep niet bestaat uit het aanbieden van financiële producten, het verlenen van financiële diensten, het verlenen van beleggingsdiensten of het verrichten van beleggingsactiviteiten. </w:t>
      </w:r>
    </w:p>
  </w:footnote>
  <w:footnote w:id="18">
    <w:p w:rsidR="004F6873" w:rsidRDefault="00D47A6C" w:rsidP="004F6873">
      <w:pPr>
        <w:pStyle w:val="Voetnoottekst"/>
      </w:pPr>
      <w:r>
        <w:rPr>
          <w:rStyle w:val="Voetnootmarkering"/>
        </w:rPr>
        <w:footnoteRef/>
      </w:r>
      <w:r>
        <w:tab/>
        <w:t>Memorie van toelichting, algemeen deel, paragraaf 11.</w:t>
      </w:r>
    </w:p>
  </w:footnote>
  <w:footnote w:id="19">
    <w:p w:rsidR="004F6873" w:rsidRDefault="00D47A6C" w:rsidP="004F6873">
      <w:pPr>
        <w:pStyle w:val="Voetnoottekst"/>
      </w:pPr>
      <w:r>
        <w:rPr>
          <w:rStyle w:val="Voetnootmarkering"/>
        </w:rPr>
        <w:footnoteRef/>
      </w:r>
      <w:r>
        <w:t xml:space="preserve">  Memorie van toelichting, algemeen deel, paragraaf 5b. </w:t>
      </w:r>
    </w:p>
  </w:footnote>
  <w:footnote w:id="20">
    <w:p w:rsidR="004F6873" w:rsidRDefault="00D47A6C" w:rsidP="004F6873">
      <w:pPr>
        <w:pStyle w:val="Voetnoottekst"/>
      </w:pPr>
      <w:r>
        <w:rPr>
          <w:rStyle w:val="Voetnootmarkering"/>
        </w:rPr>
        <w:footnoteRef/>
      </w:r>
      <w:r>
        <w:tab/>
        <w:t xml:space="preserve">Memorie van toelichting, algemeen deel, paragraaf 3. </w:t>
      </w:r>
    </w:p>
  </w:footnote>
  <w:footnote w:id="21">
    <w:p w:rsidR="004F6873" w:rsidRDefault="00D47A6C" w:rsidP="004F6873">
      <w:pPr>
        <w:pStyle w:val="Voetnoottekst"/>
      </w:pPr>
      <w:r>
        <w:rPr>
          <w:rStyle w:val="Voetnootmarkering"/>
        </w:rPr>
        <w:footnoteRef/>
      </w:r>
      <w:r>
        <w:tab/>
        <w:t xml:space="preserve">Memorie van toelichting, algemeen deel, paragraaf 11. </w:t>
      </w:r>
    </w:p>
  </w:footnote>
  <w:footnote w:id="22">
    <w:p w:rsidR="00C433CC" w:rsidRDefault="00D47A6C">
      <w:pPr>
        <w:pStyle w:val="Voetnoottekst"/>
      </w:pPr>
      <w:r>
        <w:rPr>
          <w:rStyle w:val="Voetnootmarkering"/>
        </w:rPr>
        <w:footnoteRef/>
      </w:r>
      <w:r>
        <w:tab/>
        <w:t xml:space="preserve">Dit geldt niet indien het een bijkantoor van een buitenlandse bank betreft, nu in dat geval ingevolge de richtlijn kapitaalvereisten de regels ter zake van de variabele beloning van het thuisland van de bank van toepassing zijn. </w:t>
      </w:r>
    </w:p>
  </w:footnote>
  <w:footnote w:id="23">
    <w:p w:rsidR="004F6873" w:rsidRDefault="00D47A6C" w:rsidP="004F6873">
      <w:pPr>
        <w:pStyle w:val="Voetnoottekst"/>
      </w:pPr>
      <w:r>
        <w:rPr>
          <w:rStyle w:val="Voetnootmarkering"/>
        </w:rPr>
        <w:footnoteRef/>
      </w:r>
      <w:r>
        <w:t xml:space="preserve">  Memorie van toelichting, algemeen deel, paragraaf 11. </w:t>
      </w:r>
    </w:p>
  </w:footnote>
  <w:footnote w:id="24">
    <w:p w:rsidR="004F6873" w:rsidRDefault="00D47A6C" w:rsidP="004F6873">
      <w:pPr>
        <w:pStyle w:val="Voetnoottekst"/>
      </w:pPr>
      <w:r>
        <w:rPr>
          <w:rStyle w:val="Voetnootmarkering"/>
        </w:rPr>
        <w:footnoteRef/>
      </w:r>
      <w:r>
        <w:t xml:space="preserve">  Memorie van toelichting, algemeen deel, paragraaf 11. </w:t>
      </w:r>
    </w:p>
  </w:footnote>
  <w:footnote w:id="25">
    <w:p w:rsidR="004F6873" w:rsidRDefault="00D47A6C" w:rsidP="004F6873">
      <w:pPr>
        <w:pStyle w:val="Voetnoottekst"/>
      </w:pPr>
      <w:r>
        <w:rPr>
          <w:rStyle w:val="Voetnootmarkering"/>
        </w:rPr>
        <w:footnoteRef/>
      </w:r>
      <w:r>
        <w:t xml:space="preserve">  </w:t>
      </w:r>
      <w:r w:rsidRPr="005579EA">
        <w:t xml:space="preserve">Memorie van toelichting, algemeen deel, paragraaf 11. </w:t>
      </w:r>
    </w:p>
  </w:footnote>
  <w:footnote w:id="26">
    <w:p w:rsidR="004F6873" w:rsidRDefault="00D47A6C" w:rsidP="004F6873">
      <w:pPr>
        <w:pStyle w:val="Voetnoottekst"/>
      </w:pPr>
      <w:r>
        <w:rPr>
          <w:rStyle w:val="Voetnootmarkering"/>
        </w:rPr>
        <w:footnoteRef/>
      </w:r>
      <w:r>
        <w:tab/>
        <w:t xml:space="preserve">Tenzij wordt gedoeld op een groep waar een bank met zetel in Nederland onderdeel van uitmaakt. Memorie van toelichting, algemeen deel, paragraaf 11. </w:t>
      </w:r>
    </w:p>
  </w:footnote>
  <w:footnote w:id="27">
    <w:p w:rsidR="004F6873" w:rsidRDefault="00D47A6C" w:rsidP="004F6873">
      <w:pPr>
        <w:pStyle w:val="Voetnoottekst"/>
      </w:pPr>
      <w:r>
        <w:rPr>
          <w:rStyle w:val="Voetnootmarkering"/>
        </w:rPr>
        <w:footnoteRef/>
      </w:r>
      <w:r>
        <w:t xml:space="preserve">  Memorie van toelichting, algemeen deel, paragraaf 8a. </w:t>
      </w:r>
    </w:p>
  </w:footnote>
  <w:footnote w:id="28">
    <w:p w:rsidR="00C31F82" w:rsidRDefault="00D47A6C" w:rsidP="00C31F82">
      <w:pPr>
        <w:pStyle w:val="Voetnoottekst"/>
      </w:pPr>
      <w:r>
        <w:rPr>
          <w:rStyle w:val="Voetnootmarkering"/>
        </w:rPr>
        <w:footnoteRef/>
      </w:r>
      <w:r>
        <w:tab/>
        <w:t>Memorie van toelichting, algemeen deel, paragraaf 8b.</w:t>
      </w:r>
    </w:p>
  </w:footnote>
  <w:footnote w:id="29">
    <w:p w:rsidR="0081400B" w:rsidRDefault="00D47A6C" w:rsidP="0081400B">
      <w:pPr>
        <w:pStyle w:val="Voetnoottekst"/>
      </w:pPr>
      <w:r>
        <w:rPr>
          <w:rStyle w:val="Voetnootmarkering"/>
        </w:rPr>
        <w:footnoteRef/>
      </w:r>
      <w:r>
        <w:t xml:space="preserve">  Memorie van toelichting, algemeen deel, paragraaf 8a. </w:t>
      </w:r>
    </w:p>
  </w:footnote>
  <w:footnote w:id="30">
    <w:p w:rsidR="0081400B" w:rsidRDefault="00D47A6C" w:rsidP="0081400B">
      <w:pPr>
        <w:pStyle w:val="Voetnoottekst"/>
      </w:pPr>
      <w:r>
        <w:rPr>
          <w:rStyle w:val="Voetnootmarkering"/>
        </w:rPr>
        <w:footnoteRef/>
      </w:r>
      <w:r>
        <w:tab/>
        <w:t xml:space="preserve">Hierna zal worden ingegaan op de verenigbaarheid van de voorstellen met het vrij verkeer van diensten, hetgeen wordt opgemerkt geldt mutatis mutandis evenzeer voor de verenigbaarheid met het vrij verkeer van vestiging. </w:t>
      </w:r>
    </w:p>
  </w:footnote>
  <w:footnote w:id="31">
    <w:p w:rsidR="0081400B" w:rsidRDefault="00D47A6C">
      <w:pPr>
        <w:pStyle w:val="Voetnoottekst"/>
      </w:pPr>
      <w:r>
        <w:rPr>
          <w:rStyle w:val="Voetnootmarkering"/>
        </w:rPr>
        <w:footnoteRef/>
      </w:r>
      <w:r>
        <w:t xml:space="preserve"> Zie onder meer het arrest van het HvJEG in zaak </w:t>
      </w:r>
      <w:r w:rsidRPr="0081400B">
        <w:t>C-470/03</w:t>
      </w:r>
    </w:p>
  </w:footnote>
  <w:footnote w:id="32">
    <w:p w:rsidR="00C31F82" w:rsidRDefault="00D47A6C">
      <w:pPr>
        <w:pStyle w:val="Voetnoottekst"/>
      </w:pPr>
      <w:r>
        <w:rPr>
          <w:rStyle w:val="Voetnootmarkering"/>
        </w:rPr>
        <w:footnoteRef/>
      </w:r>
      <w:r>
        <w:tab/>
        <w:t xml:space="preserve">Zie ook de memorie van toelichting bij de </w:t>
      </w:r>
      <w:r w:rsidRPr="00C31F82">
        <w:t>Implementatiewet richtlijn en verordening kapitaalvereisten</w:t>
      </w:r>
      <w:r>
        <w:t xml:space="preserve">, Kamerstukken II 2013/14 33 849, nr. 3, paragraaf 5.  </w:t>
      </w:r>
    </w:p>
  </w:footnote>
  <w:footnote w:id="33">
    <w:p w:rsidR="00C31F82" w:rsidRDefault="00D47A6C">
      <w:pPr>
        <w:pStyle w:val="Voetnoottekst"/>
      </w:pPr>
      <w:r>
        <w:rPr>
          <w:rStyle w:val="Voetnootmarkering"/>
        </w:rPr>
        <w:footnoteRef/>
      </w:r>
      <w:r>
        <w:tab/>
        <w:t xml:space="preserve">Memorie van toelichting, algemeen deel, paragraaf 11. </w:t>
      </w:r>
    </w:p>
  </w:footnote>
  <w:footnote w:id="34">
    <w:p w:rsidR="004F6873" w:rsidRDefault="00D47A6C" w:rsidP="004F6873">
      <w:pPr>
        <w:pStyle w:val="Voetnoottekst"/>
      </w:pPr>
      <w:r>
        <w:rPr>
          <w:rStyle w:val="Voetnootmarkering"/>
        </w:rPr>
        <w:footnoteRef/>
      </w:r>
      <w:r>
        <w:t xml:space="preserve">  Memorie van toelichting, algemeen deel, paragraaf 8a. </w:t>
      </w:r>
    </w:p>
  </w:footnote>
  <w:footnote w:id="35">
    <w:p w:rsidR="004F6873" w:rsidRDefault="00D47A6C" w:rsidP="004F6873">
      <w:pPr>
        <w:pStyle w:val="Voetnoottekst"/>
      </w:pPr>
      <w:r>
        <w:rPr>
          <w:rStyle w:val="Voetnootmarkering"/>
        </w:rPr>
        <w:footnoteRef/>
      </w:r>
      <w:r>
        <w:tab/>
        <w:t xml:space="preserve">Memorie van toelichting, algemeen deel, paragraaf 8b. </w:t>
      </w:r>
    </w:p>
  </w:footnote>
  <w:footnote w:id="36">
    <w:p w:rsidR="00425F14" w:rsidRDefault="00D47A6C">
      <w:pPr>
        <w:pStyle w:val="Voetnoottekst"/>
      </w:pPr>
      <w:r>
        <w:rPr>
          <w:rStyle w:val="Voetnootmarkering"/>
        </w:rPr>
        <w:footnoteRef/>
      </w:r>
      <w:r>
        <w:tab/>
        <w:t xml:space="preserve">Ten aanzien van de </w:t>
      </w:r>
      <w:r w:rsidRPr="00425F14">
        <w:t>verplichte</w:t>
      </w:r>
      <w:r>
        <w:t xml:space="preserve"> </w:t>
      </w:r>
      <w:r w:rsidRPr="00425F14">
        <w:t>terugvordering en aanpassing van variabele beloningen</w:t>
      </w:r>
      <w:r>
        <w:t xml:space="preserve"> geldt dit in ieder geval voor beloningen die voor inwerkingtreding van het voorstel zijn toegekend en wellicht ook zijn uitgekeerd en waarvoor op grond van het voorstel na inwerkingtreding de verplichting geldt deze te verlagen of terug te vorderen. </w:t>
      </w:r>
    </w:p>
  </w:footnote>
  <w:footnote w:id="37">
    <w:p w:rsidR="00FE7179" w:rsidRDefault="00D47A6C">
      <w:pPr>
        <w:pStyle w:val="Voetnoottekst"/>
      </w:pPr>
      <w:r>
        <w:rPr>
          <w:rStyle w:val="Voetnootmarkering"/>
        </w:rPr>
        <w:footnoteRef/>
      </w:r>
      <w:r>
        <w:t xml:space="preserve"> </w:t>
      </w:r>
      <w:r>
        <w:tab/>
        <w:t xml:space="preserve">Advies van de Afdeling advisering van de Raad van State van </w:t>
      </w:r>
      <w:r w:rsidRPr="00342EAE">
        <w:t xml:space="preserve">27 februari 2014 </w:t>
      </w:r>
      <w:r>
        <w:t xml:space="preserve">over de Wijzigingswet financiële markten 2015, </w:t>
      </w:r>
      <w:r w:rsidRPr="00342EAE">
        <w:t>W06.13.0468/III</w:t>
      </w:r>
      <w:r>
        <w:t xml:space="preserve">, n.n.g. </w:t>
      </w:r>
    </w:p>
  </w:footnote>
  <w:footnote w:id="38">
    <w:p w:rsidR="00FE7179" w:rsidRDefault="00D47A6C">
      <w:pPr>
        <w:pStyle w:val="Voetnoottekst"/>
      </w:pPr>
      <w:r>
        <w:rPr>
          <w:rStyle w:val="Voetnootmarkering"/>
        </w:rPr>
        <w:footnoteRef/>
      </w:r>
      <w:r>
        <w:t xml:space="preserve"> </w:t>
      </w:r>
      <w:r>
        <w:tab/>
      </w:r>
      <w:r w:rsidRPr="00425F14">
        <w:t xml:space="preserve">Daarin is in het eerste lid, onderdeel n, bepaald dat ‘de variabele beloning, inclusief het uitgestelde gedeelte, </w:t>
      </w:r>
      <w:r>
        <w:t xml:space="preserve"> </w:t>
      </w:r>
      <w:r w:rsidRPr="00425F14">
        <w:t>slechts wordt uitbetaald of verworven wanneer dit met de financiële toestand van de instelling in haar geheel te verenigen is en door de prestaties van de instelling, de bedrijfseenheid en het betrokken individu te rechtvaardigen is. Onverminderd de algemene beginselen van het nationale verbintenissen- en arbeidsrecht wordt de totale variabele beloning in het algemeen aanzienlijk verlaagd indien de instelling geringere of negatieve financiële prestaties levert, daarbij rekening houdend met zowel de huidige beloning als met de verlaging van uitbetalingen van eerder verdiende bedragen, onder meer door middel van malus- of terugvorderingsregelingen.Tot 100 % van de totale variabele beloning is onderworpen aan malus- of terugvorderingsregelingen. De instellingen</w:t>
      </w:r>
      <w:r>
        <w:t xml:space="preserve"> </w:t>
      </w:r>
      <w:r w:rsidRPr="00425F14">
        <w:t>stellen specifieke criteria voor de toepassing van malus- en verrekeningsregelingen vast. De criteria betreffen met name situaties waarin het personeelslid: i) zich op een dusdanige manier heeft gedragen, of verantwoordelijk was voor gedragingen die ertoe hebben geleid dat de instelling aanmerkelijke verliezen heeft geleden; ii) niet heeft voldaan aan passende normen inzake bekwaamheid en correct gedrag’.</w:t>
      </w:r>
    </w:p>
  </w:footnote>
  <w:footnote w:id="39">
    <w:p w:rsidR="004F6873" w:rsidRDefault="00D47A6C" w:rsidP="004F6873">
      <w:pPr>
        <w:pStyle w:val="Voetnoottekst"/>
      </w:pPr>
      <w:r>
        <w:rPr>
          <w:rStyle w:val="Voetnootmarkering"/>
        </w:rPr>
        <w:footnoteRef/>
      </w:r>
      <w:r>
        <w:tab/>
        <w:t xml:space="preserve">Artikel 94, eerste lid, onderdeel a. </w:t>
      </w:r>
    </w:p>
  </w:footnote>
  <w:footnote w:id="40">
    <w:p w:rsidR="004F6873" w:rsidRDefault="00D47A6C" w:rsidP="004F6873">
      <w:pPr>
        <w:pStyle w:val="Voetnoottekst"/>
      </w:pPr>
      <w:r>
        <w:rPr>
          <w:rStyle w:val="Voetnootmarkering"/>
        </w:rPr>
        <w:footnoteRef/>
      </w:r>
      <w:r>
        <w:t xml:space="preserve">  Memorie van toelichting, artikelsgewijze toelichting bij artikel 1:128.</w:t>
      </w:r>
    </w:p>
  </w:footnote>
  <w:footnote w:id="41">
    <w:p w:rsidR="002324FE" w:rsidRDefault="00D47A6C">
      <w:pPr>
        <w:pStyle w:val="Voetnoottekst"/>
      </w:pPr>
      <w:r>
        <w:rPr>
          <w:rStyle w:val="Voetnootmarkering"/>
        </w:rPr>
        <w:footnoteRef/>
      </w:r>
      <w:r>
        <w:t xml:space="preserve">  Memorie van toelichting, algemeen deel, paragraaf 6. </w:t>
      </w:r>
    </w:p>
  </w:footnote>
  <w:footnote w:id="42">
    <w:p w:rsidR="00531F3A" w:rsidRDefault="00D47A6C">
      <w:pPr>
        <w:pStyle w:val="Voetnoottekst"/>
      </w:pPr>
      <w:r>
        <w:rPr>
          <w:rStyle w:val="Voetnootmarkering"/>
        </w:rPr>
        <w:footnoteRef/>
      </w:r>
      <w:r>
        <w:tab/>
        <w:t xml:space="preserve">Memorie van toelichting, algemeen deel, paragraaf 11. </w:t>
      </w:r>
    </w:p>
  </w:footnote>
  <w:footnote w:id="43">
    <w:p w:rsidR="004F6873" w:rsidRDefault="00D47A6C" w:rsidP="004F6873">
      <w:pPr>
        <w:pStyle w:val="Voetnoottekst"/>
      </w:pPr>
      <w:r>
        <w:rPr>
          <w:rStyle w:val="Voetnootmarkering"/>
        </w:rPr>
        <w:footnoteRef/>
      </w:r>
      <w:r>
        <w:tab/>
        <w:t xml:space="preserve">Memorie van toelichting, artikelsgewijze toelichting bij artikel 1:123. </w:t>
      </w:r>
    </w:p>
  </w:footnote>
  <w:footnote w:id="44">
    <w:p w:rsidR="00587FD5" w:rsidRDefault="00D47A6C">
      <w:pPr>
        <w:pStyle w:val="Voetnoottekst"/>
      </w:pPr>
      <w:r>
        <w:rPr>
          <w:rStyle w:val="Voetnootmarkering"/>
        </w:rPr>
        <w:footnoteRef/>
      </w:r>
      <w:r>
        <w:t xml:space="preserve">  Memorie van toelichting, algemeen deel, paragraaf 5b.  </w:t>
      </w:r>
    </w:p>
  </w:footnote>
  <w:footnote w:id="45">
    <w:p w:rsidR="004F6873" w:rsidRDefault="00D47A6C" w:rsidP="004F6873">
      <w:pPr>
        <w:pStyle w:val="Voetnoottekst"/>
      </w:pPr>
      <w:r>
        <w:rPr>
          <w:rStyle w:val="Voetnootmarkering"/>
        </w:rPr>
        <w:footnoteRef/>
      </w:r>
      <w:r>
        <w:t xml:space="preserve">  Memorie van toelichting, artikelsgewijze toelichting bij artikel 1:125.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47A6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37B31">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37B3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6211"/>
    <w:multiLevelType w:val="hybridMultilevel"/>
    <w:tmpl w:val="EA80E412"/>
    <w:lvl w:ilvl="0" w:tplc="2088455E">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C7CD7"/>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D4C84"/>
    <w:rsid w:val="00411DBC"/>
    <w:rsid w:val="00554D49"/>
    <w:rsid w:val="005841EA"/>
    <w:rsid w:val="005E41CC"/>
    <w:rsid w:val="00635836"/>
    <w:rsid w:val="00636D17"/>
    <w:rsid w:val="00687984"/>
    <w:rsid w:val="006C5E3C"/>
    <w:rsid w:val="006D53BA"/>
    <w:rsid w:val="006E65EE"/>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37B31"/>
    <w:rsid w:val="00B82659"/>
    <w:rsid w:val="00B97BA6"/>
    <w:rsid w:val="00C5066A"/>
    <w:rsid w:val="00C50D4F"/>
    <w:rsid w:val="00C5589A"/>
    <w:rsid w:val="00C93CC0"/>
    <w:rsid w:val="00C94D31"/>
    <w:rsid w:val="00CA109A"/>
    <w:rsid w:val="00CE4655"/>
    <w:rsid w:val="00D2526B"/>
    <w:rsid w:val="00D47A6C"/>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C02F4D"/>
    <w:rPr>
      <w:vertAlign w:val="superscript"/>
    </w:rPr>
  </w:style>
  <w:style w:type="character" w:styleId="Verwijzingopmerking">
    <w:name w:val="annotation reference"/>
    <w:basedOn w:val="Standaardalinea-lettertype"/>
    <w:rsid w:val="00375AF5"/>
    <w:rPr>
      <w:sz w:val="16"/>
      <w:szCs w:val="16"/>
    </w:rPr>
  </w:style>
  <w:style w:type="paragraph" w:styleId="Tekstopmerking">
    <w:name w:val="annotation text"/>
    <w:basedOn w:val="Standaard"/>
    <w:link w:val="TekstopmerkingChar"/>
    <w:rsid w:val="00375AF5"/>
    <w:rPr>
      <w:sz w:val="20"/>
      <w:szCs w:val="20"/>
    </w:rPr>
  </w:style>
  <w:style w:type="character" w:customStyle="1" w:styleId="TekstopmerkingChar">
    <w:name w:val="Tekst opmerking Char"/>
    <w:basedOn w:val="Standaardalinea-lettertype"/>
    <w:link w:val="Tekstopmerking"/>
    <w:rsid w:val="00375AF5"/>
    <w:rPr>
      <w:rFonts w:ascii="Univers" w:hAnsi="Univers"/>
    </w:rPr>
  </w:style>
  <w:style w:type="paragraph" w:styleId="Onderwerpvanopmerking">
    <w:name w:val="annotation subject"/>
    <w:basedOn w:val="Tekstopmerking"/>
    <w:next w:val="Tekstopmerking"/>
    <w:link w:val="OnderwerpvanopmerkingChar"/>
    <w:rsid w:val="00375AF5"/>
    <w:rPr>
      <w:b/>
      <w:bCs/>
    </w:rPr>
  </w:style>
  <w:style w:type="character" w:customStyle="1" w:styleId="OnderwerpvanopmerkingChar">
    <w:name w:val="Onderwerp van opmerking Char"/>
    <w:basedOn w:val="TekstopmerkingChar"/>
    <w:link w:val="Onderwerpvanopmerking"/>
    <w:rsid w:val="00375AF5"/>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C02F4D"/>
    <w:rPr>
      <w:vertAlign w:val="superscript"/>
    </w:rPr>
  </w:style>
  <w:style w:type="character" w:styleId="Verwijzingopmerking">
    <w:name w:val="annotation reference"/>
    <w:basedOn w:val="Standaardalinea-lettertype"/>
    <w:rsid w:val="00375AF5"/>
    <w:rPr>
      <w:sz w:val="16"/>
      <w:szCs w:val="16"/>
    </w:rPr>
  </w:style>
  <w:style w:type="paragraph" w:styleId="Tekstopmerking">
    <w:name w:val="annotation text"/>
    <w:basedOn w:val="Standaard"/>
    <w:link w:val="TekstopmerkingChar"/>
    <w:rsid w:val="00375AF5"/>
    <w:rPr>
      <w:sz w:val="20"/>
      <w:szCs w:val="20"/>
    </w:rPr>
  </w:style>
  <w:style w:type="character" w:customStyle="1" w:styleId="TekstopmerkingChar">
    <w:name w:val="Tekst opmerking Char"/>
    <w:basedOn w:val="Standaardalinea-lettertype"/>
    <w:link w:val="Tekstopmerking"/>
    <w:rsid w:val="00375AF5"/>
    <w:rPr>
      <w:rFonts w:ascii="Univers" w:hAnsi="Univers"/>
    </w:rPr>
  </w:style>
  <w:style w:type="paragraph" w:styleId="Onderwerpvanopmerking">
    <w:name w:val="annotation subject"/>
    <w:basedOn w:val="Tekstopmerking"/>
    <w:next w:val="Tekstopmerking"/>
    <w:link w:val="OnderwerpvanopmerkingChar"/>
    <w:rsid w:val="00375AF5"/>
    <w:rPr>
      <w:b/>
      <w:bCs/>
    </w:rPr>
  </w:style>
  <w:style w:type="character" w:customStyle="1" w:styleId="OnderwerpvanopmerkingChar">
    <w:name w:val="Onderwerp van opmerking Char"/>
    <w:basedOn w:val="TekstopmerkingChar"/>
    <w:link w:val="Onderwerpvanopmerking"/>
    <w:rsid w:val="00375AF5"/>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8055</ap:Words>
  <ap:Characters>46221</ap:Characters>
  <ap:DocSecurity>0</ap:DocSecurity>
  <ap:Lines>385</ap:Lines>
  <ap:Paragraphs>108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2014-04-11T14:08:00.0000000Z</lastPrinted>
  <dcterms:created xsi:type="dcterms:W3CDTF">2014-06-16T14:56:00.0000000Z</dcterms:created>
  <dcterms:modified xsi:type="dcterms:W3CDTF">2014-06-16T14:56:00.0000000Z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0x0101002AF6EA9DB766D748A42ECF1D0C4F723B</vt:lpwstr>
  </property>
</Properties>
</file>