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53D6EB0" wp14:anchorId="4B1950C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23B0F04" wp14:anchorId="40CC21D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W03.14.0033/II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maart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F65AD" w:rsidRDefault="00A07A8F">
              <w:r>
                <w:t>Bij Kabinetsmissive van 13 februari 2014, no.2014000339, heeft Uwe Majesteit, op voordracht van de Minister van Veiligheid en Justitie, bij de Afdeling advisering van de Raad van State ter overweging aanhangig gemaakt het voorstel van wet tot wijziging van het Wetboek van Burgerlijke Rechtsvordering en enige andere wetten in verband met bekendmakingen aan personen zonder bekende woon- of verblijfplaats, met memorie van toelichting.</w:t>
              </w:r>
            </w:p>
          </w:sdtContent>
        </w:sdt>
        <w:p w:rsidR="0071031E" w:rsidRDefault="0071031E"/>
        <w:sdt>
          <w:sdtPr>
            <w:alias w:val="VrijeTekst1"/>
            <w:tag w:val="VrijeTekst1"/>
            <w:id w:val="-437221631"/>
            <w:lock w:val="sdtLocked"/>
          </w:sdtPr>
          <w:sdtEndPr/>
          <w:sdtContent>
            <w:p w:rsidR="000F652F" w:rsidP="000F652F" w:rsidRDefault="00A07A8F">
              <w:r>
                <w:t xml:space="preserve">Het wetsvoorstel regelt dat bekendmakingen aan personen zonder bekende woon- of verblijfplaats elektronisch worden gedaan in de Staatscourant. Deze publicaties vinden thans in dagbladen plaats. Het gaat om de volgende categorieën publicaties: (a) uittreksels van exploten op grond van artikel 54 Wetboek van Burgerlijke Rechtsvordering (Rv), (b) oproepingen van belanghebbenden in civiele verzoekschriftprocedures (artikel 272 Rv), (c) bekendmaking van oproepingen van verkeersovertreders in het kader van gijzeling op grond van artikel 28 Wet administratieve handhaving verkeersvoorschriften (Wahv) en (d) oproepingen in het kader van gijzeling van degene aan wie in een strafbeschikking een geldboete is opgelegd (artikel 578b Wetboek van Strafvordering). </w:t>
              </w:r>
            </w:p>
            <w:p w:rsidR="000F652F" w:rsidP="000F652F" w:rsidRDefault="00464389"/>
            <w:p w:rsidR="000F652F" w:rsidP="000F652F" w:rsidRDefault="00A07A8F">
              <w:r w:rsidRPr="00964B3A">
                <w:t>De Afdeling advisering van de Raad van State onderschrijft de strekking van het wetsvoorstel, maar maakt opmerkingen over</w:t>
              </w:r>
              <w:r>
                <w:t xml:space="preserve"> het feit dat de rechter kan bepalen dat de oproeping tevens op andere wijze dan in de Staatscourant geschiedt en over de inspanningsverplichting om de feitelijke verblijfplaats van betrokkenen te achterhalen</w:t>
              </w:r>
              <w:r w:rsidRPr="00964B3A">
                <w:t xml:space="preserve">. </w:t>
              </w:r>
            </w:p>
            <w:p w:rsidR="00964B3A" w:rsidP="000F652F" w:rsidRDefault="00464389"/>
            <w:p w:rsidR="000F652F" w:rsidP="000F652F" w:rsidRDefault="00A07A8F">
              <w:r>
                <w:t>1.</w:t>
              </w:r>
              <w:r>
                <w:tab/>
              </w:r>
              <w:r w:rsidRPr="005F1372">
                <w:rPr>
                  <w:u w:val="single"/>
                </w:rPr>
                <w:t>Oproeping “op andere wijze”</w:t>
              </w:r>
              <w:r>
                <w:t xml:space="preserve"> </w:t>
              </w:r>
            </w:p>
            <w:p w:rsidR="000F652F" w:rsidP="000F652F" w:rsidRDefault="00464389"/>
            <w:p w:rsidR="000F652F" w:rsidP="000F652F" w:rsidRDefault="00A07A8F">
              <w:r>
                <w:t>Het voorgestelde artikel 272 Rv bepaalt dat de oproeping van niet in de procedure verschenen belanghebbenden van wie de woonplaats of het werkelijk verblijf onbekend zijn, geschiedt door plaatsing van de oproeping in de Staatscourant. Voorts is bepaald dat “de rechter kan bepalen dat de oproeping tevens op andere wijze geschiedt”. De toelichting vermeldt dat deze laatste zin is toegevoegd naar aanleiding van het advies van de Raad voor de rechtspraak. Er zijn situaties denkbaar waarin verwacht kan worden dat een oproeping via een ander medium meer kans op succes heeft dan (alleen) in de Staatscourant, aldus de Raad voor de rechtspraak.</w:t>
              </w:r>
              <w:r>
                <w:rPr>
                  <w:rStyle w:val="Voetnootmarkering"/>
                </w:rPr>
                <w:footnoteReference w:id="1"/>
              </w:r>
            </w:p>
            <w:p w:rsidR="000F652F" w:rsidP="000F652F" w:rsidRDefault="00464389"/>
            <w:p w:rsidR="000F652F" w:rsidP="000F652F" w:rsidRDefault="00A07A8F">
              <w:r>
                <w:t>De Afdeling merkt op dat de toelichting niet ingaat op de vraag wat verstaan moet worden onder oproeping “op andere wijze”. Naast oproeping door middel van een advertentie in een dagblad, kan het ook gaan om oproeping via bijvoorbeeld social media. Bij dit laatste is, net als bij plaatsing in de Staatscourant, sprake van elektronische verwerking van persoonsgegevens. Voor plaatsing in de Staatscourant zijn in de toelichting maatregelen aangekondigd teneinde de inbreuk op de persoonlijke levenssfeer zo veel mogelijk te beperken. Door deze maatregelen zal de doorzoekbaarheid van deze bekendmakingen op internet worden beperkt.</w:t>
              </w:r>
              <w:r>
                <w:rPr>
                  <w:rStyle w:val="Voetnootmarkering"/>
                </w:rPr>
                <w:footnoteReference w:id="2"/>
              </w:r>
              <w:r>
                <w:t xml:space="preserve"> Deze </w:t>
              </w:r>
              <w:r>
                <w:lastRenderedPageBreak/>
                <w:t xml:space="preserve">maatregelen gelden echter niet ten aanzien van de oproepingen op andere wijze via bijvoorbeeld social media. De vraag rijst hoe dan inbreuken op de persoonlijke levenssfeer zoveel mogelijk worden beperkt. </w:t>
              </w:r>
            </w:p>
            <w:p w:rsidR="000F652F" w:rsidP="000F652F" w:rsidRDefault="00464389"/>
            <w:p w:rsidR="000F652F" w:rsidP="000F652F" w:rsidRDefault="00A07A8F">
              <w:r>
                <w:t>De Afdeling adviseert in de toelichting op het voorgaande in te gaan en het voorstel zo nodig aan te passen.</w:t>
              </w:r>
            </w:p>
            <w:p w:rsidR="000F652F" w:rsidP="000F652F" w:rsidRDefault="00464389"/>
            <w:p w:rsidR="000F652F" w:rsidP="000F652F" w:rsidRDefault="00A07A8F">
              <w:r>
                <w:t>2.</w:t>
              </w:r>
              <w:r>
                <w:tab/>
              </w:r>
              <w:r w:rsidRPr="005F1372">
                <w:rPr>
                  <w:u w:val="single"/>
                </w:rPr>
                <w:t>Feitelijke verblijfplaats</w:t>
              </w:r>
              <w:r>
                <w:t xml:space="preserve"> </w:t>
              </w:r>
            </w:p>
            <w:p w:rsidR="000F652F" w:rsidP="000F652F" w:rsidRDefault="00464389"/>
            <w:p w:rsidR="000F652F" w:rsidP="000F652F" w:rsidRDefault="00A07A8F">
              <w:r>
                <w:t>Het wetsvoorstel gaat over de betekening aan en de oproeping van personen zonder bekende woon- of verblijfplaats. Daarbij is van belang dat, alvorens wordt overgegaan tot openbare betekening, een zekere inspanning wordt verricht om betrokkene te traceren. Indien betrokkene blijkens de basisregistratie personen geen bekende woonplaats heeft, dan dient het feitelijke adres van betrokkene te worden achterhaald. De toelichting verwijst hierbij naar het advies van de Koninklijke Beroepsorganisatie van Gerechtsdeurwaarders en stelt dat de deurwaarder niet alleen zal afgaan op hetgeen hij bij de raadpleging van de basisregistratie verneemt. Hij zal trachten het feitelijk adres van betrokkene te achterhalen.</w:t>
              </w:r>
              <w:r>
                <w:rPr>
                  <w:rStyle w:val="Voetnootmarkering"/>
                </w:rPr>
                <w:footnoteReference w:id="3"/>
              </w:r>
            </w:p>
            <w:p w:rsidR="000F652F" w:rsidP="000F652F" w:rsidRDefault="00A07A8F">
              <w:r>
                <w:t xml:space="preserve">De Afdeling merkt op dat het hier om een inspanningsverplichting gaat die zowel in het kader van de betekening van exploten van belang is, als bij oproepingen in civiele verzoekschriftprocedures en oproepingen in het kader van een gijzeling op grond van de Wahv en Wetboek van Strafvordering. De vraag die in dit verband opkomt is hoe is verzekerd dat deze inspanningsverplichting om de feitelijke verblijfplaats te achterhalen wordt nagekomen. </w:t>
              </w:r>
            </w:p>
            <w:p w:rsidR="000F652F" w:rsidP="000F652F" w:rsidRDefault="00464389"/>
            <w:p w:rsidR="000F652F" w:rsidP="000F652F" w:rsidRDefault="00A07A8F">
              <w:r>
                <w:t xml:space="preserve">De Afdeling adviseert in de toelichting op het voorgaande in te gaan en het voorstel zo nodig aan te passen.  </w:t>
              </w:r>
            </w:p>
            <w:p w:rsidR="0031089B" w:rsidP="00FF035E" w:rsidRDefault="00464389"/>
          </w:sdtContent>
        </w:sdt>
        <w:p w:rsidR="003A1FC7" w:rsidRDefault="003A1FC7"/>
        <w:sdt>
          <w:sdtPr>
            <w:alias w:val="Dictum"/>
            <w:tag w:val="Dictum"/>
            <w:id w:val="1621489950"/>
            <w:lock w:val="sdtContentLocked"/>
            <w:placeholder>
              <w:docPart w:val="DefaultPlaceholder_1082065158"/>
            </w:placeholder>
            <w:text w:multiLine="1"/>
          </w:sdtPr>
          <w:sdtEndPr/>
          <w:sdtContent>
            <w:p w:rsidR="00EF65AD" w:rsidRDefault="00A07A8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EF65A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C7ED6E8" wp14:editId="59078328">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07A8F" w:rsidP="005B3E03">
      <w:r>
        <w:separator/>
      </w:r>
    </w:p>
    <w:p w:rsidR="002D0ACF" w:rsidRDefault="00464389"/>
  </w:footnote>
  <w:footnote w:type="continuationSeparator" w:id="0">
    <w:p w:rsidR="00847094" w:rsidRDefault="00A07A8F" w:rsidP="005B3E03">
      <w:r>
        <w:continuationSeparator/>
      </w:r>
    </w:p>
    <w:p w:rsidR="002D0ACF" w:rsidRDefault="00464389"/>
  </w:footnote>
  <w:footnote w:id="1">
    <w:p w:rsidR="000F652F" w:rsidRDefault="00A07A8F" w:rsidP="000F652F">
      <w:pPr>
        <w:pStyle w:val="Voetnoottekst"/>
      </w:pPr>
      <w:r>
        <w:rPr>
          <w:rStyle w:val="Voetnootmarkering"/>
        </w:rPr>
        <w:footnoteRef/>
      </w:r>
      <w:r>
        <w:tab/>
        <w:t>Artikelsgewijze toelichting op artikel I, onderdeel B.</w:t>
      </w:r>
    </w:p>
  </w:footnote>
  <w:footnote w:id="2">
    <w:p w:rsidR="000F652F" w:rsidRDefault="00A07A8F" w:rsidP="000F652F">
      <w:pPr>
        <w:pStyle w:val="Voetnoottekst"/>
      </w:pPr>
      <w:r>
        <w:rPr>
          <w:rStyle w:val="Voetnootmarkering"/>
        </w:rPr>
        <w:footnoteRef/>
      </w:r>
      <w:r>
        <w:tab/>
        <w:t>Volgens de toelichting zal de tekstuele inhoud van de bekendmaking niet zonder meer door zoekmachines zoals Google kunnen worden geïndexeerd. Verder zullen de gegevens slechts een beperkte termijn (vier maanden) doorzoekbaar zijn op naam. Zie memorie van toelichting, par. 4. Bescherming persoonsgegevens, tweede tekstblok.</w:t>
      </w:r>
    </w:p>
  </w:footnote>
  <w:footnote w:id="3">
    <w:p w:rsidR="000F652F" w:rsidRDefault="00A07A8F" w:rsidP="000F652F">
      <w:pPr>
        <w:pStyle w:val="Voetnoottekst"/>
      </w:pPr>
      <w:r>
        <w:rPr>
          <w:rStyle w:val="Voetnootmarkering"/>
        </w:rPr>
        <w:footnoteRef/>
      </w:r>
      <w:r>
        <w:tab/>
        <w:t>Memorie van toelichting, punt 5. Consultatie, laatste tekstblok.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8657F">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64389"/>
    <w:rsid w:val="004C120D"/>
    <w:rsid w:val="00503044"/>
    <w:rsid w:val="006D3E6B"/>
    <w:rsid w:val="0071031E"/>
    <w:rsid w:val="00724C4B"/>
    <w:rsid w:val="00743D19"/>
    <w:rsid w:val="00831756"/>
    <w:rsid w:val="009E72D2"/>
    <w:rsid w:val="00A07A8F"/>
    <w:rsid w:val="00A349AF"/>
    <w:rsid w:val="00AA44F3"/>
    <w:rsid w:val="00B03C96"/>
    <w:rsid w:val="00B44919"/>
    <w:rsid w:val="00C02F92"/>
    <w:rsid w:val="00C5066A"/>
    <w:rsid w:val="00C50D4F"/>
    <w:rsid w:val="00C94D31"/>
    <w:rsid w:val="00D32A9E"/>
    <w:rsid w:val="00D76613"/>
    <w:rsid w:val="00D8657F"/>
    <w:rsid w:val="00DE075A"/>
    <w:rsid w:val="00DE1A79"/>
    <w:rsid w:val="00DF6602"/>
    <w:rsid w:val="00E722B1"/>
    <w:rsid w:val="00E905C7"/>
    <w:rsid w:val="00EF65A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53BDD"/>
    <w:rPr>
      <w:vertAlign w:val="superscript"/>
    </w:rPr>
  </w:style>
  <w:style w:type="paragraph" w:styleId="Revisie">
    <w:name w:val="Revision"/>
    <w:hidden/>
    <w:uiPriority w:val="99"/>
    <w:semiHidden/>
    <w:rsid w:val="000F652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53BDD"/>
    <w:rPr>
      <w:vertAlign w:val="superscript"/>
    </w:rPr>
  </w:style>
  <w:style w:type="paragraph" w:styleId="Revisie">
    <w:name w:val="Revision"/>
    <w:hidden/>
    <w:uiPriority w:val="99"/>
    <w:semiHidden/>
    <w:rsid w:val="000F652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733</ap:Words>
  <ap:Characters>4033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2014-06-06T11:14:00.0000000Z</dcterms:created>
  <dcterms:modified xsi:type="dcterms:W3CDTF">2014-06-06T11:14:00.0000000Z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0x010100C3BD1158861B5440A1758C59479C5CE5</vt:lpwstr>
  </property>
</Properties>
</file>