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209F0" w:rsidR="004209F0" w:rsidP="004209F0" w:rsidRDefault="004209F0">
      <w:pPr>
        <w:rPr>
          <w:rFonts w:ascii="Arial" w:hAnsi="Arial"/>
          <w:sz w:val="22"/>
        </w:rPr>
      </w:pPr>
      <w:r w:rsidRPr="004209F0">
        <w:rPr>
          <w:rFonts w:ascii="Arial" w:hAnsi="Arial"/>
          <w:b/>
          <w:sz w:val="22"/>
        </w:rPr>
        <w:t>INITIATIEF RONDETAFELGESPREK/HOORZITTING</w:t>
      </w:r>
    </w:p>
    <w:p w:rsidRPr="004209F0" w:rsidR="004209F0" w:rsidP="004209F0" w:rsidRDefault="004209F0">
      <w:pPr>
        <w:rPr>
          <w:rFonts w:ascii="Arial" w:hAnsi="Arial"/>
          <w:sz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iCs/>
                <w:sz w:val="22"/>
                <w:szCs w:val="22"/>
              </w:rPr>
              <w:t>Initiatiefnemer: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>Raymond Knops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iCs/>
                <w:sz w:val="22"/>
                <w:szCs w:val="22"/>
              </w:rPr>
              <w:t>Rondetafelgesprek / Hoorzitting: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Ronde Tafel</w:t>
            </w:r>
            <w:bookmarkStart w:name="_GoBack" w:id="0"/>
            <w:bookmarkEnd w:id="0"/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iCs/>
                <w:sz w:val="22"/>
                <w:szCs w:val="22"/>
              </w:rPr>
              <w:t>Openbaar / Besloten: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>Openbaar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iCs/>
                <w:sz w:val="22"/>
                <w:szCs w:val="22"/>
              </w:rPr>
              <w:t>Onderwerp: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Bouwsparen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iCs/>
                <w:sz w:val="22"/>
                <w:szCs w:val="22"/>
              </w:rPr>
              <w:t>Deelvragen en doel: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 xml:space="preserve">In andere landen kent men Bouwsparen als middel om het eigen woningbezit in goede banen te leiden. 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 xml:space="preserve">Is Bouwsparen ook in Nederland succesvol in te voeren, en zo ja, hoe zou dat dan moeten? 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 xml:space="preserve">Is er voor de introductie van Bouwsparen een wettelijk kader nodig en horen daar passende stimuleringsmaatregelen bij? Wat zijn de economische effecten en de (balans)effecten op de begroting? 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 xml:space="preserve">Mag Bouwsparen in combinatie met andere bankproducten van universele banken mag worden aangeboden omdat Bouwsparen onafhankelijk is van de kapitaalmarkt moet zijn? 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>Wat zijn daar de gevolgen van (hoogte rente)?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iCs/>
                <w:sz w:val="22"/>
                <w:szCs w:val="22"/>
              </w:rPr>
              <w:t>Heeft het bouwsparen heeft een positief effect op de bouwproductie en de werkgelegenheid?</w:t>
            </w: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sz w:val="22"/>
                <w:szCs w:val="22"/>
              </w:rPr>
              <w:t>Blokindeling:</w:t>
            </w:r>
          </w:p>
        </w:tc>
        <w:tc>
          <w:tcPr>
            <w:tcW w:w="6676" w:type="dxa"/>
            <w:shd w:val="clear" w:color="auto" w:fill="auto"/>
          </w:tcPr>
          <w:p w:rsidR="004209F0" w:rsidP="004209F0" w:rsidRDefault="004209F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1- banken</w:t>
            </w:r>
          </w:p>
          <w:p w:rsidR="004209F0" w:rsidP="004209F0" w:rsidRDefault="004209F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2- deskundigen</w:t>
            </w:r>
          </w:p>
          <w:p w:rsidRPr="004209F0" w:rsidR="004209F0" w:rsidP="004209F0" w:rsidRDefault="004209F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3- koepels en toezicht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sz w:val="22"/>
                <w:szCs w:val="22"/>
              </w:rPr>
              <w:t>Maximaal aantal genodigden (per blok):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sz w:val="22"/>
                <w:szCs w:val="22"/>
              </w:rPr>
              <w:t>Tijdsduur: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C70F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3,0 uur </w:t>
            </w: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Pr="004209F0" w:rsidR="004209F0" w:rsidTr="00585A44">
        <w:tc>
          <w:tcPr>
            <w:tcW w:w="2808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09F0">
              <w:rPr>
                <w:rFonts w:ascii="Arial" w:hAnsi="Arial" w:cs="Arial"/>
                <w:b/>
                <w:sz w:val="22"/>
                <w:szCs w:val="22"/>
              </w:rPr>
              <w:t>Termijn voor plaatsvinden:</w:t>
            </w: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77676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Na zomerreces</w:t>
            </w:r>
          </w:p>
        </w:tc>
      </w:tr>
    </w:tbl>
    <w:p w:rsidR="004209F0" w:rsidP="004209F0" w:rsidRDefault="004209F0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  <w:sectPr w:rsidR="004209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4209F0" w:rsidR="004209F0" w:rsidTr="00585A44">
        <w:tc>
          <w:tcPr>
            <w:tcW w:w="2808" w:type="dxa"/>
            <w:shd w:val="clear" w:color="auto" w:fill="auto"/>
          </w:tcPr>
          <w:p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Pr="004209F0" w:rsidR="004209F0" w:rsidP="004209F0" w:rsidRDefault="004209F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Pr="004209F0" w:rsidR="001C6147" w:rsidP="001C6147" w:rsidRDefault="001C6147">
      <w:pPr>
        <w:rPr>
          <w:sz w:val="22"/>
          <w:szCs w:val="22"/>
        </w:rPr>
      </w:pPr>
    </w:p>
    <w:p w:rsidRPr="004209F0" w:rsidR="004209F0" w:rsidP="001C6147" w:rsidRDefault="004209F0">
      <w:pPr>
        <w:rPr>
          <w:b/>
          <w:sz w:val="22"/>
          <w:szCs w:val="22"/>
        </w:rPr>
        <w:sectPr w:rsidRPr="004209F0" w:rsidR="004209F0" w:rsidSect="004209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4209F0" w:rsidR="001C6147" w:rsidP="004209F0" w:rsidRDefault="001C6147">
      <w:pPr>
        <w:rPr>
          <w:rFonts w:ascii="Arial" w:hAnsi="Arial" w:cs="Arial"/>
          <w:b/>
          <w:sz w:val="22"/>
          <w:szCs w:val="22"/>
        </w:rPr>
      </w:pPr>
      <w:r w:rsidRPr="004209F0">
        <w:rPr>
          <w:rFonts w:ascii="Arial" w:hAnsi="Arial" w:cs="Arial"/>
          <w:b/>
          <w:sz w:val="22"/>
          <w:szCs w:val="22"/>
        </w:rPr>
        <w:lastRenderedPageBreak/>
        <w:t xml:space="preserve">Blok 1 </w:t>
      </w:r>
      <w:r w:rsidRPr="004209F0">
        <w:rPr>
          <w:rFonts w:ascii="Arial" w:hAnsi="Arial" w:cs="Arial"/>
          <w:sz w:val="22"/>
          <w:szCs w:val="22"/>
        </w:rPr>
        <w:t>Banken</w:t>
      </w:r>
      <w:r w:rsidRPr="004209F0" w:rsidR="004209F0">
        <w:rPr>
          <w:rFonts w:ascii="Arial" w:hAnsi="Arial" w:cs="Arial"/>
          <w:b/>
          <w:sz w:val="22"/>
          <w:szCs w:val="22"/>
        </w:rPr>
        <w:t>:</w:t>
      </w:r>
      <w:r w:rsidRPr="004209F0" w:rsidR="004209F0">
        <w:rPr>
          <w:rFonts w:ascii="Arial" w:hAnsi="Arial" w:cs="Arial"/>
          <w:sz w:val="22"/>
          <w:szCs w:val="22"/>
        </w:rPr>
        <w:t xml:space="preserve"> </w:t>
      </w:r>
      <w:r w:rsidRPr="004209F0">
        <w:rPr>
          <w:rFonts w:ascii="Arial" w:hAnsi="Arial" w:cs="Arial"/>
          <w:sz w:val="22"/>
          <w:szCs w:val="22"/>
        </w:rPr>
        <w:t>ABN AMRO</w:t>
      </w:r>
      <w:r w:rsidRPr="004209F0" w:rsidR="004209F0">
        <w:rPr>
          <w:rFonts w:ascii="Arial" w:hAnsi="Arial" w:cs="Arial"/>
          <w:b/>
          <w:sz w:val="22"/>
          <w:szCs w:val="22"/>
        </w:rPr>
        <w:t xml:space="preserve">, </w:t>
      </w:r>
      <w:r w:rsidRPr="004209F0">
        <w:rPr>
          <w:rFonts w:ascii="Arial" w:hAnsi="Arial" w:cs="Arial"/>
          <w:sz w:val="22"/>
          <w:szCs w:val="22"/>
        </w:rPr>
        <w:t>SNS</w:t>
      </w:r>
      <w:r w:rsidRPr="004209F0" w:rsidR="004209F0">
        <w:rPr>
          <w:rFonts w:ascii="Arial" w:hAnsi="Arial" w:cs="Arial"/>
          <w:b/>
          <w:sz w:val="22"/>
          <w:szCs w:val="22"/>
        </w:rPr>
        <w:t xml:space="preserve">, </w:t>
      </w:r>
      <w:r w:rsidRPr="004209F0">
        <w:rPr>
          <w:rFonts w:ascii="Arial" w:hAnsi="Arial" w:cs="Arial"/>
          <w:sz w:val="22"/>
          <w:szCs w:val="22"/>
        </w:rPr>
        <w:t>RABO</w:t>
      </w:r>
      <w:r w:rsidRPr="004209F0" w:rsidR="004209F0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4209F0">
        <w:rPr>
          <w:rFonts w:ascii="Arial" w:hAnsi="Arial" w:cs="Arial"/>
          <w:sz w:val="22"/>
          <w:szCs w:val="22"/>
        </w:rPr>
        <w:t>Schwäbisch</w:t>
      </w:r>
      <w:proofErr w:type="spellEnd"/>
      <w:r w:rsidRPr="004209F0">
        <w:rPr>
          <w:rFonts w:ascii="Arial" w:hAnsi="Arial" w:cs="Arial"/>
          <w:sz w:val="22"/>
          <w:szCs w:val="22"/>
        </w:rPr>
        <w:t xml:space="preserve"> Hall</w:t>
      </w:r>
      <w:r w:rsidR="00FD357E">
        <w:rPr>
          <w:rFonts w:ascii="Arial" w:hAnsi="Arial" w:cs="Arial"/>
          <w:sz w:val="22"/>
          <w:szCs w:val="22"/>
        </w:rPr>
        <w:t xml:space="preserve">, DNB en </w:t>
      </w:r>
      <w:proofErr w:type="spellStart"/>
      <w:r w:rsidR="00FD357E">
        <w:rPr>
          <w:rFonts w:ascii="Arial" w:hAnsi="Arial" w:cs="Arial"/>
          <w:sz w:val="22"/>
          <w:szCs w:val="22"/>
        </w:rPr>
        <w:t>NvB</w:t>
      </w:r>
      <w:proofErr w:type="spellEnd"/>
    </w:p>
    <w:p w:rsidRPr="004209F0" w:rsidR="001C6147" w:rsidP="001C6147" w:rsidRDefault="001C6147">
      <w:pPr>
        <w:rPr>
          <w:rFonts w:ascii="Arial" w:hAnsi="Arial" w:cs="Arial"/>
          <w:b/>
          <w:sz w:val="22"/>
          <w:szCs w:val="22"/>
        </w:rPr>
      </w:pPr>
    </w:p>
    <w:p w:rsidRPr="004209F0" w:rsidR="001C6147" w:rsidP="004209F0" w:rsidRDefault="001C6147">
      <w:pPr>
        <w:rPr>
          <w:rFonts w:ascii="Arial" w:hAnsi="Arial" w:cs="Arial"/>
          <w:sz w:val="22"/>
          <w:szCs w:val="22"/>
        </w:rPr>
      </w:pPr>
      <w:r w:rsidRPr="004209F0">
        <w:rPr>
          <w:rFonts w:ascii="Arial" w:hAnsi="Arial" w:cs="Arial"/>
          <w:b/>
          <w:sz w:val="22"/>
          <w:szCs w:val="22"/>
        </w:rPr>
        <w:t>Blok 2</w:t>
      </w:r>
      <w:r w:rsidRPr="004209F0">
        <w:rPr>
          <w:rFonts w:ascii="Arial" w:hAnsi="Arial" w:cs="Arial"/>
          <w:sz w:val="22"/>
          <w:szCs w:val="22"/>
        </w:rPr>
        <w:t xml:space="preserve"> Deskundigen</w:t>
      </w:r>
      <w:r w:rsidR="00FD357E">
        <w:rPr>
          <w:rFonts w:ascii="Arial" w:hAnsi="Arial" w:cs="Arial"/>
          <w:sz w:val="22"/>
          <w:szCs w:val="22"/>
        </w:rPr>
        <w:t>:</w:t>
      </w:r>
      <w:r w:rsidRPr="004209F0" w:rsidR="004209F0">
        <w:rPr>
          <w:rFonts w:ascii="Arial" w:hAnsi="Arial" w:cs="Arial"/>
          <w:sz w:val="22"/>
          <w:szCs w:val="22"/>
        </w:rPr>
        <w:t xml:space="preserve"> </w:t>
      </w:r>
      <w:r w:rsidRPr="004209F0">
        <w:rPr>
          <w:rFonts w:ascii="Arial" w:hAnsi="Arial" w:cs="Arial"/>
          <w:sz w:val="22"/>
          <w:szCs w:val="22"/>
        </w:rPr>
        <w:t>Prof Eijffinger</w:t>
      </w:r>
      <w:r w:rsidRPr="004209F0" w:rsidR="004209F0">
        <w:rPr>
          <w:rFonts w:ascii="Arial" w:hAnsi="Arial" w:cs="Arial"/>
          <w:sz w:val="22"/>
          <w:szCs w:val="22"/>
        </w:rPr>
        <w:t xml:space="preserve">, </w:t>
      </w:r>
      <w:r w:rsidRPr="004209F0" w:rsidR="00601683">
        <w:rPr>
          <w:rFonts w:ascii="Arial" w:hAnsi="Arial" w:cs="Arial"/>
          <w:sz w:val="22"/>
          <w:szCs w:val="22"/>
        </w:rPr>
        <w:t>Jan Bouwens Tilburg University</w:t>
      </w:r>
      <w:r w:rsidR="00FD357E">
        <w:rPr>
          <w:rFonts w:ascii="Arial" w:hAnsi="Arial" w:cs="Arial"/>
          <w:sz w:val="22"/>
          <w:szCs w:val="22"/>
        </w:rPr>
        <w:t xml:space="preserve"> en</w:t>
      </w:r>
      <w:r w:rsidRPr="004209F0" w:rsidR="004209F0">
        <w:rPr>
          <w:rFonts w:ascii="Arial" w:hAnsi="Arial" w:cs="Arial"/>
          <w:sz w:val="22"/>
          <w:szCs w:val="22"/>
        </w:rPr>
        <w:t xml:space="preserve"> </w:t>
      </w:r>
      <w:r w:rsidRPr="004209F0" w:rsidR="00601683">
        <w:rPr>
          <w:rFonts w:ascii="Arial" w:hAnsi="Arial" w:cs="Arial"/>
          <w:sz w:val="22"/>
          <w:szCs w:val="22"/>
        </w:rPr>
        <w:t>Peter Boelhouwer TU Delft</w:t>
      </w:r>
    </w:p>
    <w:p w:rsidRPr="004209F0" w:rsidR="001C6147" w:rsidP="001C6147" w:rsidRDefault="001C6147">
      <w:pPr>
        <w:rPr>
          <w:rFonts w:ascii="Arial" w:hAnsi="Arial" w:cs="Arial"/>
          <w:b/>
          <w:sz w:val="22"/>
          <w:szCs w:val="22"/>
        </w:rPr>
      </w:pPr>
    </w:p>
    <w:p w:rsidRPr="004209F0" w:rsidR="00553B9F" w:rsidP="004209F0" w:rsidRDefault="00601683">
      <w:pPr>
        <w:rPr>
          <w:rFonts w:ascii="Arial" w:hAnsi="Arial" w:cs="Arial"/>
          <w:sz w:val="22"/>
          <w:szCs w:val="22"/>
        </w:rPr>
      </w:pPr>
      <w:r w:rsidRPr="004209F0">
        <w:rPr>
          <w:rFonts w:ascii="Arial" w:hAnsi="Arial" w:cs="Arial"/>
          <w:b/>
          <w:sz w:val="22"/>
          <w:szCs w:val="22"/>
        </w:rPr>
        <w:t>Blok 3</w:t>
      </w:r>
      <w:r w:rsidRPr="004209F0">
        <w:rPr>
          <w:rFonts w:ascii="Arial" w:hAnsi="Arial" w:cs="Arial"/>
          <w:sz w:val="22"/>
          <w:szCs w:val="22"/>
        </w:rPr>
        <w:t xml:space="preserve"> </w:t>
      </w:r>
      <w:r w:rsidR="00FD357E">
        <w:rPr>
          <w:rFonts w:ascii="Arial" w:hAnsi="Arial" w:cs="Arial"/>
          <w:sz w:val="22"/>
          <w:szCs w:val="22"/>
        </w:rPr>
        <w:t>Overig:</w:t>
      </w:r>
      <w:r w:rsidRPr="004209F0" w:rsidR="00553B9F">
        <w:rPr>
          <w:rFonts w:ascii="Arial" w:hAnsi="Arial" w:cs="Arial"/>
          <w:sz w:val="22"/>
          <w:szCs w:val="22"/>
        </w:rPr>
        <w:t xml:space="preserve"> </w:t>
      </w:r>
      <w:r w:rsidR="00FD357E">
        <w:rPr>
          <w:rFonts w:ascii="Arial" w:hAnsi="Arial" w:cs="Arial"/>
          <w:sz w:val="22"/>
          <w:szCs w:val="22"/>
        </w:rPr>
        <w:t>CPB, Aannemersfederatie, Bouwend Nederland, Hypotheker en NVM</w:t>
      </w:r>
    </w:p>
    <w:p w:rsidRPr="004209F0" w:rsidR="004209F0" w:rsidP="00553B9F" w:rsidRDefault="004209F0">
      <w:pPr>
        <w:ind w:left="360"/>
        <w:rPr>
          <w:rFonts w:ascii="Arial" w:hAnsi="Arial" w:cs="Arial"/>
        </w:rPr>
        <w:sectPr w:rsidRPr="004209F0" w:rsidR="004209F0" w:rsidSect="004209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4209F0" w:rsidR="004209F0" w:rsidP="00553B9F" w:rsidRDefault="004209F0">
      <w:pPr>
        <w:ind w:left="360"/>
        <w:rPr>
          <w:rFonts w:ascii="Arial" w:hAnsi="Arial" w:cs="Arial"/>
        </w:rPr>
        <w:sectPr w:rsidRPr="004209F0" w:rsidR="004209F0" w:rsidSect="004209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4209F0" w:rsidR="00601683" w:rsidP="00553B9F" w:rsidRDefault="00601683">
      <w:pPr>
        <w:ind w:left="360"/>
        <w:rPr>
          <w:rFonts w:ascii="Arial" w:hAnsi="Arial" w:cs="Arial"/>
        </w:rPr>
      </w:pPr>
    </w:p>
    <w:sectPr w:rsidRPr="004209F0" w:rsidR="00601683" w:rsidSect="004209F0">
      <w:type w:val="continuous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A60"/>
    <w:multiLevelType w:val="hybridMultilevel"/>
    <w:tmpl w:val="F0A824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1F83"/>
    <w:multiLevelType w:val="hybridMultilevel"/>
    <w:tmpl w:val="44D059A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53865"/>
    <w:multiLevelType w:val="hybridMultilevel"/>
    <w:tmpl w:val="2E248B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4182E"/>
    <w:multiLevelType w:val="hybridMultilevel"/>
    <w:tmpl w:val="A426CF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03CD6"/>
    <w:multiLevelType w:val="hybridMultilevel"/>
    <w:tmpl w:val="5B4003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77F3A"/>
    <w:multiLevelType w:val="hybridMultilevel"/>
    <w:tmpl w:val="2C1CB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66D51"/>
    <w:multiLevelType w:val="hybridMultilevel"/>
    <w:tmpl w:val="30A0ED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47"/>
    <w:rsid w:val="001C6147"/>
    <w:rsid w:val="004209F0"/>
    <w:rsid w:val="00447C1A"/>
    <w:rsid w:val="004C70F2"/>
    <w:rsid w:val="00553B9F"/>
    <w:rsid w:val="00601683"/>
    <w:rsid w:val="00776760"/>
    <w:rsid w:val="009A32B8"/>
    <w:rsid w:val="00A814BF"/>
    <w:rsid w:val="00C70029"/>
    <w:rsid w:val="00E666C2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6147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6147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C7002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70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6147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6147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C7002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70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1140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2014-06-05T15:18:00.0000000Z</lastPrinted>
  <dcterms:created xsi:type="dcterms:W3CDTF">2014-06-05T15:17:00.0000000Z</dcterms:created>
  <dcterms:modified xsi:type="dcterms:W3CDTF">2014-06-05T15:22:00.0000000Z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0x010100946866D7B7AC5641AFC3547F6C5AB267</vt:lpwstr>
  </property>
</Properties>
</file>