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65" w:rsidP="00547B37" w:rsidRDefault="003B4489">
      <w:pPr>
        <w:rPr>
          <w:b/>
          <w:szCs w:val="18"/>
          <w:u w:val="single"/>
        </w:rPr>
      </w:pPr>
    </w:p>
    <w:p w:rsidR="00941E65" w:rsidP="00547B37" w:rsidRDefault="003B4489">
      <w:pPr>
        <w:rPr>
          <w:b/>
          <w:szCs w:val="18"/>
          <w:u w:val="single"/>
        </w:rPr>
      </w:pPr>
    </w:p>
    <w:p w:rsidR="00941E65" w:rsidP="00547B37" w:rsidRDefault="003B4489">
      <w:pPr>
        <w:rPr>
          <w:b/>
          <w:szCs w:val="18"/>
          <w:u w:val="single"/>
        </w:rPr>
      </w:pPr>
    </w:p>
    <w:p w:rsidR="00FF181D" w:rsidP="00547B37" w:rsidRDefault="003B4489">
      <w:pPr>
        <w:rPr>
          <w:szCs w:val="18"/>
        </w:rPr>
      </w:pPr>
      <w:r>
        <w:rPr>
          <w:b/>
          <w:szCs w:val="18"/>
          <w:u w:val="single"/>
        </w:rPr>
        <w:t xml:space="preserve">Taakopdracht Technische werkgroep </w:t>
      </w:r>
      <w:r>
        <w:rPr>
          <w:b/>
          <w:bCs/>
          <w:u w:val="single"/>
        </w:rPr>
        <w:t>Zorgkeuzes in Kaart (ZiK)</w:t>
      </w:r>
    </w:p>
    <w:p w:rsidR="00FF181D" w:rsidRDefault="003B4489">
      <w:pPr>
        <w:rPr>
          <w:szCs w:val="18"/>
        </w:rPr>
      </w:pPr>
    </w:p>
    <w:p w:rsidR="00ED2987" w:rsidRDefault="003B4489">
      <w:pPr>
        <w:rPr>
          <w:szCs w:val="18"/>
        </w:rPr>
      </w:pPr>
      <w:r>
        <w:rPr>
          <w:b/>
          <w:szCs w:val="18"/>
        </w:rPr>
        <w:t>Aanleiding</w:t>
      </w:r>
    </w:p>
    <w:p w:rsidR="000E60C2" w:rsidP="000E60C2" w:rsidRDefault="003B4489">
      <w:r>
        <w:t>In de evaluatie van Keuzes in Kaart (KiK) heeft het CPB</w:t>
      </w:r>
      <w:r>
        <w:t xml:space="preserve"> geconstateerd dat het wenselijk is om het draagvlak voor de zorganalyses te vergroten. Het CPB heeft de volgende maatregel geformuleerd:</w:t>
      </w:r>
    </w:p>
    <w:p w:rsidR="004F6EE5" w:rsidP="004F6EE5" w:rsidRDefault="003B4489">
      <w:pPr>
        <w:autoSpaceDE w:val="0"/>
        <w:autoSpaceDN w:val="0"/>
        <w:rPr>
          <w:iCs/>
        </w:rPr>
      </w:pPr>
      <w:r>
        <w:rPr>
          <w:iCs/>
        </w:rPr>
        <w:t>“</w:t>
      </w:r>
      <w:r w:rsidRPr="0007013D">
        <w:rPr>
          <w:iCs/>
        </w:rPr>
        <w:t>Verbetering van de analyse van voorstellen op het terrein van de zorg</w:t>
      </w:r>
      <w:r>
        <w:rPr>
          <w:iCs/>
        </w:rPr>
        <w:t xml:space="preserve"> is mogelijk</w:t>
      </w:r>
      <w:r w:rsidRPr="0007013D">
        <w:rPr>
          <w:iCs/>
        </w:rPr>
        <w:t xml:space="preserve"> door meer onderzoek, instigatie en </w:t>
      </w:r>
      <w:r w:rsidRPr="0007013D">
        <w:rPr>
          <w:iCs/>
        </w:rPr>
        <w:t>deelname aan expertgroepen op dit vlak</w:t>
      </w:r>
      <w:r w:rsidRPr="00000E89">
        <w:rPr>
          <w:iCs/>
        </w:rPr>
        <w:t xml:space="preserve">, </w:t>
      </w:r>
      <w:r w:rsidRPr="00860F5C">
        <w:rPr>
          <w:iCs/>
        </w:rPr>
        <w:t>alsmede het aanbod om grote innovatieve hervormingen buiten de verkiezingsperiode om te analyseren</w:t>
      </w:r>
      <w:r>
        <w:rPr>
          <w:iCs/>
        </w:rPr>
        <w:t>”</w:t>
      </w:r>
      <w:r w:rsidRPr="00860F5C">
        <w:rPr>
          <w:iCs/>
        </w:rPr>
        <w:t>.</w:t>
      </w:r>
    </w:p>
    <w:p w:rsidR="004F6EE5" w:rsidP="004F6EE5" w:rsidRDefault="003B4489">
      <w:pPr>
        <w:autoSpaceDE w:val="0"/>
        <w:autoSpaceDN w:val="0"/>
        <w:rPr>
          <w:szCs w:val="18"/>
        </w:rPr>
      </w:pPr>
      <w:r>
        <w:rPr>
          <w:iCs/>
        </w:rPr>
        <w:t xml:space="preserve"> </w:t>
      </w:r>
    </w:p>
    <w:p w:rsidRPr="002915D1" w:rsidR="002915D1" w:rsidRDefault="003B4489">
      <w:pPr>
        <w:rPr>
          <w:b/>
          <w:szCs w:val="18"/>
        </w:rPr>
      </w:pPr>
      <w:r>
        <w:rPr>
          <w:b/>
          <w:szCs w:val="18"/>
        </w:rPr>
        <w:t>De technische werkgroep</w:t>
      </w:r>
    </w:p>
    <w:p w:rsidR="00123A83" w:rsidP="00123A83" w:rsidRDefault="003B4489">
      <w:pPr>
        <w:rPr>
          <w:szCs w:val="18"/>
        </w:rPr>
      </w:pPr>
      <w:r>
        <w:rPr>
          <w:szCs w:val="18"/>
        </w:rPr>
        <w:t>De ministers van VWS en Financiën</w:t>
      </w:r>
      <w:r w:rsidRPr="00EC0A99">
        <w:rPr>
          <w:szCs w:val="18"/>
        </w:rPr>
        <w:t xml:space="preserve"> </w:t>
      </w:r>
      <w:r>
        <w:rPr>
          <w:szCs w:val="18"/>
        </w:rPr>
        <w:t>geven de opdracht om tezamen met het CPB een breed scal</w:t>
      </w:r>
      <w:r>
        <w:rPr>
          <w:szCs w:val="18"/>
        </w:rPr>
        <w:t>a aan beleidsopties voor de zorg te inventariseren en deze in een gezamenlijke technische werkgroep uit te werken als bijdrage aan het publieke debat over de toekomstige ontwikkeling van de gezondheidszorg. De technische werkgroep bestaat uit vertegenwoord</w:t>
      </w:r>
      <w:r>
        <w:rPr>
          <w:szCs w:val="18"/>
        </w:rPr>
        <w:t>igers van CPB, de ministeries van AZ, VWS, Financiën en EZ.</w:t>
      </w:r>
      <w:r w:rsidRPr="00B34430">
        <w:rPr>
          <w:szCs w:val="18"/>
        </w:rPr>
        <w:t xml:space="preserve"> </w:t>
      </w:r>
      <w:r>
        <w:rPr>
          <w:szCs w:val="18"/>
        </w:rPr>
        <w:t>Via expertsessies zullen externe deskundigen worden betrokken.</w:t>
      </w:r>
    </w:p>
    <w:p w:rsidR="004F6EE5" w:rsidP="00123A83" w:rsidRDefault="003B4489">
      <w:pPr>
        <w:rPr>
          <w:szCs w:val="18"/>
        </w:rPr>
      </w:pPr>
      <w:r>
        <w:rPr>
          <w:szCs w:val="18"/>
        </w:rPr>
        <w:t>De SG van VWS treedt op als voorzitter van deze werkgroep. Het CPB, VWS en Financiën zorgen voor een secretariaat, bestaande uit drie</w:t>
      </w:r>
      <w:r>
        <w:rPr>
          <w:szCs w:val="18"/>
        </w:rPr>
        <w:t xml:space="preserve"> leden en hun plaatsvervangers. </w:t>
      </w:r>
    </w:p>
    <w:p w:rsidR="00693FB9" w:rsidP="002915D1" w:rsidRDefault="003B4489">
      <w:pPr>
        <w:rPr>
          <w:szCs w:val="18"/>
        </w:rPr>
      </w:pPr>
      <w:r>
        <w:rPr>
          <w:szCs w:val="18"/>
        </w:rPr>
        <w:t xml:space="preserve">De leden van de technische werkgroep hebben de intentie om gezamenlijk tot overeenstemming te komen, maar houden hun eigen verantwoordelijkheid. </w:t>
      </w:r>
    </w:p>
    <w:p w:rsidR="00123A83" w:rsidP="00123A83" w:rsidRDefault="003B4489">
      <w:r>
        <w:rPr>
          <w:szCs w:val="18"/>
        </w:rPr>
        <w:t>De werkzaamheden vangen in het voorjaar van 2014 aan en worden in beginsel ei</w:t>
      </w:r>
      <w:r>
        <w:rPr>
          <w:szCs w:val="18"/>
        </w:rPr>
        <w:t>nd 2014 afgerond. De publicatie komt tot stand zonder betrokkenheid van de ministers. Het rapport zal conform de procedure bij de studiegroep Begrotingsruimte worden aangeboden aan de Tweede Kamer</w:t>
      </w:r>
      <w:r>
        <w:t xml:space="preserve">. </w:t>
      </w:r>
    </w:p>
    <w:p w:rsidR="00D12D71" w:rsidP="002915D1" w:rsidRDefault="003B4489">
      <w:pPr>
        <w:rPr>
          <w:szCs w:val="18"/>
        </w:rPr>
      </w:pPr>
    </w:p>
    <w:p w:rsidR="00693FB9" w:rsidP="00693FB9" w:rsidRDefault="003B4489">
      <w:pPr>
        <w:rPr>
          <w:b/>
          <w:szCs w:val="18"/>
        </w:rPr>
      </w:pPr>
      <w:r w:rsidRPr="00693FB9">
        <w:rPr>
          <w:b/>
          <w:szCs w:val="18"/>
        </w:rPr>
        <w:t>De werkzaamheden</w:t>
      </w:r>
    </w:p>
    <w:p w:rsidR="00693FB9" w:rsidP="00693FB9" w:rsidRDefault="003B4489">
      <w:pPr>
        <w:rPr>
          <w:b/>
          <w:szCs w:val="18"/>
        </w:rPr>
      </w:pPr>
    </w:p>
    <w:p w:rsidR="00145378" w:rsidRDefault="003B4489">
      <w:pPr>
        <w:pStyle w:val="Lijstalinea"/>
        <w:numPr>
          <w:ilvl w:val="0"/>
          <w:numId w:val="4"/>
        </w:numPr>
        <w:ind w:left="360"/>
        <w:rPr>
          <w:i/>
        </w:rPr>
      </w:pPr>
      <w:r w:rsidRPr="005242E8">
        <w:rPr>
          <w:i/>
        </w:rPr>
        <w:t>Effecten van aanpassing van het stelse</w:t>
      </w:r>
      <w:r w:rsidRPr="005242E8">
        <w:rPr>
          <w:i/>
        </w:rPr>
        <w:t>l van zorgverlening en -verzekering</w:t>
      </w:r>
    </w:p>
    <w:p w:rsidR="00145378" w:rsidRDefault="003B4489">
      <w:pPr>
        <w:pStyle w:val="Lijstalinea"/>
        <w:ind w:left="360"/>
        <w:rPr>
          <w:szCs w:val="18"/>
        </w:rPr>
      </w:pPr>
      <w:r>
        <w:rPr>
          <w:szCs w:val="18"/>
        </w:rPr>
        <w:t>De technische werkgroep inventariseert diverse manieren van aanpassing van het stelsel van zorgverlening en -verzekering. Het gaat om maatregelen die leiden tot verandering van gedrag van actoren of van volume en niet en</w:t>
      </w:r>
      <w:r>
        <w:rPr>
          <w:szCs w:val="18"/>
        </w:rPr>
        <w:t>kel om verschuiving van lasten. Separate beleidsmaatregelen kunnen daarbij geclusterd worden. Waar mogelijk maakt de technische werkgroep een inschatting van de kwantitatieve effecten. Alle maatregelen die door de verschillende leden worden ingebracht word</w:t>
      </w:r>
      <w:r>
        <w:rPr>
          <w:szCs w:val="18"/>
        </w:rPr>
        <w:t xml:space="preserve">en meegenomen in de analyse. </w:t>
      </w:r>
    </w:p>
    <w:p w:rsidR="00145378" w:rsidRDefault="003B4489">
      <w:pPr>
        <w:pStyle w:val="Lijstalinea"/>
        <w:ind w:left="360"/>
        <w:rPr>
          <w:szCs w:val="18"/>
        </w:rPr>
      </w:pPr>
    </w:p>
    <w:p w:rsidR="00145378" w:rsidRDefault="003B4489">
      <w:pPr>
        <w:pStyle w:val="Lijstalinea"/>
        <w:numPr>
          <w:ilvl w:val="0"/>
          <w:numId w:val="4"/>
        </w:numPr>
        <w:ind w:left="360"/>
        <w:rPr>
          <w:i/>
        </w:rPr>
      </w:pPr>
      <w:r w:rsidRPr="005242E8">
        <w:rPr>
          <w:i/>
        </w:rPr>
        <w:t>Gedragseffecten</w:t>
      </w:r>
    </w:p>
    <w:p w:rsidR="00145378" w:rsidRDefault="003B4489">
      <w:pPr>
        <w:pStyle w:val="Lijstalinea"/>
        <w:ind w:left="360"/>
        <w:rPr>
          <w:szCs w:val="18"/>
        </w:rPr>
      </w:pPr>
      <w:r>
        <w:rPr>
          <w:szCs w:val="18"/>
        </w:rPr>
        <w:t xml:space="preserve">De werkgroep rapporteert over de in de ramingen gehanteerde methodiek van inschatting van de gedragseffecten zoals die als gevolg van verandering van het stelsel van eigen betalingen en aanpassingen van het </w:t>
      </w:r>
      <w:r>
        <w:rPr>
          <w:szCs w:val="18"/>
        </w:rPr>
        <w:t>collectief pakket en werkt waar mogelijk de kwantitatieve effecten uit.</w:t>
      </w:r>
    </w:p>
    <w:p w:rsidR="005242E8" w:rsidP="007336F8" w:rsidRDefault="003B4489">
      <w:pPr>
        <w:pStyle w:val="Lijstalinea"/>
        <w:rPr>
          <w:szCs w:val="18"/>
        </w:rPr>
      </w:pPr>
    </w:p>
    <w:p w:rsidR="00824557" w:rsidP="00854FC5" w:rsidRDefault="003B4489">
      <w:pPr>
        <w:rPr>
          <w:szCs w:val="18"/>
        </w:rPr>
      </w:pPr>
      <w:r w:rsidRPr="00824557">
        <w:rPr>
          <w:szCs w:val="18"/>
        </w:rPr>
        <w:t>Waar gesproken wordt over ‘effecten’ wordt gedoeld op het budgettaire effect op de collectief gefinancierde zorg</w:t>
      </w:r>
      <w:r>
        <w:rPr>
          <w:szCs w:val="18"/>
        </w:rPr>
        <w:t>uitgaven</w:t>
      </w:r>
      <w:r w:rsidRPr="00824557">
        <w:rPr>
          <w:szCs w:val="18"/>
        </w:rPr>
        <w:t xml:space="preserve">, de inschatting van de mate waarin eventueel een verschuiving </w:t>
      </w:r>
      <w:r w:rsidRPr="00824557">
        <w:rPr>
          <w:szCs w:val="18"/>
        </w:rPr>
        <w:t>optreedt naar particulier gefinancierde zorg</w:t>
      </w:r>
      <w:r>
        <w:rPr>
          <w:szCs w:val="18"/>
        </w:rPr>
        <w:t>uitgaven</w:t>
      </w:r>
      <w:r w:rsidRPr="00824557">
        <w:rPr>
          <w:szCs w:val="18"/>
        </w:rPr>
        <w:t xml:space="preserve"> en de directe werkgelegenheidseffecten</w:t>
      </w:r>
      <w:r>
        <w:rPr>
          <w:szCs w:val="18"/>
        </w:rPr>
        <w:t>.</w:t>
      </w:r>
    </w:p>
    <w:p w:rsidR="00824557" w:rsidP="00854FC5" w:rsidRDefault="003B4489">
      <w:pPr>
        <w:rPr>
          <w:szCs w:val="18"/>
        </w:rPr>
      </w:pPr>
    </w:p>
    <w:p w:rsidRPr="00D12D71" w:rsidR="0007013D" w:rsidP="00854FC5" w:rsidRDefault="003B4489">
      <w:pPr>
        <w:rPr>
          <w:i/>
        </w:rPr>
      </w:pPr>
      <w:r w:rsidRPr="002224AC">
        <w:t>Het CPB he</w:t>
      </w:r>
      <w:r>
        <w:t>eft eerder een</w:t>
      </w:r>
      <w:r w:rsidRPr="002224AC">
        <w:t xml:space="preserve"> aanbod aan politieke partijen </w:t>
      </w:r>
      <w:r>
        <w:t xml:space="preserve">gedaan </w:t>
      </w:r>
      <w:r w:rsidRPr="002224AC">
        <w:t>om grote innovatieve hervormingen in een vroegtijdig stadium (buiten het verkiezingsseizoen) vertrou</w:t>
      </w:r>
      <w:r w:rsidRPr="002224AC">
        <w:t xml:space="preserve">welijk te analyseren. </w:t>
      </w:r>
      <w:r>
        <w:rPr>
          <w:szCs w:val="18"/>
        </w:rPr>
        <w:t xml:space="preserve">Vooraf nodigt het CPB de politieke </w:t>
      </w:r>
      <w:r w:rsidRPr="00D54EBF">
        <w:rPr>
          <w:szCs w:val="18"/>
        </w:rPr>
        <w:t>partijen die vertegenwoordigd zijn in de Tweede Kamer</w:t>
      </w:r>
      <w:r>
        <w:rPr>
          <w:szCs w:val="18"/>
        </w:rPr>
        <w:t xml:space="preserve"> nogmaals nadrukkelijk uit beleidsmaatregelen voortvloeiend uit hun visie op de zorg aan te dragen voor de analyse.</w:t>
      </w:r>
      <w:r w:rsidRPr="00FF62D9">
        <w:t xml:space="preserve"> </w:t>
      </w:r>
      <w:r>
        <w:t>Ook de voorzitter van de techn</w:t>
      </w:r>
      <w:r>
        <w:t xml:space="preserve">ische werkgroep zal politieke partijen benaderen. Alle opties van politieke partijen zullen worden doorgerekend en geanonimiseerd opgenomen in het rapport. </w:t>
      </w:r>
      <w:r w:rsidRPr="00FF62D9">
        <w:rPr>
          <w:szCs w:val="18"/>
        </w:rPr>
        <w:t xml:space="preserve">Door majeure maatregelen </w:t>
      </w:r>
      <w:r>
        <w:rPr>
          <w:szCs w:val="18"/>
        </w:rPr>
        <w:t>nu al te laten analyseren door</w:t>
      </w:r>
      <w:r w:rsidRPr="00FF62D9">
        <w:rPr>
          <w:szCs w:val="18"/>
        </w:rPr>
        <w:t xml:space="preserve"> de </w:t>
      </w:r>
      <w:r>
        <w:rPr>
          <w:szCs w:val="18"/>
        </w:rPr>
        <w:t xml:space="preserve">werkgroep is de </w:t>
      </w:r>
      <w:r w:rsidRPr="00FF62D9">
        <w:rPr>
          <w:szCs w:val="18"/>
        </w:rPr>
        <w:t xml:space="preserve">kans </w:t>
      </w:r>
      <w:r>
        <w:rPr>
          <w:szCs w:val="18"/>
        </w:rPr>
        <w:t xml:space="preserve">groter </w:t>
      </w:r>
      <w:r w:rsidRPr="00FF62D9">
        <w:rPr>
          <w:szCs w:val="18"/>
        </w:rPr>
        <w:t>dat het CPB d</w:t>
      </w:r>
      <w:r w:rsidRPr="00FF62D9">
        <w:rPr>
          <w:szCs w:val="18"/>
        </w:rPr>
        <w:t xml:space="preserve">ie maatregelen te zijner tijd ook </w:t>
      </w:r>
      <w:r>
        <w:rPr>
          <w:szCs w:val="18"/>
        </w:rPr>
        <w:t xml:space="preserve">adequaat kan verwerken </w:t>
      </w:r>
      <w:r w:rsidRPr="00FF62D9">
        <w:rPr>
          <w:szCs w:val="18"/>
        </w:rPr>
        <w:t>in Keuzes in Kaart.</w:t>
      </w:r>
      <w:r>
        <w:rPr>
          <w:szCs w:val="18"/>
        </w:rPr>
        <w:t xml:space="preserve"> </w:t>
      </w:r>
      <w:r>
        <w:t>De resultaten van deze technische werkgroep ondersteunen het CPB bij deze analyses.</w:t>
      </w:r>
    </w:p>
    <w:sectPr w:rsidRPr="00D12D71" w:rsidR="0007013D"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1CB7"/>
    <w:multiLevelType w:val="hybridMultilevel"/>
    <w:tmpl w:val="B0AC4E92"/>
    <w:lvl w:ilvl="0" w:tplc="60422A6A">
      <w:start w:val="1"/>
      <w:numFmt w:val="decimal"/>
      <w:lvlText w:val="%1."/>
      <w:lvlJc w:val="left"/>
      <w:pPr>
        <w:ind w:left="720" w:hanging="360"/>
      </w:pPr>
      <w:rPr>
        <w:rFonts w:hint="default"/>
      </w:rPr>
    </w:lvl>
    <w:lvl w:ilvl="1" w:tplc="791A7F4E" w:tentative="1">
      <w:start w:val="1"/>
      <w:numFmt w:val="lowerLetter"/>
      <w:lvlText w:val="%2."/>
      <w:lvlJc w:val="left"/>
      <w:pPr>
        <w:ind w:left="1440" w:hanging="360"/>
      </w:pPr>
    </w:lvl>
    <w:lvl w:ilvl="2" w:tplc="77A43A3C" w:tentative="1">
      <w:start w:val="1"/>
      <w:numFmt w:val="lowerRoman"/>
      <w:lvlText w:val="%3."/>
      <w:lvlJc w:val="right"/>
      <w:pPr>
        <w:ind w:left="2160" w:hanging="180"/>
      </w:pPr>
    </w:lvl>
    <w:lvl w:ilvl="3" w:tplc="9D983B6C" w:tentative="1">
      <w:start w:val="1"/>
      <w:numFmt w:val="decimal"/>
      <w:lvlText w:val="%4."/>
      <w:lvlJc w:val="left"/>
      <w:pPr>
        <w:ind w:left="2880" w:hanging="360"/>
      </w:pPr>
    </w:lvl>
    <w:lvl w:ilvl="4" w:tplc="FA5E9E24" w:tentative="1">
      <w:start w:val="1"/>
      <w:numFmt w:val="lowerLetter"/>
      <w:lvlText w:val="%5."/>
      <w:lvlJc w:val="left"/>
      <w:pPr>
        <w:ind w:left="3600" w:hanging="360"/>
      </w:pPr>
    </w:lvl>
    <w:lvl w:ilvl="5" w:tplc="3814E096" w:tentative="1">
      <w:start w:val="1"/>
      <w:numFmt w:val="lowerRoman"/>
      <w:lvlText w:val="%6."/>
      <w:lvlJc w:val="right"/>
      <w:pPr>
        <w:ind w:left="4320" w:hanging="180"/>
      </w:pPr>
    </w:lvl>
    <w:lvl w:ilvl="6" w:tplc="574C88BA" w:tentative="1">
      <w:start w:val="1"/>
      <w:numFmt w:val="decimal"/>
      <w:lvlText w:val="%7."/>
      <w:lvlJc w:val="left"/>
      <w:pPr>
        <w:ind w:left="5040" w:hanging="360"/>
      </w:pPr>
    </w:lvl>
    <w:lvl w:ilvl="7" w:tplc="C7BC279C" w:tentative="1">
      <w:start w:val="1"/>
      <w:numFmt w:val="lowerLetter"/>
      <w:lvlText w:val="%8."/>
      <w:lvlJc w:val="left"/>
      <w:pPr>
        <w:ind w:left="5760" w:hanging="360"/>
      </w:pPr>
    </w:lvl>
    <w:lvl w:ilvl="8" w:tplc="128E4520" w:tentative="1">
      <w:start w:val="1"/>
      <w:numFmt w:val="lowerRoman"/>
      <w:lvlText w:val="%9."/>
      <w:lvlJc w:val="right"/>
      <w:pPr>
        <w:ind w:left="6480" w:hanging="180"/>
      </w:pPr>
    </w:lvl>
  </w:abstractNum>
  <w:abstractNum w:abstractNumId="1">
    <w:nsid w:val="39A663E7"/>
    <w:multiLevelType w:val="hybridMultilevel"/>
    <w:tmpl w:val="71E4DBF8"/>
    <w:lvl w:ilvl="0" w:tplc="6D1079BA">
      <w:numFmt w:val="bullet"/>
      <w:lvlText w:val="-"/>
      <w:lvlJc w:val="left"/>
      <w:pPr>
        <w:ind w:left="720" w:hanging="360"/>
      </w:pPr>
      <w:rPr>
        <w:rFonts w:ascii="Verdana" w:eastAsia="Calibri" w:hAnsi="Verdana" w:cs="Times New Roman" w:hint="default"/>
      </w:rPr>
    </w:lvl>
    <w:lvl w:ilvl="1" w:tplc="78DCF18A">
      <w:start w:val="1"/>
      <w:numFmt w:val="decimal"/>
      <w:lvlText w:val="%2."/>
      <w:lvlJc w:val="left"/>
      <w:pPr>
        <w:tabs>
          <w:tab w:val="num" w:pos="1440"/>
        </w:tabs>
        <w:ind w:left="1440" w:hanging="360"/>
      </w:pPr>
    </w:lvl>
    <w:lvl w:ilvl="2" w:tplc="FCEC8D46">
      <w:start w:val="1"/>
      <w:numFmt w:val="decimal"/>
      <w:lvlText w:val="%3."/>
      <w:lvlJc w:val="left"/>
      <w:pPr>
        <w:tabs>
          <w:tab w:val="num" w:pos="2160"/>
        </w:tabs>
        <w:ind w:left="2160" w:hanging="360"/>
      </w:pPr>
    </w:lvl>
    <w:lvl w:ilvl="3" w:tplc="24821A98">
      <w:start w:val="1"/>
      <w:numFmt w:val="decimal"/>
      <w:lvlText w:val="%4."/>
      <w:lvlJc w:val="left"/>
      <w:pPr>
        <w:tabs>
          <w:tab w:val="num" w:pos="2880"/>
        </w:tabs>
        <w:ind w:left="2880" w:hanging="360"/>
      </w:pPr>
    </w:lvl>
    <w:lvl w:ilvl="4" w:tplc="B74C698A">
      <w:start w:val="1"/>
      <w:numFmt w:val="decimal"/>
      <w:lvlText w:val="%5."/>
      <w:lvlJc w:val="left"/>
      <w:pPr>
        <w:tabs>
          <w:tab w:val="num" w:pos="3600"/>
        </w:tabs>
        <w:ind w:left="3600" w:hanging="360"/>
      </w:pPr>
    </w:lvl>
    <w:lvl w:ilvl="5" w:tplc="4B30D82C">
      <w:start w:val="1"/>
      <w:numFmt w:val="decimal"/>
      <w:lvlText w:val="%6."/>
      <w:lvlJc w:val="left"/>
      <w:pPr>
        <w:tabs>
          <w:tab w:val="num" w:pos="4320"/>
        </w:tabs>
        <w:ind w:left="4320" w:hanging="360"/>
      </w:pPr>
    </w:lvl>
    <w:lvl w:ilvl="6" w:tplc="9DD47866">
      <w:start w:val="1"/>
      <w:numFmt w:val="decimal"/>
      <w:lvlText w:val="%7."/>
      <w:lvlJc w:val="left"/>
      <w:pPr>
        <w:tabs>
          <w:tab w:val="num" w:pos="5040"/>
        </w:tabs>
        <w:ind w:left="5040" w:hanging="360"/>
      </w:pPr>
    </w:lvl>
    <w:lvl w:ilvl="7" w:tplc="44B8ACC8">
      <w:start w:val="1"/>
      <w:numFmt w:val="decimal"/>
      <w:lvlText w:val="%8."/>
      <w:lvlJc w:val="left"/>
      <w:pPr>
        <w:tabs>
          <w:tab w:val="num" w:pos="5760"/>
        </w:tabs>
        <w:ind w:left="5760" w:hanging="360"/>
      </w:pPr>
    </w:lvl>
    <w:lvl w:ilvl="8" w:tplc="F056AB68">
      <w:start w:val="1"/>
      <w:numFmt w:val="decimal"/>
      <w:lvlText w:val="%9."/>
      <w:lvlJc w:val="left"/>
      <w:pPr>
        <w:tabs>
          <w:tab w:val="num" w:pos="6480"/>
        </w:tabs>
        <w:ind w:left="6480" w:hanging="360"/>
      </w:pPr>
    </w:lvl>
  </w:abstractNum>
  <w:abstractNum w:abstractNumId="2">
    <w:nsid w:val="511A248E"/>
    <w:multiLevelType w:val="hybridMultilevel"/>
    <w:tmpl w:val="0D780648"/>
    <w:lvl w:ilvl="0" w:tplc="13088F94">
      <w:start w:val="1"/>
      <w:numFmt w:val="decimal"/>
      <w:lvlText w:val="%1."/>
      <w:lvlJc w:val="left"/>
      <w:pPr>
        <w:ind w:left="720" w:hanging="360"/>
      </w:pPr>
    </w:lvl>
    <w:lvl w:ilvl="1" w:tplc="C48EF29E" w:tentative="1">
      <w:start w:val="1"/>
      <w:numFmt w:val="lowerLetter"/>
      <w:lvlText w:val="%2."/>
      <w:lvlJc w:val="left"/>
      <w:pPr>
        <w:ind w:left="1440" w:hanging="360"/>
      </w:pPr>
    </w:lvl>
    <w:lvl w:ilvl="2" w:tplc="3B0C86AA" w:tentative="1">
      <w:start w:val="1"/>
      <w:numFmt w:val="lowerRoman"/>
      <w:lvlText w:val="%3."/>
      <w:lvlJc w:val="right"/>
      <w:pPr>
        <w:ind w:left="2160" w:hanging="180"/>
      </w:pPr>
    </w:lvl>
    <w:lvl w:ilvl="3" w:tplc="BC327E08" w:tentative="1">
      <w:start w:val="1"/>
      <w:numFmt w:val="decimal"/>
      <w:lvlText w:val="%4."/>
      <w:lvlJc w:val="left"/>
      <w:pPr>
        <w:ind w:left="2880" w:hanging="360"/>
      </w:pPr>
    </w:lvl>
    <w:lvl w:ilvl="4" w:tplc="56881AA4" w:tentative="1">
      <w:start w:val="1"/>
      <w:numFmt w:val="lowerLetter"/>
      <w:lvlText w:val="%5."/>
      <w:lvlJc w:val="left"/>
      <w:pPr>
        <w:ind w:left="3600" w:hanging="360"/>
      </w:pPr>
    </w:lvl>
    <w:lvl w:ilvl="5" w:tplc="4510FEEE" w:tentative="1">
      <w:start w:val="1"/>
      <w:numFmt w:val="lowerRoman"/>
      <w:lvlText w:val="%6."/>
      <w:lvlJc w:val="right"/>
      <w:pPr>
        <w:ind w:left="4320" w:hanging="180"/>
      </w:pPr>
    </w:lvl>
    <w:lvl w:ilvl="6" w:tplc="97843E8E" w:tentative="1">
      <w:start w:val="1"/>
      <w:numFmt w:val="decimal"/>
      <w:lvlText w:val="%7."/>
      <w:lvlJc w:val="left"/>
      <w:pPr>
        <w:ind w:left="5040" w:hanging="360"/>
      </w:pPr>
    </w:lvl>
    <w:lvl w:ilvl="7" w:tplc="17F696CA" w:tentative="1">
      <w:start w:val="1"/>
      <w:numFmt w:val="lowerLetter"/>
      <w:lvlText w:val="%8."/>
      <w:lvlJc w:val="left"/>
      <w:pPr>
        <w:ind w:left="5760" w:hanging="360"/>
      </w:pPr>
    </w:lvl>
    <w:lvl w:ilvl="8" w:tplc="3C748A2C" w:tentative="1">
      <w:start w:val="1"/>
      <w:numFmt w:val="lowerRoman"/>
      <w:lvlText w:val="%9."/>
      <w:lvlJc w:val="right"/>
      <w:pPr>
        <w:ind w:left="6480" w:hanging="180"/>
      </w:pPr>
    </w:lvl>
  </w:abstractNum>
  <w:abstractNum w:abstractNumId="3">
    <w:nsid w:val="5B080DF3"/>
    <w:multiLevelType w:val="hybridMultilevel"/>
    <w:tmpl w:val="02A01F4C"/>
    <w:lvl w:ilvl="0" w:tplc="3B04888A">
      <w:start w:val="1"/>
      <w:numFmt w:val="decimal"/>
      <w:lvlText w:val="%1."/>
      <w:lvlJc w:val="left"/>
      <w:pPr>
        <w:ind w:left="720" w:hanging="360"/>
      </w:pPr>
      <w:rPr>
        <w:rFonts w:hint="default"/>
      </w:rPr>
    </w:lvl>
    <w:lvl w:ilvl="1" w:tplc="BDCCDB44" w:tentative="1">
      <w:start w:val="1"/>
      <w:numFmt w:val="lowerLetter"/>
      <w:lvlText w:val="%2."/>
      <w:lvlJc w:val="left"/>
      <w:pPr>
        <w:ind w:left="1440" w:hanging="360"/>
      </w:pPr>
    </w:lvl>
    <w:lvl w:ilvl="2" w:tplc="58508BDA" w:tentative="1">
      <w:start w:val="1"/>
      <w:numFmt w:val="lowerRoman"/>
      <w:lvlText w:val="%3."/>
      <w:lvlJc w:val="right"/>
      <w:pPr>
        <w:ind w:left="2160" w:hanging="180"/>
      </w:pPr>
    </w:lvl>
    <w:lvl w:ilvl="3" w:tplc="BF40A7EE" w:tentative="1">
      <w:start w:val="1"/>
      <w:numFmt w:val="decimal"/>
      <w:lvlText w:val="%4."/>
      <w:lvlJc w:val="left"/>
      <w:pPr>
        <w:ind w:left="2880" w:hanging="360"/>
      </w:pPr>
    </w:lvl>
    <w:lvl w:ilvl="4" w:tplc="C8FE3328" w:tentative="1">
      <w:start w:val="1"/>
      <w:numFmt w:val="lowerLetter"/>
      <w:lvlText w:val="%5."/>
      <w:lvlJc w:val="left"/>
      <w:pPr>
        <w:ind w:left="3600" w:hanging="360"/>
      </w:pPr>
    </w:lvl>
    <w:lvl w:ilvl="5" w:tplc="03B2395C" w:tentative="1">
      <w:start w:val="1"/>
      <w:numFmt w:val="lowerRoman"/>
      <w:lvlText w:val="%6."/>
      <w:lvlJc w:val="right"/>
      <w:pPr>
        <w:ind w:left="4320" w:hanging="180"/>
      </w:pPr>
    </w:lvl>
    <w:lvl w:ilvl="6" w:tplc="EC40D6A0" w:tentative="1">
      <w:start w:val="1"/>
      <w:numFmt w:val="decimal"/>
      <w:lvlText w:val="%7."/>
      <w:lvlJc w:val="left"/>
      <w:pPr>
        <w:ind w:left="5040" w:hanging="360"/>
      </w:pPr>
    </w:lvl>
    <w:lvl w:ilvl="7" w:tplc="5316014E" w:tentative="1">
      <w:start w:val="1"/>
      <w:numFmt w:val="lowerLetter"/>
      <w:lvlText w:val="%8."/>
      <w:lvlJc w:val="left"/>
      <w:pPr>
        <w:ind w:left="5760" w:hanging="360"/>
      </w:pPr>
    </w:lvl>
    <w:lvl w:ilvl="8" w:tplc="6C0A170C" w:tentative="1">
      <w:start w:val="1"/>
      <w:numFmt w:val="lowerRoman"/>
      <w:lvlText w:val="%9."/>
      <w:lvlJc w:val="right"/>
      <w:pPr>
        <w:ind w:left="6480" w:hanging="180"/>
      </w:pPr>
    </w:lvl>
  </w:abstractNum>
  <w:abstractNum w:abstractNumId="4">
    <w:nsid w:val="68042FB7"/>
    <w:multiLevelType w:val="hybridMultilevel"/>
    <w:tmpl w:val="7CCE869C"/>
    <w:lvl w:ilvl="0" w:tplc="69927FA2">
      <w:start w:val="1"/>
      <w:numFmt w:val="decimal"/>
      <w:lvlText w:val="%1."/>
      <w:lvlJc w:val="left"/>
      <w:pPr>
        <w:ind w:left="720" w:hanging="360"/>
      </w:pPr>
    </w:lvl>
    <w:lvl w:ilvl="1" w:tplc="CC929B84" w:tentative="1">
      <w:start w:val="1"/>
      <w:numFmt w:val="lowerLetter"/>
      <w:lvlText w:val="%2."/>
      <w:lvlJc w:val="left"/>
      <w:pPr>
        <w:ind w:left="1440" w:hanging="360"/>
      </w:pPr>
    </w:lvl>
    <w:lvl w:ilvl="2" w:tplc="8EB0892A" w:tentative="1">
      <w:start w:val="1"/>
      <w:numFmt w:val="lowerRoman"/>
      <w:lvlText w:val="%3."/>
      <w:lvlJc w:val="right"/>
      <w:pPr>
        <w:ind w:left="2160" w:hanging="180"/>
      </w:pPr>
    </w:lvl>
    <w:lvl w:ilvl="3" w:tplc="8DCC6260" w:tentative="1">
      <w:start w:val="1"/>
      <w:numFmt w:val="decimal"/>
      <w:lvlText w:val="%4."/>
      <w:lvlJc w:val="left"/>
      <w:pPr>
        <w:ind w:left="2880" w:hanging="360"/>
      </w:pPr>
    </w:lvl>
    <w:lvl w:ilvl="4" w:tplc="8D2EB414" w:tentative="1">
      <w:start w:val="1"/>
      <w:numFmt w:val="lowerLetter"/>
      <w:lvlText w:val="%5."/>
      <w:lvlJc w:val="left"/>
      <w:pPr>
        <w:ind w:left="3600" w:hanging="360"/>
      </w:pPr>
    </w:lvl>
    <w:lvl w:ilvl="5" w:tplc="EE28269E" w:tentative="1">
      <w:start w:val="1"/>
      <w:numFmt w:val="lowerRoman"/>
      <w:lvlText w:val="%6."/>
      <w:lvlJc w:val="right"/>
      <w:pPr>
        <w:ind w:left="4320" w:hanging="180"/>
      </w:pPr>
    </w:lvl>
    <w:lvl w:ilvl="6" w:tplc="CC16DED8" w:tentative="1">
      <w:start w:val="1"/>
      <w:numFmt w:val="decimal"/>
      <w:lvlText w:val="%7."/>
      <w:lvlJc w:val="left"/>
      <w:pPr>
        <w:ind w:left="5040" w:hanging="360"/>
      </w:pPr>
    </w:lvl>
    <w:lvl w:ilvl="7" w:tplc="8E8284BA" w:tentative="1">
      <w:start w:val="1"/>
      <w:numFmt w:val="lowerLetter"/>
      <w:lvlText w:val="%8."/>
      <w:lvlJc w:val="left"/>
      <w:pPr>
        <w:ind w:left="5760" w:hanging="360"/>
      </w:pPr>
    </w:lvl>
    <w:lvl w:ilvl="8" w:tplc="742A0E76"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C92C5E"/>
    <w:rsid w:val="003B4489"/>
    <w:rsid w:val="00C92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3A17"/>
    <w:pPr>
      <w:widowControl w:val="0"/>
      <w:suppressAutoHyphens/>
      <w:spacing w:after="0" w:line="240" w:lineRule="auto"/>
    </w:pPr>
    <w:rPr>
      <w:rFonts w:ascii="Verdana" w:eastAsia="SimSun" w:hAnsi="Verdana" w:cs="Mangal"/>
      <w:kern w:val="1"/>
      <w:sz w:val="18"/>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15D1"/>
    <w:pPr>
      <w:ind w:left="720"/>
      <w:contextualSpacing/>
    </w:pPr>
  </w:style>
  <w:style w:type="paragraph" w:styleId="Normaalweb">
    <w:name w:val="Normal (Web)"/>
    <w:basedOn w:val="Standaard"/>
    <w:uiPriority w:val="99"/>
    <w:unhideWhenUsed/>
    <w:rsid w:val="002915D1"/>
    <w:pPr>
      <w:widowControl/>
      <w:suppressAutoHyphens w:val="0"/>
      <w:spacing w:before="100" w:beforeAutospacing="1" w:after="100" w:afterAutospacing="1"/>
    </w:pPr>
    <w:rPr>
      <w:rFonts w:ascii="Times New Roman" w:eastAsia="Times New Roman" w:hAnsi="Times New Roman" w:cs="Times New Roman"/>
      <w:kern w:val="0"/>
      <w:sz w:val="24"/>
      <w:lang w:eastAsia="nl-NL" w:bidi="ar-SA"/>
    </w:rPr>
  </w:style>
  <w:style w:type="paragraph" w:styleId="Voetnoottekst">
    <w:name w:val="footnote text"/>
    <w:basedOn w:val="Standaard"/>
    <w:link w:val="VoetnoottekstChar"/>
    <w:uiPriority w:val="99"/>
    <w:semiHidden/>
    <w:unhideWhenUsed/>
    <w:rsid w:val="00E25823"/>
    <w:rPr>
      <w:sz w:val="20"/>
      <w:szCs w:val="18"/>
    </w:rPr>
  </w:style>
  <w:style w:type="character" w:customStyle="1" w:styleId="VoetnoottekstChar">
    <w:name w:val="Voetnoottekst Char"/>
    <w:basedOn w:val="Standaardalinea-lettertype"/>
    <w:link w:val="Voetnoottekst"/>
    <w:uiPriority w:val="99"/>
    <w:semiHidden/>
    <w:rsid w:val="00E25823"/>
    <w:rPr>
      <w:rFonts w:ascii="Verdana" w:eastAsia="SimSun" w:hAnsi="Verdana" w:cs="Mangal"/>
      <w:kern w:val="1"/>
      <w:sz w:val="20"/>
      <w:szCs w:val="18"/>
      <w:lang w:eastAsia="hi-IN" w:bidi="hi-IN"/>
    </w:rPr>
  </w:style>
  <w:style w:type="character" w:styleId="Voetnootmarkering">
    <w:name w:val="footnote reference"/>
    <w:basedOn w:val="Standaardalinea-lettertype"/>
    <w:uiPriority w:val="99"/>
    <w:semiHidden/>
    <w:unhideWhenUsed/>
    <w:rsid w:val="00E25823"/>
    <w:rPr>
      <w:vertAlign w:val="superscript"/>
    </w:rPr>
  </w:style>
  <w:style w:type="character" w:styleId="Verwijzingopmerking">
    <w:name w:val="annotation reference"/>
    <w:basedOn w:val="Standaardalinea-lettertype"/>
    <w:uiPriority w:val="99"/>
    <w:semiHidden/>
    <w:unhideWhenUsed/>
    <w:rsid w:val="00011479"/>
    <w:rPr>
      <w:sz w:val="16"/>
      <w:szCs w:val="16"/>
    </w:rPr>
  </w:style>
  <w:style w:type="paragraph" w:styleId="Tekstopmerking">
    <w:name w:val="annotation text"/>
    <w:basedOn w:val="Standaard"/>
    <w:link w:val="TekstopmerkingChar"/>
    <w:uiPriority w:val="99"/>
    <w:semiHidden/>
    <w:unhideWhenUsed/>
    <w:rsid w:val="00011479"/>
    <w:rPr>
      <w:sz w:val="20"/>
      <w:szCs w:val="18"/>
    </w:rPr>
  </w:style>
  <w:style w:type="character" w:customStyle="1" w:styleId="TekstopmerkingChar">
    <w:name w:val="Tekst opmerking Char"/>
    <w:basedOn w:val="Standaardalinea-lettertype"/>
    <w:link w:val="Tekstopmerking"/>
    <w:uiPriority w:val="99"/>
    <w:semiHidden/>
    <w:rsid w:val="00011479"/>
    <w:rPr>
      <w:rFonts w:ascii="Verdana" w:eastAsia="SimSun" w:hAnsi="Verdana" w:cs="Mangal"/>
      <w:kern w:val="1"/>
      <w:sz w:val="20"/>
      <w:szCs w:val="18"/>
      <w:lang w:eastAsia="hi-IN" w:bidi="hi-IN"/>
    </w:rPr>
  </w:style>
  <w:style w:type="paragraph" w:styleId="Onderwerpvanopmerking">
    <w:name w:val="annotation subject"/>
    <w:basedOn w:val="Tekstopmerking"/>
    <w:next w:val="Tekstopmerking"/>
    <w:link w:val="OnderwerpvanopmerkingChar"/>
    <w:uiPriority w:val="99"/>
    <w:semiHidden/>
    <w:unhideWhenUsed/>
    <w:rsid w:val="00011479"/>
    <w:rPr>
      <w:b/>
      <w:bCs/>
    </w:rPr>
  </w:style>
  <w:style w:type="character" w:customStyle="1" w:styleId="OnderwerpvanopmerkingChar">
    <w:name w:val="Onderwerp van opmerking Char"/>
    <w:basedOn w:val="TekstopmerkingChar"/>
    <w:link w:val="Onderwerpvanopmerking"/>
    <w:uiPriority w:val="99"/>
    <w:semiHidden/>
    <w:rsid w:val="00011479"/>
    <w:rPr>
      <w:b/>
      <w:bCs/>
    </w:rPr>
  </w:style>
  <w:style w:type="paragraph" w:styleId="Ballontekst">
    <w:name w:val="Balloon Text"/>
    <w:basedOn w:val="Standaard"/>
    <w:link w:val="BallontekstChar"/>
    <w:uiPriority w:val="99"/>
    <w:semiHidden/>
    <w:unhideWhenUsed/>
    <w:rsid w:val="00011479"/>
    <w:rPr>
      <w:rFonts w:ascii="Tahoma" w:hAnsi="Tahoma"/>
      <w:sz w:val="16"/>
      <w:szCs w:val="14"/>
    </w:rPr>
  </w:style>
  <w:style w:type="character" w:customStyle="1" w:styleId="BallontekstChar">
    <w:name w:val="Ballontekst Char"/>
    <w:basedOn w:val="Standaardalinea-lettertype"/>
    <w:link w:val="Ballontekst"/>
    <w:uiPriority w:val="99"/>
    <w:semiHidden/>
    <w:rsid w:val="00011479"/>
    <w:rPr>
      <w:rFonts w:ascii="Tahoma" w:eastAsia="SimSun" w:hAnsi="Tahoma" w:cs="Mangal"/>
      <w:kern w:val="1"/>
      <w:sz w:val="16"/>
      <w:szCs w:val="14"/>
      <w:lang w:eastAsia="hi-IN" w:bidi="hi-IN"/>
    </w:rPr>
  </w:style>
  <w:style w:type="paragraph" w:styleId="Koptekst">
    <w:name w:val="header"/>
    <w:basedOn w:val="Standaard"/>
    <w:link w:val="KoptekstChar"/>
    <w:uiPriority w:val="99"/>
    <w:semiHidden/>
    <w:unhideWhenUsed/>
    <w:rsid w:val="003F47A0"/>
    <w:pPr>
      <w:tabs>
        <w:tab w:val="center" w:pos="4536"/>
        <w:tab w:val="right" w:pos="9072"/>
      </w:tabs>
    </w:pPr>
  </w:style>
  <w:style w:type="character" w:customStyle="1" w:styleId="KoptekstChar">
    <w:name w:val="Koptekst Char"/>
    <w:basedOn w:val="Standaardalinea-lettertype"/>
    <w:link w:val="Koptekst"/>
    <w:uiPriority w:val="99"/>
    <w:semiHidden/>
    <w:rsid w:val="003F47A0"/>
    <w:rPr>
      <w:rFonts w:ascii="Verdana" w:eastAsia="SimSun" w:hAnsi="Verdana" w:cs="Mangal"/>
      <w:kern w:val="1"/>
      <w:sz w:val="18"/>
      <w:szCs w:val="24"/>
      <w:lang w:eastAsia="hi-IN" w:bidi="hi-IN"/>
    </w:rPr>
  </w:style>
  <w:style w:type="paragraph" w:styleId="Voettekst">
    <w:name w:val="footer"/>
    <w:basedOn w:val="Standaard"/>
    <w:link w:val="VoettekstChar"/>
    <w:uiPriority w:val="99"/>
    <w:semiHidden/>
    <w:unhideWhenUsed/>
    <w:rsid w:val="003F47A0"/>
    <w:pPr>
      <w:tabs>
        <w:tab w:val="center" w:pos="4536"/>
        <w:tab w:val="right" w:pos="9072"/>
      </w:tabs>
    </w:pPr>
  </w:style>
  <w:style w:type="character" w:customStyle="1" w:styleId="VoettekstChar">
    <w:name w:val="Voettekst Char"/>
    <w:basedOn w:val="Standaardalinea-lettertype"/>
    <w:link w:val="Voettekst"/>
    <w:uiPriority w:val="99"/>
    <w:semiHidden/>
    <w:rsid w:val="003F47A0"/>
    <w:rPr>
      <w:rFonts w:ascii="Verdana" w:eastAsia="SimSun" w:hAnsi="Verdana" w:cs="Mangal"/>
      <w:kern w:val="1"/>
      <w:sz w:val="18"/>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556</ap:Words>
  <ap:Characters>3061</ap:Characters>
  <ap:DocSecurity>12</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2014-04-24T14:30:00.0000000Z</lastPrinted>
  <dcterms:created xsi:type="dcterms:W3CDTF">2014-05-13T12:41:00.0000000Z</dcterms:created>
  <dcterms:modified xsi:type="dcterms:W3CDTF">2014-05-13T12:41:00.0000000Z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0x0101007FDA3E9628A13F4BBCBCEC6CD4D4405A</vt:lpwstr>
  </property>
</Properties>
</file>