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W15.14.0002/IV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20 februari 2014</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E92080" w:rsidRDefault="00791AE9">
              <w:r>
                <w:t>Bij Kabinetsmissive van 9 januari 2014, no.2014000043, heeft Uwe Majesteit, op voordracht van de Minister van Economische Zaken, bij de Afdeling advisering van de Raad van State ter overweging aanhangig gemaakt het voorstel van wet tot wijziging van de Tel</w:t>
              </w:r>
              <w:r>
                <w:t>ecommunicatiewet in verband met artikel 11.7a, met memorie van toelichting.</w:t>
              </w:r>
            </w:p>
          </w:sdtContent>
        </w:sdt>
        <w:p w:rsidR="0071031E" w:rsidRDefault="0071031E"/>
        <w:sdt>
          <w:sdtPr>
            <w:alias w:val="VrijeTekst1"/>
            <w:tag w:val="VrijeTekst1"/>
            <w:id w:val="-437221631"/>
            <w:lock w:val="sdtLocked"/>
          </w:sdtPr>
          <w:sdtEndPr/>
          <w:sdtContent>
            <w:sdt>
              <w:sdtPr>
                <w:alias w:val="VrijeTekst1"/>
                <w:tag w:val="VrijeTekst1"/>
                <w:id w:val="-413624845"/>
              </w:sdtPr>
              <w:sdtEndPr/>
              <w:sdtContent>
                <w:p w:rsidRPr="001556D6" w:rsidR="001556D6" w:rsidP="001556D6" w:rsidRDefault="00791AE9">
                  <w:r w:rsidRPr="001556D6">
                    <w:t xml:space="preserve">Het voorstel voorziet in een wijziging van artikel 11.7a van de Telecommunicatiewet (hierna: Tw), de zogenoemde cookiebepaling. Voorgesteld wordt een nieuwe, derde uitzondering </w:t>
                  </w:r>
                  <w:r w:rsidRPr="001556D6">
                    <w:t>in de Tw op te nemen op het uitgangspunt dat gebruikers van elektronische communicatienetwerken moeten worden geïnformeerd over – en om toestemming moeten worden gevraagd voor – de opslag van gegevens in hun randapparatuur en de toegang tot gegevens die in</w:t>
                  </w:r>
                  <w:r w:rsidRPr="001556D6">
                    <w:t xml:space="preserve"> de randapparatuur zijn opgeslagen. De nieuwe uitzondering strekt ertoe het gebruiksgemak voor gebruikers van elektronische communicatienetwerken te vergroten.</w:t>
                  </w:r>
                </w:p>
                <w:p w:rsidRPr="001556D6" w:rsidR="001556D6" w:rsidP="001556D6" w:rsidRDefault="00791AE9">
                  <w:r w:rsidRPr="001556D6">
                    <w:t>De Afdeling advisering van de Raad van State onderschrijft de strekking van het wetsvoorstel, ma</w:t>
                  </w:r>
                  <w:r w:rsidRPr="001556D6">
                    <w:t xml:space="preserve">ar maakt daarbij </w:t>
                  </w:r>
                  <w:r>
                    <w:t>de volgende kanttekeningen</w:t>
                  </w:r>
                  <w:r w:rsidRPr="001556D6">
                    <w:t>.</w:t>
                  </w:r>
                </w:p>
                <w:p w:rsidRPr="001556D6" w:rsidR="001556D6" w:rsidP="001556D6" w:rsidRDefault="00791AE9"/>
                <w:p w:rsidRPr="001556D6" w:rsidR="001556D6" w:rsidP="001556D6" w:rsidRDefault="00791AE9">
                  <w:pPr>
                    <w:rPr>
                      <w:u w:val="single"/>
                    </w:rPr>
                  </w:pPr>
                  <w:r w:rsidRPr="001556D6">
                    <w:t>1.</w:t>
                  </w:r>
                  <w:r w:rsidRPr="001556D6">
                    <w:tab/>
                  </w:r>
                  <w:r w:rsidRPr="001556D6">
                    <w:rPr>
                      <w:u w:val="single"/>
                    </w:rPr>
                    <w:t>Nieuwe uitzondering</w:t>
                  </w:r>
                </w:p>
                <w:p w:rsidRPr="001556D6" w:rsidR="00C83238" w:rsidP="00C83238" w:rsidRDefault="00791AE9"/>
                <w:p w:rsidRPr="001556D6" w:rsidR="00C83238" w:rsidP="00C83238" w:rsidRDefault="00791AE9">
                  <w:r w:rsidRPr="001556D6">
                    <w:t xml:space="preserve">Artikel 11.7a </w:t>
                  </w:r>
                  <w:r>
                    <w:t xml:space="preserve">van de </w:t>
                  </w:r>
                  <w:r w:rsidRPr="001556D6">
                    <w:t xml:space="preserve">Tw strekt ertoe de persoonlijke levenssfeer van de gebruiker van elektronische communicatiemiddelen te beschermen. Het eerste lid van deze bepaling verplicht degene </w:t>
                  </w:r>
                  <w:r w:rsidRPr="001556D6">
                    <w:t>die via een elektronisch communicatienetwerk gegevens wenst op te slaan in de randapparatuur van een gebruiker of toegang wenst te verkrijgen tot opgeslagen gegevens in die randapparatuur, daarvoor vooraf toestemming moet hebben verkregen. Daartoe dient hi</w:t>
                  </w:r>
                  <w:r w:rsidRPr="001556D6">
                    <w:t>j de gebruiker duidelijk en volledig te informeren over de doeleinden van die opslag of toegang.</w:t>
                  </w:r>
                  <w:r w:rsidRPr="001556D6">
                    <w:br/>
                    <w:t xml:space="preserve">Het derde lid van artikel 11.7a </w:t>
                  </w:r>
                  <w:r>
                    <w:t xml:space="preserve">van de </w:t>
                  </w:r>
                  <w:r w:rsidRPr="001556D6">
                    <w:t>Tw verklaart de informatieverplichting en het toestemmingsvereiste buiten toepassing, voor zover het de technische opsla</w:t>
                  </w:r>
                  <w:r w:rsidRPr="001556D6">
                    <w:t>g of toegang tot gegevens betreft met als uitsluitend doel:</w:t>
                  </w:r>
                  <w:r w:rsidRPr="001556D6">
                    <w:br/>
                    <w:t xml:space="preserve">a. </w:t>
                  </w:r>
                  <w:proofErr w:type="gramStart"/>
                  <w:r w:rsidRPr="001556D6">
                    <w:t>de</w:t>
                  </w:r>
                  <w:proofErr w:type="gramEnd"/>
                  <w:r w:rsidRPr="001556D6">
                    <w:t xml:space="preserve"> communicatie over een elektronisch communicatienetwerk uit te voeren, of</w:t>
                  </w:r>
                  <w:r w:rsidRPr="001556D6">
                    <w:br/>
                    <w:t xml:space="preserve">b. de door de abonnee of gebruiker gevraagde dienst van de informatiemaatschappij te leveren en de opslag of toegang </w:t>
                  </w:r>
                  <w:r w:rsidRPr="001556D6">
                    <w:t>tot gegevens daarvoor strikt noodzakelijk is.</w:t>
                  </w:r>
                </w:p>
                <w:p w:rsidRPr="001556D6" w:rsidR="00C83238" w:rsidP="00C83238" w:rsidRDefault="00791AE9"/>
                <w:p w:rsidRPr="001556D6" w:rsidR="00C83238" w:rsidP="00C83238" w:rsidRDefault="00791AE9">
                  <w:r w:rsidRPr="001556D6">
                    <w:t xml:space="preserve">Het voorgestelde artikel 11.7a, derde lid, kent dezelfde uitzonderingen, maar voegt in onderdeel b daaraan één toe. </w:t>
                  </w:r>
                  <w:r>
                    <w:t>Deze uitzondering heeft evenals de bestaande uitzonderingen betrekking op de technische opsla</w:t>
                  </w:r>
                  <w:r>
                    <w:t xml:space="preserve">g en toegang tot gegevens en geldt indien is voldaan aan </w:t>
                  </w:r>
                  <w:r w:rsidRPr="001556D6">
                    <w:t>twee voorwaarden. Ten eerste moet het gaan om opslag of toegang die uitsluitend tot doel heeft informatie te verkrijgen over de kwaliteit of effectiviteit van een geleverde dienst van de informatiema</w:t>
                  </w:r>
                  <w:r w:rsidRPr="001556D6">
                    <w:t>atschappij. Ten tweede mag de opslag of toegang geen of geringe gevolgen voor de persoonlijke levenssfeer hebben.</w:t>
                  </w:r>
                </w:p>
                <w:p w:rsidRPr="001556D6" w:rsidR="00C83238" w:rsidP="00C83238" w:rsidRDefault="00791AE9"/>
                <w:p w:rsidRPr="001556D6" w:rsidR="00C83238" w:rsidP="00C83238" w:rsidRDefault="00791AE9">
                  <w:proofErr w:type="gramStart"/>
                  <w:r>
                    <w:t>Blijkens</w:t>
                  </w:r>
                  <w:proofErr w:type="gramEnd"/>
                  <w:r w:rsidRPr="001556D6">
                    <w:t xml:space="preserve"> de toelichting </w:t>
                  </w:r>
                  <w:r>
                    <w:t xml:space="preserve">is de aanleiding voor de invoering van deze nieuwe uitzonderingen gelegen in het </w:t>
                  </w:r>
                  <w:r w:rsidRPr="001556D6">
                    <w:t xml:space="preserve">bestaan </w:t>
                  </w:r>
                  <w:r>
                    <w:t xml:space="preserve">van </w:t>
                  </w:r>
                  <w:r w:rsidRPr="001556D6">
                    <w:t xml:space="preserve">ergernissen over de </w:t>
                  </w:r>
                  <w:r w:rsidRPr="001556D6">
                    <w:t>cookiebepaling</w:t>
                  </w:r>
                  <w:r w:rsidRPr="001556D6">
                    <w:t xml:space="preserve"> bij gebruikers van elektronische communicatienetwerken.</w:t>
                  </w:r>
                  <w:r w:rsidRPr="001556D6">
                    <w:rPr>
                      <w:vertAlign w:val="superscript"/>
                    </w:rPr>
                    <w:footnoteReference w:id="1"/>
                  </w:r>
                  <w:r w:rsidRPr="001556D6">
                    <w:t xml:space="preserve"> Als eerste noemt de toelichting dat vormen van opslag en toegang die niet privacygevoelig zijn, toch onder de informatieverplichting en het toestemmingsvereiste van artikel 11.7a, eers</w:t>
                  </w:r>
                  <w:r w:rsidRPr="001556D6">
                    <w:t xml:space="preserve">te lid, </w:t>
                  </w:r>
                  <w:r>
                    <w:t xml:space="preserve">van de </w:t>
                  </w:r>
                  <w:proofErr w:type="spellStart"/>
                  <w:r w:rsidRPr="001556D6">
                    <w:t>Tw</w:t>
                  </w:r>
                  <w:proofErr w:type="spellEnd"/>
                  <w:r w:rsidRPr="001556D6">
                    <w:t xml:space="preserve"> vallen. De tweede ergernis heeft betrekking op het gebrek aan vrije keuze die gebruikers ervaren, bijvoorbeeld wanneer websites gebruik ma</w:t>
                  </w:r>
                  <w:r>
                    <w:t>ken van zogenoemde cookiemuren.</w:t>
                  </w:r>
                  <w:r w:rsidRPr="001556D6">
                    <w:br/>
                    <w:t>De voorgestelde nieuwe uitzondering beoogt aan de eerst</w:t>
                  </w:r>
                  <w:r>
                    <w:t>genoemde</w:t>
                  </w:r>
                  <w:r w:rsidRPr="001556D6">
                    <w:t xml:space="preserve"> ergernis tegemoet te komen.</w:t>
                  </w:r>
                </w:p>
                <w:p w:rsidRPr="001556D6" w:rsidR="00C83238" w:rsidP="00C83238" w:rsidRDefault="00791AE9"/>
                <w:p w:rsidRPr="001556D6" w:rsidR="00C83238" w:rsidP="00C83238" w:rsidRDefault="00791AE9">
                  <w:pPr>
                    <w:rPr>
                      <w:i/>
                    </w:rPr>
                  </w:pPr>
                  <w:proofErr w:type="gramStart"/>
                  <w:r w:rsidRPr="001556D6">
                    <w:rPr>
                      <w:i/>
                    </w:rPr>
                    <w:t>a</w:t>
                  </w:r>
                  <w:proofErr w:type="gramEnd"/>
                  <w:r w:rsidRPr="001556D6">
                    <w:rPr>
                      <w:i/>
                    </w:rPr>
                    <w:t>.</w:t>
                  </w:r>
                  <w:r w:rsidRPr="001556D6">
                    <w:rPr>
                      <w:i/>
                    </w:rPr>
                    <w:tab/>
                    <w:t>Effectiviteit</w:t>
                  </w:r>
                </w:p>
                <w:p w:rsidR="00C83238" w:rsidP="00C83238" w:rsidRDefault="00791AE9">
                  <w:r w:rsidRPr="001556D6">
                    <w:t>De Afdeling onderkent de ergernissen die in de praktijk van elektronische communicatie zijn gerezen</w:t>
                  </w:r>
                  <w:r>
                    <w:t xml:space="preserve"> en</w:t>
                  </w:r>
                  <w:r w:rsidRPr="001556D6">
                    <w:t xml:space="preserve"> begrijpt de overwegingen die tot het wetsvoorstel aanleiding hebben gegeven</w:t>
                  </w:r>
                  <w:r>
                    <w:t xml:space="preserve">. </w:t>
                  </w:r>
                  <w:r w:rsidRPr="001556D6">
                    <w:t xml:space="preserve">De vraag rijst </w:t>
                  </w:r>
                  <w:proofErr w:type="gramStart"/>
                  <w:r w:rsidRPr="001556D6">
                    <w:t>evenwel</w:t>
                  </w:r>
                  <w:proofErr w:type="gramEnd"/>
                  <w:r w:rsidRPr="001556D6">
                    <w:t xml:space="preserve"> of de </w:t>
                  </w:r>
                  <w:r w:rsidRPr="001556D6">
                    <w:t>voorgestelde formulering van de uitzondering, die spreekt van “geen of geringe gevolgen”</w:t>
                  </w:r>
                  <w:r>
                    <w:t xml:space="preserve"> voor de persoonlijke levenssfeer</w:t>
                  </w:r>
                  <w:r w:rsidRPr="001556D6">
                    <w:t xml:space="preserve">, </w:t>
                  </w:r>
                  <w:r>
                    <w:t>een</w:t>
                  </w:r>
                  <w:r w:rsidRPr="001556D6">
                    <w:t xml:space="preserve"> risico meebrengt voor de effectiviteit van </w:t>
                  </w:r>
                  <w:r>
                    <w:t>het voorstel</w:t>
                  </w:r>
                  <w:r w:rsidRPr="001556D6">
                    <w:t xml:space="preserve">. Indien </w:t>
                  </w:r>
                  <w:r>
                    <w:t xml:space="preserve">immers </w:t>
                  </w:r>
                  <w:r w:rsidRPr="001556D6">
                    <w:t>onduidelijk is</w:t>
                  </w:r>
                  <w:r>
                    <w:t xml:space="preserve"> wanneer de</w:t>
                  </w:r>
                  <w:r w:rsidRPr="001556D6">
                    <w:t xml:space="preserve"> gevolgen </w:t>
                  </w:r>
                  <w:r>
                    <w:t xml:space="preserve">al dan niet </w:t>
                  </w:r>
                  <w:r w:rsidRPr="001556D6">
                    <w:t xml:space="preserve">als gering </w:t>
                  </w:r>
                  <w:r w:rsidRPr="001556D6">
                    <w:t xml:space="preserve">moeten worden aangemerkt, kan dit leiden tot onzekerheid bij </w:t>
                  </w:r>
                  <w:r>
                    <w:t>gebruikers.</w:t>
                  </w:r>
                </w:p>
                <w:p w:rsidR="00C83238" w:rsidP="00C83238" w:rsidRDefault="00791AE9"/>
                <w:p w:rsidR="00C83238" w:rsidP="00C83238" w:rsidRDefault="00791AE9">
                  <w:r>
                    <w:t xml:space="preserve">De toelichting vermeldt in dit verband dat </w:t>
                  </w:r>
                  <w:r>
                    <w:t xml:space="preserve">niet te vermijden is dat </w:t>
                  </w:r>
                  <w:r>
                    <w:t xml:space="preserve">enige onzekerheid </w:t>
                  </w:r>
                  <w:r>
                    <w:t xml:space="preserve">bestaat </w:t>
                  </w:r>
                  <w:r>
                    <w:t>over de vraag of in andere gevallen dan die welke in de toelichting zijn besproken</w:t>
                  </w:r>
                  <w:r>
                    <w:t>,</w:t>
                  </w:r>
                  <w:r>
                    <w:t xml:space="preserve"> spra</w:t>
                  </w:r>
                  <w:r>
                    <w:t>ke is van geen of geringe gevolgen voor de persoonlijke levenssfeer. Wel is getracht in de toelichting met concrete voorbeelden zo veel mogelijk richting te geven. De Autoriteit Consument en Markt zal toezicht houden op de bepaling en zal in voorkomend gev</w:t>
                  </w:r>
                  <w:r>
                    <w:t>al beleidsregels kunnen vaststellen om de sector meer duidelijkheid te bieden, aldus de toelichting.</w:t>
                  </w:r>
                  <w:r>
                    <w:rPr>
                      <w:rStyle w:val="Voetnootmarkering"/>
                    </w:rPr>
                    <w:footnoteReference w:id="2"/>
                  </w:r>
                </w:p>
                <w:p w:rsidR="00C83238" w:rsidP="00C83238" w:rsidRDefault="00791AE9"/>
                <w:p w:rsidRPr="001556D6" w:rsidR="00C83238" w:rsidP="00C83238" w:rsidRDefault="00791AE9">
                  <w:r>
                    <w:t>Nu enige onzekerheid over de reikwijdte van de zinsnede “geen of geringe gevolgen” niet vermeden kan worden, bestaat het risico dat website-eigenaren het</w:t>
                  </w:r>
                  <w:r>
                    <w:t xml:space="preserve"> </w:t>
                  </w:r>
                  <w:r w:rsidRPr="001556D6">
                    <w:t xml:space="preserve">zekere voor het onzekere </w:t>
                  </w:r>
                  <w:r>
                    <w:t>zullen nemen</w:t>
                  </w:r>
                  <w:r w:rsidRPr="001556D6">
                    <w:t xml:space="preserve"> en </w:t>
                  </w:r>
                  <w:r>
                    <w:t xml:space="preserve">daarom </w:t>
                  </w:r>
                  <w:r w:rsidRPr="001556D6">
                    <w:t xml:space="preserve">om toestemming blijven vragen ongeacht de mate waarin de opslag van gegevens of de toegang tot opgeslagen gegevens privacygevoelig zijn. </w:t>
                  </w:r>
                  <w:r>
                    <w:t>Dan</w:t>
                  </w:r>
                  <w:r w:rsidRPr="001556D6">
                    <w:t xml:space="preserve"> </w:t>
                  </w:r>
                  <w:r>
                    <w:t>zou de beoogde gebruikersvriendelijkheid niet bewerkstelligd worde</w:t>
                  </w:r>
                  <w:r>
                    <w:t xml:space="preserve">n en </w:t>
                  </w:r>
                  <w:r w:rsidRPr="001556D6">
                    <w:t>zou het voorstel zijn doel voorbij schieten.</w:t>
                  </w:r>
                </w:p>
                <w:p w:rsidRPr="001556D6" w:rsidR="00C83238" w:rsidP="00C83238" w:rsidRDefault="00791AE9"/>
                <w:p w:rsidRPr="001556D6" w:rsidR="00C83238" w:rsidP="00C83238" w:rsidRDefault="00791AE9">
                  <w:r w:rsidRPr="001556D6">
                    <w:t xml:space="preserve">De Afdeling adviseert in de toelichting hierop </w:t>
                  </w:r>
                  <w:r>
                    <w:t xml:space="preserve">nader </w:t>
                  </w:r>
                  <w:r w:rsidRPr="001556D6">
                    <w:t>in te gaan.</w:t>
                  </w:r>
                </w:p>
                <w:p w:rsidRPr="001556D6" w:rsidR="00C83238" w:rsidP="00C83238" w:rsidRDefault="00791AE9"/>
                <w:p w:rsidRPr="001556D6" w:rsidR="001556D6" w:rsidP="001556D6" w:rsidRDefault="00791AE9">
                  <w:pPr>
                    <w:keepNext/>
                  </w:pPr>
                  <w:r w:rsidRPr="001556D6">
                    <w:rPr>
                      <w:i/>
                    </w:rPr>
                    <w:t>b.</w:t>
                  </w:r>
                  <w:r w:rsidRPr="001556D6">
                    <w:rPr>
                      <w:i/>
                    </w:rPr>
                    <w:tab/>
                    <w:t>Verhouding tot de Bijzondere privacyrichtlijn</w:t>
                  </w:r>
                </w:p>
                <w:p w:rsidR="001556D6" w:rsidP="001556D6" w:rsidRDefault="00791AE9">
                  <w:pPr>
                    <w:keepNext/>
                  </w:pPr>
                  <w:r>
                    <w:t>Het geldende a</w:t>
                  </w:r>
                  <w:r w:rsidRPr="001556D6">
                    <w:t xml:space="preserve">rtikel 11.7a </w:t>
                  </w:r>
                  <w:r>
                    <w:t xml:space="preserve">van de </w:t>
                  </w:r>
                  <w:r w:rsidRPr="001556D6">
                    <w:t xml:space="preserve">Tw vormt de </w:t>
                  </w:r>
                  <w:proofErr w:type="gramStart"/>
                  <w:r w:rsidRPr="001556D6">
                    <w:t>implementatie</w:t>
                  </w:r>
                  <w:proofErr w:type="gramEnd"/>
                  <w:r w:rsidRPr="001556D6">
                    <w:t xml:space="preserve"> van artikel 5, derde lid, van </w:t>
                  </w:r>
                  <w:r w:rsidRPr="001556D6">
                    <w:t>richtlijn 2002/58/EG</w:t>
                  </w:r>
                  <w:r>
                    <w:t>, zoals gewijzigd bij richtlijn 2009/136/EG</w:t>
                  </w:r>
                  <w:r w:rsidRPr="001556D6">
                    <w:t xml:space="preserve"> (hierna: de Bijzondere privacyrichtlijn).</w:t>
                  </w:r>
                  <w:r>
                    <w:rPr>
                      <w:rStyle w:val="Voetnootmarkering"/>
                    </w:rPr>
                    <w:footnoteReference w:id="3"/>
                  </w:r>
                  <w:r w:rsidRPr="001556D6">
                    <w:t xml:space="preserve"> </w:t>
                  </w:r>
                  <w:r>
                    <w:t>De</w:t>
                  </w:r>
                  <w:r w:rsidRPr="001556D6">
                    <w:t xml:space="preserve"> Afdeling </w:t>
                  </w:r>
                  <w:r>
                    <w:t>merkt op</w:t>
                  </w:r>
                  <w:r w:rsidRPr="001556D6">
                    <w:t xml:space="preserve"> dat de toelichting wel ingaat op de vraag hoe de voorgestelde uitzondering zich verhoudt tot de doelstelling van de Bijzondere P</w:t>
                  </w:r>
                  <w:r w:rsidRPr="001556D6">
                    <w:t xml:space="preserve">rivacyrichtlijn, maar niet ingaat op de verhouding </w:t>
                  </w:r>
                  <w:r>
                    <w:t xml:space="preserve">tot </w:t>
                  </w:r>
                  <w:r w:rsidRPr="001556D6">
                    <w:t>artikel 5, derde lid, in het bijzonder.</w:t>
                  </w:r>
                  <w:r w:rsidRPr="001556D6">
                    <w:rPr>
                      <w:vertAlign w:val="superscript"/>
                    </w:rPr>
                    <w:footnoteReference w:id="4"/>
                  </w:r>
                  <w:r w:rsidRPr="001556D6">
                    <w:t xml:space="preserve"> Naar haar oordeel </w:t>
                  </w:r>
                  <w:proofErr w:type="gramStart"/>
                  <w:r w:rsidRPr="001556D6">
                    <w:t>behoeft</w:t>
                  </w:r>
                  <w:proofErr w:type="gramEnd"/>
                  <w:r w:rsidRPr="001556D6">
                    <w:t xml:space="preserve"> de toelichting in zoverre aanvulling.</w:t>
                  </w:r>
                  <w:r>
                    <w:rPr>
                      <w:rStyle w:val="Voetnootmarkering"/>
                    </w:rPr>
                    <w:footnoteReference w:id="5"/>
                  </w:r>
                </w:p>
                <w:p w:rsidRPr="001556D6" w:rsidR="00D14604" w:rsidP="001556D6" w:rsidRDefault="00791AE9">
                  <w:pPr>
                    <w:keepNext/>
                  </w:pPr>
                  <w:r>
                    <w:t xml:space="preserve">De Afdeling merkt voorts op dat een wijziging van artikel 11.7a van de Tw </w:t>
                  </w:r>
                  <w:proofErr w:type="gramStart"/>
                  <w:r>
                    <w:t>ingevolge</w:t>
                  </w:r>
                  <w:proofErr w:type="gramEnd"/>
                  <w:r>
                    <w:t xml:space="preserve"> artikel 17, tweede lid, van de Bijzondere privacyrichtlijn aan de Europese Commissie moet worden medegedeeld. Bij de motivering van die mededeling kan overweging 66 van de </w:t>
                  </w:r>
                  <w:r>
                    <w:t>Bijzondere privacyrichtlijn</w:t>
                  </w:r>
                  <w:r>
                    <w:t xml:space="preserve"> worden betrokken, waarin onder meer wordt ingegaan op de gebruikersvriendelijkheid van de wijze waarop informatie wordt verstrekt en het recht van weigering aan gebruikers wordt aangeboden.</w:t>
                  </w:r>
                </w:p>
                <w:p w:rsidRPr="001556D6" w:rsidR="001556D6" w:rsidP="001556D6" w:rsidRDefault="00791AE9"/>
                <w:p w:rsidRPr="001556D6" w:rsidR="001556D6" w:rsidP="001556D6" w:rsidRDefault="00791AE9">
                  <w:r w:rsidRPr="001556D6">
                    <w:t xml:space="preserve">De Afdeling adviseert de toelichting </w:t>
                  </w:r>
                  <w:r w:rsidRPr="001556D6">
                    <w:t>op dit punt aan te vullen.</w:t>
                  </w:r>
                </w:p>
                <w:p w:rsidR="001556D6" w:rsidP="001556D6" w:rsidRDefault="00791AE9"/>
                <w:p w:rsidRPr="001556D6" w:rsidR="001556D6" w:rsidP="00406EAC" w:rsidRDefault="00791AE9">
                  <w:pPr>
                    <w:keepNext/>
                    <w:rPr>
                      <w:u w:val="single"/>
                    </w:rPr>
                  </w:pPr>
                  <w:r w:rsidRPr="001556D6">
                    <w:t>2.</w:t>
                  </w:r>
                  <w:r w:rsidRPr="001556D6">
                    <w:tab/>
                  </w:r>
                  <w:r w:rsidRPr="001556D6">
                    <w:rPr>
                      <w:u w:val="single"/>
                    </w:rPr>
                    <w:t>Niveau van regelgeving</w:t>
                  </w:r>
                </w:p>
                <w:p w:rsidRPr="001556D6" w:rsidR="001556D6" w:rsidP="00406EAC" w:rsidRDefault="00791AE9">
                  <w:pPr>
                    <w:keepNext/>
                  </w:pPr>
                </w:p>
                <w:p w:rsidRPr="001556D6" w:rsidR="001556D6" w:rsidP="00406EAC" w:rsidRDefault="00791AE9">
                  <w:pPr>
                    <w:keepNext/>
                  </w:pPr>
                  <w:proofErr w:type="gramStart"/>
                  <w:r w:rsidRPr="001556D6">
                    <w:t>Ingevolge</w:t>
                  </w:r>
                  <w:proofErr w:type="gramEnd"/>
                  <w:r w:rsidRPr="001556D6">
                    <w:t xml:space="preserve"> het voorgestelde vijfde lid van artikel 11.7a </w:t>
                  </w:r>
                  <w:r>
                    <w:t xml:space="preserve">van de </w:t>
                  </w:r>
                  <w:r w:rsidRPr="001556D6">
                    <w:t xml:space="preserve">Tw kunnen </w:t>
                  </w:r>
                  <w:r>
                    <w:t xml:space="preserve">niet alleen </w:t>
                  </w:r>
                  <w:r w:rsidRPr="001556D6">
                    <w:t xml:space="preserve">bij </w:t>
                  </w:r>
                  <w:r>
                    <w:t>maar ook</w:t>
                  </w:r>
                  <w:r w:rsidRPr="001556D6">
                    <w:t xml:space="preserve"> krachtens algemene maatregel van bestuur in overeenstemming met de Minister van Veiligheid en Justitie </w:t>
                  </w:r>
                  <w:r w:rsidRPr="001556D6">
                    <w:t>nadere regels worden gegeven met betrekking tot de vereisten van informatie en toestemming alsook de uitzonderingen die daarop mogelijk zijn.</w:t>
                  </w:r>
                </w:p>
                <w:p w:rsidRPr="001556D6" w:rsidR="001556D6" w:rsidP="001556D6" w:rsidRDefault="00791AE9"/>
                <w:p w:rsidRPr="001556D6" w:rsidR="001556D6" w:rsidP="001556D6" w:rsidRDefault="00791AE9">
                  <w:r w:rsidRPr="001556D6">
                    <w:t>De Afdeling merkt op dat de delegatiegrondslag in het geldende artikel 11.7a, vierde lid, zich beperkt tot het st</w:t>
                  </w:r>
                  <w:r w:rsidRPr="001556D6">
                    <w:t>ellen van nadere regels bij algemene maatregel van bestuur.</w:t>
                  </w:r>
                  <w:r w:rsidRPr="001556D6">
                    <w:rPr>
                      <w:vertAlign w:val="superscript"/>
                    </w:rPr>
                    <w:footnoteReference w:id="6"/>
                  </w:r>
                  <w:r w:rsidRPr="001556D6">
                    <w:t xml:space="preserve"> De toelichting gaat niet in op de noodzaak om thans te voorzien in een grondslag voor subdelegatie.</w:t>
                  </w:r>
                  <w:r>
                    <w:rPr>
                      <w:rStyle w:val="Voetnootmarkering"/>
                    </w:rPr>
                    <w:footnoteReference w:id="7"/>
                  </w:r>
                </w:p>
                <w:p w:rsidRPr="001556D6" w:rsidR="001556D6" w:rsidP="001556D6" w:rsidRDefault="00791AE9"/>
                <w:p w:rsidR="00EC52BD" w:rsidP="00FF035E" w:rsidRDefault="00791AE9">
                  <w:r>
                    <w:t>D</w:t>
                  </w:r>
                  <w:r w:rsidRPr="001556D6">
                    <w:t>e Afdeling adviseert de voorgestelde grondslag voor subdelegatie te motiveren</w:t>
                  </w:r>
                  <w:r>
                    <w:t xml:space="preserve"> en het voorste</w:t>
                  </w:r>
                  <w:r>
                    <w:t>l zo nodig aan te passen</w:t>
                  </w:r>
                  <w:r w:rsidRPr="001556D6">
                    <w:t>.</w:t>
                  </w:r>
                </w:p>
                <w:p w:rsidR="00436753" w:rsidP="00FF035E" w:rsidRDefault="00791AE9"/>
                <w:p w:rsidR="0031089B" w:rsidP="00FF035E" w:rsidRDefault="00791AE9"/>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E92080" w:rsidRDefault="00791AE9">
              <w:r>
                <w:t>De Afdeling advisering van de Raad van State geeft U in overweging het voorstel van wet te zenden aan de Tweede Kamer der Staten-Generaal, nadat aan het vorenstaande aandacht zal zijn geschonken.</w:t>
              </w:r>
              <w:r>
                <w:br/>
              </w:r>
              <w:r>
                <w:br/>
              </w:r>
              <w:r>
                <w:br/>
              </w:r>
              <w:r>
                <w:t>De vice-president van de Raad van State,</w:t>
              </w:r>
            </w:p>
          </w:sdtContent>
        </w:sdt>
      </w:sdtContent>
    </w:sdt>
    <w:sectPr w:rsidR="00E92080"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AE9" w:rsidRDefault="00791AE9" w:rsidP="002C6867">
      <w:r>
        <w:separator/>
      </w:r>
    </w:p>
  </w:endnote>
  <w:endnote w:type="continuationSeparator" w:id="0">
    <w:p w:rsidR="00791AE9" w:rsidRDefault="00791AE9" w:rsidP="002C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AE9" w:rsidRDefault="00791AE9" w:rsidP="005B3E03">
      <w:r>
        <w:separator/>
      </w:r>
    </w:p>
    <w:p w:rsidR="00791AE9" w:rsidRDefault="00791AE9"/>
  </w:footnote>
  <w:footnote w:type="continuationSeparator" w:id="0">
    <w:p w:rsidR="00791AE9" w:rsidRDefault="00791AE9" w:rsidP="005B3E03">
      <w:r>
        <w:continuationSeparator/>
      </w:r>
    </w:p>
    <w:p w:rsidR="00791AE9" w:rsidRDefault="00791AE9"/>
  </w:footnote>
  <w:footnote w:id="1">
    <w:p w:rsidR="00C83238" w:rsidRDefault="00791AE9" w:rsidP="00C83238">
      <w:pPr>
        <w:pStyle w:val="Voetnoottekst"/>
      </w:pPr>
      <w:r>
        <w:rPr>
          <w:rStyle w:val="Voetnootmarkering"/>
        </w:rPr>
        <w:footnoteRef/>
      </w:r>
      <w:r>
        <w:tab/>
        <w:t>Memorie van toelichting, § 2. Ervaringen met de cookiebepaling, blz. 3-4.</w:t>
      </w:r>
    </w:p>
  </w:footnote>
  <w:footnote w:id="2">
    <w:p w:rsidR="00C83238" w:rsidRDefault="00791AE9" w:rsidP="00C83238">
      <w:pPr>
        <w:pStyle w:val="Voetnoottekst"/>
      </w:pPr>
      <w:r>
        <w:rPr>
          <w:rStyle w:val="Voetnootmarkering"/>
        </w:rPr>
        <w:footnoteRef/>
      </w:r>
      <w:r>
        <w:tab/>
        <w:t>Memorie van toelichting, § 9. Consultatie, blz. 17.</w:t>
      </w:r>
    </w:p>
  </w:footnote>
  <w:footnote w:id="3">
    <w:p w:rsidR="00526C31" w:rsidRDefault="00791AE9" w:rsidP="00526C31">
      <w:pPr>
        <w:pStyle w:val="Voetnoottekst"/>
      </w:pPr>
      <w:r>
        <w:rPr>
          <w:rStyle w:val="Voetnootmarkering"/>
        </w:rPr>
        <w:footnoteRef/>
      </w:r>
      <w:r>
        <w:tab/>
        <w:t xml:space="preserve">De tweede volzin van </w:t>
      </w:r>
      <w:r w:rsidRPr="00526C31">
        <w:t xml:space="preserve">artikel 5, derde lid, </w:t>
      </w:r>
      <w:r w:rsidRPr="00D14604">
        <w:t>van richtlijn 2002/58/EG, zoals gewijzigd bij richtlijn 2009/136/EG</w:t>
      </w:r>
      <w:r>
        <w:t xml:space="preserve">, bevat de uitzonderingen op de informatieverplichting en het toestemmingsvereiste. Deze volzin luidt als volgt: </w:t>
      </w:r>
      <w:r w:rsidRPr="00D14604">
        <w:t>Zulks vormt geen beletsel voor enige vorm van technische opslag of toegang m</w:t>
      </w:r>
      <w:r w:rsidRPr="00D14604">
        <w:t>et als uitsluitend doel de uitvoering of vergemakkelijking van de verzending van een communicatie over een elektronische-communicatienetwerk, of, indien strikt noodzakelijk, voor de levering van een uitdrukkelijk door de abonneegebruiker gevraagde dienst v</w:t>
      </w:r>
      <w:r w:rsidRPr="00D14604">
        <w:t>an de informatiemaatschappij.</w:t>
      </w:r>
    </w:p>
  </w:footnote>
  <w:footnote w:id="4">
    <w:p w:rsidR="001556D6" w:rsidRDefault="00791AE9" w:rsidP="001556D6">
      <w:pPr>
        <w:pStyle w:val="Voetnoottekst"/>
      </w:pPr>
      <w:r>
        <w:rPr>
          <w:rStyle w:val="Voetnootmarkering"/>
        </w:rPr>
        <w:footnoteRef/>
      </w:r>
      <w:r>
        <w:tab/>
        <w:t>Memorie van toelichting, § 3. Uitzondering voor cookies met geringe privacy-gevolgen, blz. 5.</w:t>
      </w:r>
    </w:p>
  </w:footnote>
  <w:footnote w:id="5">
    <w:p w:rsidR="00C93AE2" w:rsidRDefault="00791AE9">
      <w:pPr>
        <w:pStyle w:val="Voetnoottekst"/>
      </w:pPr>
      <w:r>
        <w:rPr>
          <w:rStyle w:val="Voetnootmarkering"/>
        </w:rPr>
        <w:footnoteRef/>
      </w:r>
      <w:r>
        <w:tab/>
        <w:t>Verwezen zij naar het advies van de zogenoemde Artikel 29-werkgroep, dat deze werkgroep uitbracht over de vrijstelling van de to</w:t>
      </w:r>
      <w:r>
        <w:t>estemmingsverplichting (advies van 7 juni 2012, nr. 04/2012, blz. 10-11). De Artikel 29-werkgroep is het onafhankelijke advies- en overlegorgaan van Europese privacy-toezichthouders.</w:t>
      </w:r>
    </w:p>
  </w:footnote>
  <w:footnote w:id="6">
    <w:p w:rsidR="001556D6" w:rsidRDefault="00791AE9" w:rsidP="005A33FA">
      <w:pPr>
        <w:pStyle w:val="Voetnoottekst"/>
      </w:pPr>
      <w:r>
        <w:rPr>
          <w:rStyle w:val="Voetnootmarkering"/>
        </w:rPr>
        <w:footnoteRef/>
      </w:r>
      <w:r>
        <w:tab/>
      </w:r>
      <w:proofErr w:type="gramStart"/>
      <w:r>
        <w:t>Zulks</w:t>
      </w:r>
      <w:proofErr w:type="gramEnd"/>
      <w:r>
        <w:t xml:space="preserve"> in lijn met het advies van de Afdeling advisering van de Raad van</w:t>
      </w:r>
      <w:r>
        <w:t xml:space="preserve"> State van 3 september 2010 over het </w:t>
      </w:r>
      <w:r w:rsidRPr="00C93AE2">
        <w:t>voorstel van wet tot wijziging van de Telecommunicatiewet ter implementatie van de herziene telecommunicatierichtlijnen</w:t>
      </w:r>
      <w:r>
        <w:t xml:space="preserve">, </w:t>
      </w:r>
      <w:r w:rsidRPr="005D5784">
        <w:t>Kamerstukken II 2010/11, 32 549, nr. 4</w:t>
      </w:r>
      <w:r>
        <w:t xml:space="preserve">, blz. 5. </w:t>
      </w:r>
    </w:p>
  </w:footnote>
  <w:footnote w:id="7">
    <w:p w:rsidR="00C93AE2" w:rsidRDefault="00791AE9">
      <w:pPr>
        <w:pStyle w:val="Voetnoottekst"/>
      </w:pPr>
      <w:r>
        <w:rPr>
          <w:rStyle w:val="Voetnootmarkering"/>
        </w:rPr>
        <w:footnoteRef/>
      </w:r>
      <w:r>
        <w:tab/>
        <w:t xml:space="preserve">Zie ook aanwijzing 26 van de Aanwijzingen voor </w:t>
      </w:r>
      <w:r>
        <w:t>de regelgeving.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31351A">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1351A"/>
    <w:rsid w:val="00322CB5"/>
    <w:rsid w:val="003A1FC7"/>
    <w:rsid w:val="004421C1"/>
    <w:rsid w:val="004C120D"/>
    <w:rsid w:val="00503044"/>
    <w:rsid w:val="006D3E6B"/>
    <w:rsid w:val="0071031E"/>
    <w:rsid w:val="00724C4B"/>
    <w:rsid w:val="00743D19"/>
    <w:rsid w:val="00791AE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E92080"/>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rsid w:val="001556D6"/>
    <w:rPr>
      <w:vertAlign w:val="superscript"/>
    </w:rPr>
  </w:style>
  <w:style w:type="character" w:styleId="Verwijzingopmerking">
    <w:name w:val="annotation reference"/>
    <w:basedOn w:val="Standaardalinea-lettertype"/>
    <w:rsid w:val="005A33FA"/>
    <w:rPr>
      <w:sz w:val="16"/>
      <w:szCs w:val="16"/>
    </w:rPr>
  </w:style>
  <w:style w:type="paragraph" w:styleId="Tekstopmerking">
    <w:name w:val="annotation text"/>
    <w:basedOn w:val="Standaard"/>
    <w:link w:val="TekstopmerkingChar"/>
    <w:rsid w:val="005A33FA"/>
    <w:rPr>
      <w:sz w:val="20"/>
      <w:szCs w:val="20"/>
    </w:rPr>
  </w:style>
  <w:style w:type="character" w:customStyle="1" w:styleId="TekstopmerkingChar">
    <w:name w:val="Tekst opmerking Char"/>
    <w:basedOn w:val="Standaardalinea-lettertype"/>
    <w:link w:val="Tekstopmerking"/>
    <w:rsid w:val="005A33FA"/>
    <w:rPr>
      <w:rFonts w:ascii="Univers" w:hAnsi="Univers"/>
    </w:rPr>
  </w:style>
  <w:style w:type="paragraph" w:styleId="Onderwerpvanopmerking">
    <w:name w:val="annotation subject"/>
    <w:basedOn w:val="Tekstopmerking"/>
    <w:next w:val="Tekstopmerking"/>
    <w:link w:val="OnderwerpvanopmerkingChar"/>
    <w:rsid w:val="005A33FA"/>
    <w:rPr>
      <w:b/>
      <w:bCs/>
    </w:rPr>
  </w:style>
  <w:style w:type="character" w:customStyle="1" w:styleId="OnderwerpvanopmerkingChar">
    <w:name w:val="Onderwerp van opmerking Char"/>
    <w:basedOn w:val="TekstopmerkingChar"/>
    <w:link w:val="Onderwerpvanopmerking"/>
    <w:rsid w:val="005A33FA"/>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rsid w:val="001556D6"/>
    <w:rPr>
      <w:vertAlign w:val="superscript"/>
    </w:rPr>
  </w:style>
  <w:style w:type="character" w:styleId="Verwijzingopmerking">
    <w:name w:val="annotation reference"/>
    <w:basedOn w:val="Standaardalinea-lettertype"/>
    <w:rsid w:val="005A33FA"/>
    <w:rPr>
      <w:sz w:val="16"/>
      <w:szCs w:val="16"/>
    </w:rPr>
  </w:style>
  <w:style w:type="paragraph" w:styleId="Tekstopmerking">
    <w:name w:val="annotation text"/>
    <w:basedOn w:val="Standaard"/>
    <w:link w:val="TekstopmerkingChar"/>
    <w:rsid w:val="005A33FA"/>
    <w:rPr>
      <w:sz w:val="20"/>
      <w:szCs w:val="20"/>
    </w:rPr>
  </w:style>
  <w:style w:type="character" w:customStyle="1" w:styleId="TekstopmerkingChar">
    <w:name w:val="Tekst opmerking Char"/>
    <w:basedOn w:val="Standaardalinea-lettertype"/>
    <w:link w:val="Tekstopmerking"/>
    <w:rsid w:val="005A33FA"/>
    <w:rPr>
      <w:rFonts w:ascii="Univers" w:hAnsi="Univers"/>
    </w:rPr>
  </w:style>
  <w:style w:type="paragraph" w:styleId="Onderwerpvanopmerking">
    <w:name w:val="annotation subject"/>
    <w:basedOn w:val="Tekstopmerking"/>
    <w:next w:val="Tekstopmerking"/>
    <w:link w:val="OnderwerpvanopmerkingChar"/>
    <w:rsid w:val="005A33FA"/>
    <w:rPr>
      <w:b/>
      <w:bCs/>
    </w:rPr>
  </w:style>
  <w:style w:type="character" w:customStyle="1" w:styleId="OnderwerpvanopmerkingChar">
    <w:name w:val="Onderwerp van opmerking Char"/>
    <w:basedOn w:val="TekstopmerkingChar"/>
    <w:link w:val="Onderwerpvanopmerking"/>
    <w:rsid w:val="005A33FA"/>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pj\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24E58"/>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1098</ap:Words>
  <ap:Characters>6044</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2012-11-20T15:20:00.0000000Z</dcterms:created>
  <dcterms:modified xsi:type="dcterms:W3CDTF">2013-12-03T10:18:00.0000000Z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0x010100CDDDB3FCFD5CCC40B633E4376DAEE662</vt:lpwstr>
  </property>
</Properties>
</file>